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185B" w14:textId="6AFBDC4C" w:rsidR="00233AF3" w:rsidRPr="00604BE8" w:rsidRDefault="004040E5" w:rsidP="00A86A07">
      <w:pPr>
        <w:spacing w:after="80" w:line="360" w:lineRule="auto"/>
        <w:jc w:val="center"/>
        <w:rPr>
          <w:rFonts w:ascii="Calibri" w:hAnsi="Calibri" w:cs="Calibri"/>
          <w:b/>
          <w:bCs/>
          <w:sz w:val="22"/>
          <w:szCs w:val="22"/>
        </w:rPr>
      </w:pPr>
      <w:r w:rsidRPr="00604BE8">
        <w:rPr>
          <w:rFonts w:ascii="Calibri" w:eastAsia="Times New Roman" w:hAnsi="Calibri" w:cs="Calibri"/>
          <w:b/>
          <w:bCs/>
          <w:sz w:val="22"/>
          <w:szCs w:val="22"/>
        </w:rPr>
        <w:t xml:space="preserve">Career Design Tree: A One-Page Visualization </w:t>
      </w:r>
      <w:r w:rsidR="009C5D81" w:rsidRPr="00604BE8">
        <w:rPr>
          <w:rFonts w:ascii="Calibri" w:hAnsi="Calibri" w:cs="Calibri"/>
          <w:b/>
          <w:bCs/>
          <w:sz w:val="22"/>
          <w:szCs w:val="22"/>
        </w:rPr>
        <w:t xml:space="preserve">Tool </w:t>
      </w:r>
      <w:r w:rsidRPr="00604BE8">
        <w:rPr>
          <w:rFonts w:ascii="Calibri" w:eastAsia="Times New Roman" w:hAnsi="Calibri" w:cs="Calibri"/>
          <w:b/>
          <w:bCs/>
          <w:sz w:val="22"/>
          <w:szCs w:val="22"/>
        </w:rPr>
        <w:t xml:space="preserve">for </w:t>
      </w:r>
    </w:p>
    <w:p w14:paraId="56D0B83E" w14:textId="540A5371" w:rsidR="00786B8A" w:rsidRPr="00604BE8" w:rsidRDefault="006E7B4E" w:rsidP="00A86A07">
      <w:pPr>
        <w:spacing w:after="80" w:line="360" w:lineRule="auto"/>
        <w:jc w:val="center"/>
        <w:rPr>
          <w:rFonts w:ascii="Calibri" w:hAnsi="Calibri" w:cs="Calibri"/>
          <w:sz w:val="22"/>
          <w:szCs w:val="22"/>
        </w:rPr>
      </w:pPr>
      <w:r w:rsidRPr="00604BE8">
        <w:rPr>
          <w:rFonts w:ascii="Calibri" w:hAnsi="Calibri" w:cs="Calibri"/>
          <w:b/>
          <w:bCs/>
          <w:sz w:val="22"/>
          <w:szCs w:val="22"/>
        </w:rPr>
        <w:t>Independent and Rapid Career Overview</w:t>
      </w:r>
    </w:p>
    <w:p w14:paraId="20390B94" w14:textId="6AAFDC6D" w:rsidR="00786B8A" w:rsidRPr="00604BE8" w:rsidRDefault="00A860E5" w:rsidP="00A86A07">
      <w:pPr>
        <w:spacing w:after="160" w:line="360" w:lineRule="auto"/>
        <w:jc w:val="center"/>
        <w:rPr>
          <w:rFonts w:ascii="Calibri" w:hAnsi="Calibri" w:cs="Calibri"/>
          <w:sz w:val="22"/>
          <w:szCs w:val="22"/>
        </w:rPr>
      </w:pPr>
      <w:r w:rsidRPr="00604BE8">
        <w:rPr>
          <w:rFonts w:ascii="Calibri" w:hAnsi="Calibri" w:cs="Calibri"/>
          <w:sz w:val="22"/>
          <w:szCs w:val="22"/>
        </w:rPr>
        <w:t xml:space="preserve">Yoshihiro Maeda, </w:t>
      </w:r>
      <w:r w:rsidRPr="00604BE8">
        <w:rPr>
          <w:rFonts w:ascii="Calibri" w:eastAsia="Times New Roman" w:hAnsi="Calibri" w:cs="Calibri"/>
          <w:sz w:val="22"/>
          <w:szCs w:val="22"/>
        </w:rPr>
        <w:t xml:space="preserve">Takahiro </w:t>
      </w:r>
      <w:r w:rsidRPr="00604BE8">
        <w:rPr>
          <w:rFonts w:ascii="Calibri" w:hAnsi="Calibri" w:cs="Calibri"/>
          <w:sz w:val="22"/>
          <w:szCs w:val="22"/>
        </w:rPr>
        <w:t>Ueno</w:t>
      </w:r>
    </w:p>
    <w:p w14:paraId="448ECAFF" w14:textId="68C10E22" w:rsidR="00786B8A" w:rsidRPr="00604BE8" w:rsidRDefault="004040E5" w:rsidP="00A86A07">
      <w:pPr>
        <w:spacing w:after="160" w:line="360" w:lineRule="auto"/>
        <w:jc w:val="center"/>
        <w:rPr>
          <w:rFonts w:ascii="Calibri" w:hAnsi="Calibri" w:cs="Calibri"/>
          <w:sz w:val="22"/>
          <w:szCs w:val="22"/>
        </w:rPr>
      </w:pPr>
      <w:r w:rsidRPr="00604BE8">
        <w:rPr>
          <w:rFonts w:ascii="Calibri" w:eastAsia="Times New Roman" w:hAnsi="Calibri" w:cs="Calibri"/>
          <w:sz w:val="22"/>
          <w:szCs w:val="22"/>
        </w:rPr>
        <w:t>Fukuyama University, Japan</w:t>
      </w:r>
    </w:p>
    <w:p w14:paraId="0492B7C8" w14:textId="5C6306E4" w:rsidR="00786B8A" w:rsidRPr="00604BE8" w:rsidRDefault="004040E5" w:rsidP="00A86A07">
      <w:pPr>
        <w:spacing w:after="240" w:line="360" w:lineRule="auto"/>
        <w:rPr>
          <w:rFonts w:ascii="Calibri" w:hAnsi="Calibri" w:cs="Calibri"/>
          <w:sz w:val="22"/>
          <w:szCs w:val="22"/>
        </w:rPr>
      </w:pPr>
      <w:r w:rsidRPr="00604BE8">
        <w:rPr>
          <w:rFonts w:ascii="Calibri" w:eastAsia="Times New Roman" w:hAnsi="Calibri" w:cs="Calibri"/>
          <w:b/>
          <w:bCs/>
          <w:sz w:val="22"/>
          <w:szCs w:val="22"/>
        </w:rPr>
        <w:t xml:space="preserve">Keywords: </w:t>
      </w:r>
      <w:r w:rsidR="00A86A07" w:rsidRPr="00604BE8">
        <w:rPr>
          <w:rFonts w:ascii="Calibri" w:hAnsi="Calibri" w:cs="Calibri" w:hint="eastAsia"/>
          <w:sz w:val="22"/>
          <w:szCs w:val="22"/>
        </w:rPr>
        <w:t>C</w:t>
      </w:r>
      <w:r w:rsidRPr="00604BE8">
        <w:rPr>
          <w:rFonts w:ascii="Calibri" w:eastAsia="Times New Roman" w:hAnsi="Calibri" w:cs="Calibri"/>
          <w:sz w:val="22"/>
          <w:szCs w:val="22"/>
        </w:rPr>
        <w:t xml:space="preserve">areer </w:t>
      </w:r>
      <w:r w:rsidR="00A86A07" w:rsidRPr="00604BE8">
        <w:rPr>
          <w:rFonts w:ascii="Calibri" w:hAnsi="Calibri" w:cs="Calibri" w:hint="eastAsia"/>
          <w:sz w:val="22"/>
          <w:szCs w:val="22"/>
        </w:rPr>
        <w:t>D</w:t>
      </w:r>
      <w:r w:rsidRPr="00604BE8">
        <w:rPr>
          <w:rFonts w:ascii="Calibri" w:eastAsia="Times New Roman" w:hAnsi="Calibri" w:cs="Calibri"/>
          <w:sz w:val="22"/>
          <w:szCs w:val="22"/>
        </w:rPr>
        <w:t>esign</w:t>
      </w:r>
      <w:r w:rsidR="003E7786" w:rsidRPr="00604BE8">
        <w:rPr>
          <w:rFonts w:ascii="Calibri" w:hAnsi="Calibri" w:cs="Calibri"/>
          <w:sz w:val="22"/>
          <w:szCs w:val="22"/>
        </w:rPr>
        <w:t xml:space="preserve"> </w:t>
      </w:r>
      <w:r w:rsidR="00A86A07" w:rsidRPr="00604BE8">
        <w:rPr>
          <w:rFonts w:ascii="Calibri" w:hAnsi="Calibri" w:cs="Calibri" w:hint="eastAsia"/>
          <w:sz w:val="22"/>
          <w:szCs w:val="22"/>
        </w:rPr>
        <w:t>T</w:t>
      </w:r>
      <w:r w:rsidR="003E7786" w:rsidRPr="00604BE8">
        <w:rPr>
          <w:rFonts w:ascii="Calibri" w:hAnsi="Calibri" w:cs="Calibri"/>
          <w:sz w:val="22"/>
          <w:szCs w:val="22"/>
        </w:rPr>
        <w:t>ree</w:t>
      </w:r>
      <w:r w:rsidRPr="00604BE8">
        <w:rPr>
          <w:rFonts w:ascii="Calibri" w:eastAsia="Times New Roman" w:hAnsi="Calibri" w:cs="Calibri"/>
          <w:sz w:val="22"/>
          <w:szCs w:val="22"/>
        </w:rPr>
        <w:t xml:space="preserve">, </w:t>
      </w:r>
      <w:r w:rsidR="00A86A07" w:rsidRPr="00604BE8">
        <w:rPr>
          <w:rFonts w:ascii="Calibri" w:hAnsi="Calibri" w:cs="Calibri" w:hint="eastAsia"/>
          <w:sz w:val="22"/>
          <w:szCs w:val="22"/>
        </w:rPr>
        <w:t>Career Overview</w:t>
      </w:r>
      <w:r w:rsidRPr="00604BE8">
        <w:rPr>
          <w:rFonts w:ascii="Calibri" w:eastAsia="Times New Roman" w:hAnsi="Calibri" w:cs="Calibri"/>
          <w:sz w:val="22"/>
          <w:szCs w:val="22"/>
        </w:rPr>
        <w:t xml:space="preserve">, </w:t>
      </w:r>
      <w:r w:rsidR="00A86A07" w:rsidRPr="00604BE8">
        <w:rPr>
          <w:rFonts w:ascii="Calibri" w:hAnsi="Calibri" w:cs="Calibri" w:hint="eastAsia"/>
          <w:sz w:val="22"/>
          <w:szCs w:val="22"/>
        </w:rPr>
        <w:t>M</w:t>
      </w:r>
      <w:r w:rsidRPr="00604BE8">
        <w:rPr>
          <w:rFonts w:ascii="Calibri" w:eastAsia="Times New Roman" w:hAnsi="Calibri" w:cs="Calibri"/>
          <w:sz w:val="22"/>
          <w:szCs w:val="22"/>
        </w:rPr>
        <w:t>etacognitive</w:t>
      </w:r>
      <w:r w:rsidR="00A86A07" w:rsidRPr="00604BE8">
        <w:rPr>
          <w:rFonts w:ascii="Calibri" w:hAnsi="Calibri" w:cs="Calibri" w:hint="eastAsia"/>
          <w:sz w:val="22"/>
          <w:szCs w:val="22"/>
        </w:rPr>
        <w:t xml:space="preserve"> R</w:t>
      </w:r>
      <w:r w:rsidRPr="00604BE8">
        <w:rPr>
          <w:rFonts w:ascii="Calibri" w:eastAsia="Times New Roman" w:hAnsi="Calibri" w:cs="Calibri"/>
          <w:sz w:val="22"/>
          <w:szCs w:val="22"/>
        </w:rPr>
        <w:t xml:space="preserve">eflection, </w:t>
      </w:r>
      <w:r w:rsidR="00A86A07" w:rsidRPr="00604BE8">
        <w:rPr>
          <w:rFonts w:ascii="Calibri" w:hAnsi="Calibri" w:cs="Calibri" w:hint="eastAsia"/>
          <w:sz w:val="22"/>
          <w:szCs w:val="22"/>
        </w:rPr>
        <w:t>L</w:t>
      </w:r>
      <w:r w:rsidRPr="00604BE8">
        <w:rPr>
          <w:rFonts w:ascii="Calibri" w:eastAsia="Times New Roman" w:hAnsi="Calibri" w:cs="Calibri"/>
          <w:sz w:val="22"/>
          <w:szCs w:val="22"/>
        </w:rPr>
        <w:t xml:space="preserve">ife </w:t>
      </w:r>
      <w:r w:rsidR="00A86A07" w:rsidRPr="00604BE8">
        <w:rPr>
          <w:rFonts w:ascii="Calibri" w:hAnsi="Calibri" w:cs="Calibri" w:hint="eastAsia"/>
          <w:sz w:val="22"/>
          <w:szCs w:val="22"/>
        </w:rPr>
        <w:t>D</w:t>
      </w:r>
      <w:r w:rsidRPr="00604BE8">
        <w:rPr>
          <w:rFonts w:ascii="Calibri" w:eastAsia="Times New Roman" w:hAnsi="Calibri" w:cs="Calibri"/>
          <w:sz w:val="22"/>
          <w:szCs w:val="22"/>
        </w:rPr>
        <w:t xml:space="preserve">esign, </w:t>
      </w:r>
      <w:r w:rsidR="00A86A07" w:rsidRPr="00604BE8">
        <w:rPr>
          <w:rFonts w:ascii="Calibri" w:hAnsi="Calibri" w:cs="Calibri" w:hint="eastAsia"/>
          <w:sz w:val="22"/>
          <w:szCs w:val="22"/>
        </w:rPr>
        <w:t>C</w:t>
      </w:r>
      <w:r w:rsidRPr="00604BE8">
        <w:rPr>
          <w:rFonts w:ascii="Calibri" w:eastAsia="Times New Roman" w:hAnsi="Calibri" w:cs="Calibri"/>
          <w:sz w:val="22"/>
          <w:szCs w:val="22"/>
        </w:rPr>
        <w:t xml:space="preserve">areer </w:t>
      </w:r>
      <w:r w:rsidR="00A86A07" w:rsidRPr="00604BE8">
        <w:rPr>
          <w:rFonts w:ascii="Calibri" w:hAnsi="Calibri" w:cs="Calibri" w:hint="eastAsia"/>
          <w:sz w:val="22"/>
          <w:szCs w:val="22"/>
        </w:rPr>
        <w:t>E</w:t>
      </w:r>
      <w:r w:rsidRPr="00604BE8">
        <w:rPr>
          <w:rFonts w:ascii="Calibri" w:eastAsia="Times New Roman" w:hAnsi="Calibri" w:cs="Calibri"/>
          <w:sz w:val="22"/>
          <w:szCs w:val="22"/>
        </w:rPr>
        <w:t>ducation</w:t>
      </w:r>
    </w:p>
    <w:p w14:paraId="0BA13765" w14:textId="77777777"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Introduction</w:t>
      </w:r>
    </w:p>
    <w:p w14:paraId="42D6D8F6" w14:textId="7B4C9234" w:rsidR="00786B8A" w:rsidRPr="00604BE8" w:rsidRDefault="00EC4B10" w:rsidP="00A86A07">
      <w:pPr>
        <w:spacing w:after="160" w:line="360" w:lineRule="auto"/>
        <w:jc w:val="both"/>
        <w:rPr>
          <w:rFonts w:ascii="Calibri" w:hAnsi="Calibri" w:cs="Calibri"/>
          <w:sz w:val="22"/>
          <w:szCs w:val="22"/>
        </w:rPr>
      </w:pPr>
      <w:r w:rsidRPr="00604BE8">
        <w:rPr>
          <w:rFonts w:ascii="Calibri" w:eastAsia="Times New Roman" w:hAnsi="Calibri" w:cs="Calibri"/>
          <w:sz w:val="22"/>
          <w:szCs w:val="22"/>
        </w:rPr>
        <w:t xml:space="preserve">Career construction theory frames career as a narrative individuals compose across time, connecting </w:t>
      </w:r>
      <w:proofErr w:type="gramStart"/>
      <w:r w:rsidRPr="00604BE8">
        <w:rPr>
          <w:rFonts w:ascii="Calibri" w:eastAsia="Times New Roman" w:hAnsi="Calibri" w:cs="Calibri"/>
          <w:sz w:val="22"/>
          <w:szCs w:val="22"/>
        </w:rPr>
        <w:t>past experience</w:t>
      </w:r>
      <w:proofErr w:type="gramEnd"/>
      <w:r w:rsidRPr="00604BE8">
        <w:rPr>
          <w:rFonts w:ascii="Calibri" w:eastAsia="Times New Roman" w:hAnsi="Calibri" w:cs="Calibri"/>
          <w:sz w:val="22"/>
          <w:szCs w:val="22"/>
        </w:rPr>
        <w:t xml:space="preserve">, present engagement, and future aspiration (Savickas, 2005). </w:t>
      </w:r>
      <w:r w:rsidR="00604BE8" w:rsidRPr="00604BE8">
        <w:rPr>
          <w:rFonts w:ascii="Calibri" w:eastAsia="Times New Roman" w:hAnsi="Calibri" w:cs="Calibri"/>
          <w:sz w:val="22"/>
          <w:szCs w:val="22"/>
        </w:rPr>
        <w:t>Methods such as the Career Construction Interview require professional facilitation and time, limiting use in standard educational settings.</w:t>
      </w:r>
      <w:r w:rsidRPr="00604BE8">
        <w:rPr>
          <w:rFonts w:ascii="Calibri" w:eastAsia="Times New Roman" w:hAnsi="Calibri" w:cs="Calibri"/>
          <w:sz w:val="22"/>
          <w:szCs w:val="22"/>
        </w:rPr>
        <w:t xml:space="preserve"> </w:t>
      </w:r>
      <w:r w:rsidR="00604BE8" w:rsidRPr="00604BE8">
        <w:rPr>
          <w:rFonts w:ascii="Calibri" w:eastAsia="Times New Roman" w:hAnsi="Calibri" w:cs="Calibri"/>
          <w:sz w:val="22"/>
          <w:szCs w:val="22"/>
        </w:rPr>
        <w:t xml:space="preserve">This paper </w:t>
      </w:r>
      <w:r w:rsidR="00604BE8" w:rsidRPr="00604BE8">
        <w:rPr>
          <w:rFonts w:ascii="Calibri" w:hAnsi="Calibri" w:cs="Calibri" w:hint="eastAsia"/>
          <w:sz w:val="22"/>
          <w:szCs w:val="22"/>
        </w:rPr>
        <w:t>proposes</w:t>
      </w:r>
      <w:r w:rsidR="00604BE8" w:rsidRPr="00604BE8">
        <w:rPr>
          <w:rFonts w:ascii="Calibri" w:eastAsia="Times New Roman" w:hAnsi="Calibri" w:cs="Calibri"/>
          <w:sz w:val="22"/>
          <w:szCs w:val="22"/>
        </w:rPr>
        <w:t xml:space="preserve"> the Career Design Tree (CDT</w:t>
      </w:r>
      <w:r w:rsidR="00604BE8" w:rsidRPr="00604BE8">
        <w:rPr>
          <w:rFonts w:ascii="Calibri" w:hAnsi="Calibri" w:cs="Calibri" w:hint="eastAsia"/>
          <w:sz w:val="22"/>
          <w:szCs w:val="22"/>
        </w:rPr>
        <w:t>; Figure 1</w:t>
      </w:r>
      <w:r w:rsidR="00604BE8" w:rsidRPr="00604BE8">
        <w:rPr>
          <w:rFonts w:ascii="Calibri" w:eastAsia="ＭＳ 明朝" w:hAnsi="Calibri" w:cs="Calibri" w:hint="eastAsia"/>
          <w:sz w:val="22"/>
          <w:szCs w:val="22"/>
        </w:rPr>
        <w:t>)</w:t>
      </w:r>
      <w:r w:rsidR="00604BE8" w:rsidRPr="00604BE8">
        <w:rPr>
          <w:rFonts w:ascii="Calibri" w:eastAsia="Times New Roman" w:hAnsi="Calibri" w:cs="Calibri"/>
          <w:sz w:val="22"/>
          <w:szCs w:val="22"/>
        </w:rPr>
        <w:t xml:space="preserve"> one-page visualization tool enabling university students to externalize and overview their career narrative in a single class session.</w:t>
      </w:r>
    </w:p>
    <w:p w14:paraId="474E22D8" w14:textId="77777777"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Objectives</w:t>
      </w:r>
    </w:p>
    <w:p w14:paraId="1B9B8B44" w14:textId="5EA40565" w:rsidR="00786B8A" w:rsidRPr="00604BE8" w:rsidRDefault="00EC4B10" w:rsidP="00A86A07">
      <w:pPr>
        <w:spacing w:after="160" w:line="360" w:lineRule="auto"/>
        <w:jc w:val="both"/>
        <w:rPr>
          <w:rFonts w:ascii="Calibri" w:hAnsi="Calibri" w:cs="Calibri"/>
          <w:sz w:val="22"/>
          <w:szCs w:val="22"/>
        </w:rPr>
      </w:pPr>
      <w:r w:rsidRPr="00604BE8">
        <w:rPr>
          <w:rFonts w:ascii="Calibri" w:eastAsia="Times New Roman" w:hAnsi="Calibri" w:cs="Calibri"/>
          <w:sz w:val="22"/>
          <w:szCs w:val="22"/>
        </w:rPr>
        <w:t>Two research questions guided the study: (</w:t>
      </w:r>
      <w:r w:rsidR="00C61AC3" w:rsidRPr="00604BE8">
        <w:rPr>
          <w:rFonts w:ascii="Calibri" w:hAnsi="Calibri" w:cs="Calibri"/>
          <w:sz w:val="22"/>
          <w:szCs w:val="22"/>
        </w:rPr>
        <w:t>RQ</w:t>
      </w:r>
      <w:r w:rsidRPr="00604BE8">
        <w:rPr>
          <w:rFonts w:ascii="Calibri" w:eastAsia="Times New Roman" w:hAnsi="Calibri" w:cs="Calibri"/>
          <w:sz w:val="22"/>
          <w:szCs w:val="22"/>
        </w:rPr>
        <w:t>1) Is the CDT feasible within 30 minutes without requiring specialist facilitation? (</w:t>
      </w:r>
      <w:r w:rsidR="00C61AC3" w:rsidRPr="00604BE8">
        <w:rPr>
          <w:rFonts w:ascii="Calibri" w:hAnsi="Calibri" w:cs="Calibri"/>
          <w:sz w:val="22"/>
          <w:szCs w:val="22"/>
        </w:rPr>
        <w:t>RQ</w:t>
      </w:r>
      <w:r w:rsidRPr="00604BE8">
        <w:rPr>
          <w:rFonts w:ascii="Calibri" w:eastAsia="Times New Roman" w:hAnsi="Calibri" w:cs="Calibri"/>
          <w:sz w:val="22"/>
          <w:szCs w:val="22"/>
        </w:rPr>
        <w:t xml:space="preserve">2) Do the three CDT domains elicit thematically distinct content consistent with the intended structure of values, actions, and </w:t>
      </w:r>
      <w:proofErr w:type="gramStart"/>
      <w:r w:rsidRPr="00604BE8">
        <w:rPr>
          <w:rFonts w:ascii="Calibri" w:eastAsia="Times New Roman" w:hAnsi="Calibri" w:cs="Calibri"/>
          <w:sz w:val="22"/>
          <w:szCs w:val="22"/>
        </w:rPr>
        <w:t>past experience</w:t>
      </w:r>
      <w:proofErr w:type="gramEnd"/>
      <w:r w:rsidR="004040E5" w:rsidRPr="00604BE8">
        <w:rPr>
          <w:rFonts w:ascii="Calibri" w:eastAsia="Times New Roman" w:hAnsi="Calibri" w:cs="Calibri"/>
          <w:sz w:val="22"/>
          <w:szCs w:val="22"/>
        </w:rPr>
        <w:t>?</w:t>
      </w:r>
    </w:p>
    <w:p w14:paraId="393A7E87" w14:textId="77777777"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Theoretical Basis</w:t>
      </w:r>
    </w:p>
    <w:p w14:paraId="268EA6D8" w14:textId="0DD6948F" w:rsidR="00180EA7" w:rsidRPr="00604BE8" w:rsidRDefault="00604BE8" w:rsidP="00180EA7">
      <w:pPr>
        <w:spacing w:after="160" w:line="360" w:lineRule="auto"/>
        <w:jc w:val="both"/>
        <w:rPr>
          <w:rFonts w:ascii="Calibri" w:hAnsi="Calibri" w:cs="Calibri"/>
          <w:sz w:val="22"/>
          <w:szCs w:val="22"/>
        </w:rPr>
      </w:pPr>
      <w:r w:rsidRPr="00604BE8">
        <w:rPr>
          <w:rFonts w:ascii="Calibri" w:eastAsia="Times New Roman" w:hAnsi="Calibri" w:cs="Calibri"/>
          <w:sz w:val="22"/>
          <w:szCs w:val="22"/>
        </w:rPr>
        <w:t>The CDT organizes career descriptions into three domains—Roots, Tree, and Sun—to visualize career as a structured whole across time</w:t>
      </w:r>
      <w:r w:rsidR="00180EA7" w:rsidRPr="00604BE8">
        <w:rPr>
          <w:rFonts w:ascii="Calibri" w:eastAsia="Times New Roman" w:hAnsi="Calibri" w:cs="Calibri"/>
          <w:sz w:val="22"/>
          <w:szCs w:val="22"/>
        </w:rPr>
        <w:t xml:space="preserve">. </w:t>
      </w:r>
      <w:r w:rsidRPr="00604BE8">
        <w:rPr>
          <w:rFonts w:ascii="Calibri" w:eastAsia="Times New Roman" w:hAnsi="Calibri" w:cs="Calibri"/>
          <w:sz w:val="22"/>
          <w:szCs w:val="22"/>
        </w:rPr>
        <w:t>This design treats career not as a single occupational preference, but as a developmental configuration linking past, present, and future.</w:t>
      </w:r>
      <w:r w:rsidR="00180EA7" w:rsidRPr="00604BE8">
        <w:rPr>
          <w:rFonts w:ascii="Calibri" w:eastAsia="Times New Roman" w:hAnsi="Calibri" w:cs="Calibri"/>
          <w:sz w:val="22"/>
          <w:szCs w:val="22"/>
        </w:rPr>
        <w:t xml:space="preserve"> </w:t>
      </w:r>
      <w:r w:rsidRPr="00604BE8">
        <w:rPr>
          <w:rFonts w:ascii="Calibri" w:eastAsia="Times New Roman" w:hAnsi="Calibri" w:cs="Calibri"/>
          <w:sz w:val="22"/>
          <w:szCs w:val="22"/>
        </w:rPr>
        <w:t xml:space="preserve">The CDT is informed by Super’s </w:t>
      </w:r>
      <w:r w:rsidRPr="00604BE8">
        <w:rPr>
          <w:rFonts w:ascii="Calibri" w:hAnsi="Calibri" w:cs="Calibri" w:hint="eastAsia"/>
          <w:sz w:val="22"/>
          <w:szCs w:val="22"/>
        </w:rPr>
        <w:t xml:space="preserve">(1980) </w:t>
      </w:r>
      <w:proofErr w:type="gramStart"/>
      <w:r w:rsidRPr="00604BE8">
        <w:rPr>
          <w:rFonts w:ascii="Calibri" w:eastAsia="Times New Roman" w:hAnsi="Calibri" w:cs="Calibri"/>
          <w:sz w:val="22"/>
          <w:szCs w:val="22"/>
        </w:rPr>
        <w:t>life-span</w:t>
      </w:r>
      <w:proofErr w:type="gramEnd"/>
      <w:r w:rsidRPr="00604BE8">
        <w:rPr>
          <w:rFonts w:ascii="Calibri" w:eastAsia="Times New Roman" w:hAnsi="Calibri" w:cs="Calibri"/>
          <w:sz w:val="22"/>
          <w:szCs w:val="22"/>
        </w:rPr>
        <w:t>, life-space approach, which conceptualizes career as a pattern unfolding across the lifespan.</w:t>
      </w:r>
      <w:r w:rsidR="00180EA7" w:rsidRPr="00604BE8">
        <w:rPr>
          <w:rFonts w:ascii="Calibri" w:eastAsia="Times New Roman" w:hAnsi="Calibri" w:cs="Calibri"/>
          <w:sz w:val="22"/>
          <w:szCs w:val="22"/>
        </w:rPr>
        <w:t xml:space="preserve"> </w:t>
      </w:r>
      <w:r w:rsidRPr="00604BE8">
        <w:rPr>
          <w:rFonts w:ascii="Calibri" w:eastAsia="Times New Roman" w:hAnsi="Calibri" w:cs="Calibri"/>
          <w:sz w:val="22"/>
          <w:szCs w:val="22"/>
        </w:rPr>
        <w:t xml:space="preserve">The one-page layout allows learners to grasp these relationships </w:t>
      </w:r>
      <w:proofErr w:type="gramStart"/>
      <w:r w:rsidRPr="00604BE8">
        <w:rPr>
          <w:rFonts w:ascii="Calibri" w:eastAsia="Times New Roman" w:hAnsi="Calibri" w:cs="Calibri"/>
          <w:sz w:val="22"/>
          <w:szCs w:val="22"/>
        </w:rPr>
        <w:t>at a glance</w:t>
      </w:r>
      <w:proofErr w:type="gramEnd"/>
      <w:r w:rsidRPr="00604BE8">
        <w:rPr>
          <w:rFonts w:ascii="Calibri" w:eastAsia="Times New Roman" w:hAnsi="Calibri" w:cs="Calibri"/>
          <w:sz w:val="22"/>
          <w:szCs w:val="22"/>
        </w:rPr>
        <w:t>.</w:t>
      </w:r>
    </w:p>
    <w:p w14:paraId="1414DE2F" w14:textId="3C9D8313" w:rsidR="00786B8A" w:rsidRPr="00604BE8" w:rsidRDefault="00180EA7" w:rsidP="00A86A07">
      <w:pPr>
        <w:spacing w:after="160" w:line="360" w:lineRule="auto"/>
        <w:jc w:val="both"/>
        <w:rPr>
          <w:rFonts w:ascii="Calibri" w:hAnsi="Calibri" w:cs="Calibri"/>
          <w:sz w:val="22"/>
          <w:szCs w:val="22"/>
        </w:rPr>
      </w:pPr>
      <w:r w:rsidRPr="00180EA7">
        <w:rPr>
          <w:rFonts w:ascii="Calibri" w:eastAsia="Times New Roman" w:hAnsi="Calibri" w:cs="Calibri"/>
          <w:sz w:val="22"/>
          <w:szCs w:val="22"/>
        </w:rPr>
        <w:t xml:space="preserve">This framework is further supported by Savickas’s (2012, 2013) career construction theory, which characterizes career through three self-levels (social actor, motivated agent, and autobiographical author) and emphasizes both reflection on the past and reflexive orientation toward the future. </w:t>
      </w:r>
      <w:r w:rsidR="00604BE8" w:rsidRPr="00604BE8">
        <w:rPr>
          <w:rFonts w:ascii="Calibri" w:eastAsia="Times New Roman" w:hAnsi="Calibri" w:cs="Calibri"/>
          <w:sz w:val="22"/>
          <w:szCs w:val="22"/>
        </w:rPr>
        <w:t>McAdams’s (1993) narrative identity framework likewise defines identity as a temporally coherent story integrating past and future.</w:t>
      </w:r>
      <w:r w:rsidRPr="00180EA7">
        <w:rPr>
          <w:rFonts w:ascii="Calibri" w:eastAsia="Times New Roman" w:hAnsi="Calibri" w:cs="Calibri"/>
          <w:sz w:val="22"/>
          <w:szCs w:val="22"/>
        </w:rPr>
        <w:t xml:space="preserve"> </w:t>
      </w:r>
      <w:r w:rsidR="00604BE8" w:rsidRPr="00604BE8">
        <w:rPr>
          <w:rFonts w:ascii="Calibri" w:eastAsia="Times New Roman" w:hAnsi="Calibri" w:cs="Calibri"/>
          <w:sz w:val="22"/>
          <w:szCs w:val="22"/>
        </w:rPr>
        <w:t>From these perspectives, the CDT functions as a compact visual scaffold for organizing career reflection across domains.</w:t>
      </w:r>
    </w:p>
    <w:p w14:paraId="36A2DE90" w14:textId="77777777" w:rsidR="00772899" w:rsidRDefault="00772899" w:rsidP="00A86A07">
      <w:pPr>
        <w:spacing w:before="240" w:after="120" w:line="360" w:lineRule="auto"/>
        <w:rPr>
          <w:rFonts w:ascii="Calibri" w:hAnsi="Calibri" w:cs="Calibri"/>
          <w:b/>
          <w:bCs/>
          <w:sz w:val="22"/>
          <w:szCs w:val="22"/>
        </w:rPr>
      </w:pPr>
    </w:p>
    <w:p w14:paraId="7F9C5C14" w14:textId="317A29D0"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lastRenderedPageBreak/>
        <w:t>Methodology</w:t>
      </w:r>
    </w:p>
    <w:p w14:paraId="2C857583" w14:textId="4A62D1A5" w:rsidR="00786B8A" w:rsidRPr="00604BE8" w:rsidRDefault="004040E5" w:rsidP="00A86A07">
      <w:pPr>
        <w:spacing w:after="160" w:line="360" w:lineRule="auto"/>
        <w:jc w:val="both"/>
        <w:rPr>
          <w:rFonts w:ascii="Calibri" w:hAnsi="Calibri" w:cs="Calibri"/>
          <w:sz w:val="22"/>
          <w:szCs w:val="22"/>
        </w:rPr>
      </w:pPr>
      <w:r w:rsidRPr="00604BE8">
        <w:rPr>
          <w:rFonts w:ascii="Calibri" w:eastAsia="Times New Roman" w:hAnsi="Calibri" w:cs="Calibri"/>
          <w:sz w:val="22"/>
          <w:szCs w:val="22"/>
        </w:rPr>
        <w:t xml:space="preserve">Data </w:t>
      </w:r>
      <w:r w:rsidR="00EC4B10" w:rsidRPr="00604BE8">
        <w:rPr>
          <w:rFonts w:ascii="Calibri" w:eastAsia="Times New Roman" w:hAnsi="Calibri" w:cs="Calibri"/>
          <w:sz w:val="22"/>
          <w:szCs w:val="22"/>
        </w:rPr>
        <w:t xml:space="preserve">were collected from 147 first-year students enrolled in the Faculty of Human Cultures (Departments of Psychology, Human Cultures, and Media and Visual Studies) at </w:t>
      </w:r>
      <w:r w:rsidR="00315AA9" w:rsidRPr="00604BE8">
        <w:rPr>
          <w:rFonts w:ascii="Calibri" w:hAnsi="Calibri" w:cs="Calibri"/>
          <w:sz w:val="22"/>
          <w:szCs w:val="22"/>
        </w:rPr>
        <w:t>Fukuyama U</w:t>
      </w:r>
      <w:r w:rsidR="00EC4B10" w:rsidRPr="00604BE8">
        <w:rPr>
          <w:rFonts w:ascii="Calibri" w:eastAsia="Times New Roman" w:hAnsi="Calibri" w:cs="Calibri"/>
          <w:sz w:val="22"/>
          <w:szCs w:val="22"/>
        </w:rPr>
        <w:t xml:space="preserve">niversity. Students completed the CDT within a 30-minute portion of a single class session. All entries were written in Japanese and tokenized using </w:t>
      </w:r>
      <w:proofErr w:type="spellStart"/>
      <w:r w:rsidR="00EC4B10" w:rsidRPr="00604BE8">
        <w:rPr>
          <w:rFonts w:ascii="Calibri" w:eastAsia="Times New Roman" w:hAnsi="Calibri" w:cs="Calibri"/>
          <w:sz w:val="22"/>
          <w:szCs w:val="22"/>
        </w:rPr>
        <w:t>MeCab</w:t>
      </w:r>
      <w:proofErr w:type="spellEnd"/>
      <w:r w:rsidR="00315AA9" w:rsidRPr="00604BE8">
        <w:rPr>
          <w:rFonts w:ascii="Calibri" w:hAnsi="Calibri" w:cs="Calibri"/>
          <w:sz w:val="22"/>
          <w:szCs w:val="22"/>
        </w:rPr>
        <w:t xml:space="preserve"> </w:t>
      </w:r>
      <w:r w:rsidR="00EC4B10" w:rsidRPr="00604BE8">
        <w:rPr>
          <w:rFonts w:ascii="Calibri" w:eastAsia="Times New Roman" w:hAnsi="Calibri" w:cs="Calibri"/>
          <w:sz w:val="22"/>
          <w:szCs w:val="22"/>
        </w:rPr>
        <w:t xml:space="preserve">to extract content words from free-text descriptions. Occurrence rates were calculated on a person-based basis to prevent inflation from high-volume respondents. </w:t>
      </w:r>
    </w:p>
    <w:p w14:paraId="16F9DB04" w14:textId="77777777"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Results</w:t>
      </w:r>
    </w:p>
    <w:p w14:paraId="02B00A54" w14:textId="6F307A73" w:rsidR="00EC4B10" w:rsidRPr="00604BE8" w:rsidRDefault="00EC4B10" w:rsidP="00A86A07">
      <w:pPr>
        <w:spacing w:after="160" w:line="360" w:lineRule="auto"/>
        <w:jc w:val="both"/>
        <w:rPr>
          <w:rFonts w:ascii="Calibri" w:eastAsia="Times New Roman" w:hAnsi="Calibri" w:cs="Calibri"/>
          <w:sz w:val="22"/>
          <w:szCs w:val="22"/>
        </w:rPr>
      </w:pPr>
      <w:r w:rsidRPr="00604BE8">
        <w:rPr>
          <w:rFonts w:ascii="Calibri" w:eastAsia="Times New Roman" w:hAnsi="Calibri" w:cs="Calibri"/>
          <w:sz w:val="22"/>
          <w:szCs w:val="22"/>
        </w:rPr>
        <w:t>Entry counts confirmed CDT feasibility for most participants (RQ1): the Tree domain yielded the highest entries (median=13, mean=13.9), followed by Roots (median=6) and Sun (median=2), with a median total of 22 entries and only two students recording none (see Table 1). The distribution confirms that students populated all three domains within the allotted time without specialist support.</w:t>
      </w:r>
    </w:p>
    <w:p w14:paraId="0A53D351" w14:textId="7B6740A4" w:rsidR="00786B8A" w:rsidRPr="00604BE8" w:rsidRDefault="00EC4B10" w:rsidP="00A86A07">
      <w:pPr>
        <w:spacing w:after="160" w:line="360" w:lineRule="auto"/>
        <w:jc w:val="both"/>
        <w:rPr>
          <w:rFonts w:ascii="Calibri" w:hAnsi="Calibri" w:cs="Calibri"/>
          <w:sz w:val="22"/>
          <w:szCs w:val="22"/>
        </w:rPr>
      </w:pPr>
      <w:proofErr w:type="gramStart"/>
      <w:r w:rsidRPr="00604BE8">
        <w:rPr>
          <w:rFonts w:ascii="Calibri" w:eastAsia="Times New Roman" w:hAnsi="Calibri" w:cs="Calibri"/>
          <w:sz w:val="22"/>
          <w:szCs w:val="22"/>
        </w:rPr>
        <w:t>Top-</w:t>
      </w:r>
      <w:r w:rsidR="00A45976" w:rsidRPr="00604BE8">
        <w:rPr>
          <w:rFonts w:ascii="Calibri" w:hAnsi="Calibri" w:cs="Calibri"/>
          <w:sz w:val="22"/>
          <w:szCs w:val="22"/>
        </w:rPr>
        <w:t>5</w:t>
      </w:r>
      <w:proofErr w:type="gramEnd"/>
      <w:r w:rsidRPr="00604BE8">
        <w:rPr>
          <w:rFonts w:ascii="Calibri" w:eastAsia="Times New Roman" w:hAnsi="Calibri" w:cs="Calibri"/>
          <w:sz w:val="22"/>
          <w:szCs w:val="22"/>
        </w:rPr>
        <w:t xml:space="preserve"> common words</w:t>
      </w:r>
      <w:r w:rsidR="00F63E1C" w:rsidRPr="00604BE8">
        <w:rPr>
          <w:rFonts w:ascii="Calibri" w:hAnsi="Calibri" w:cs="Calibri"/>
          <w:sz w:val="22"/>
          <w:szCs w:val="22"/>
        </w:rPr>
        <w:t xml:space="preserve"> (English Translated)</w:t>
      </w:r>
      <w:r w:rsidRPr="00604BE8">
        <w:rPr>
          <w:rFonts w:ascii="Calibri" w:eastAsia="Times New Roman" w:hAnsi="Calibri" w:cs="Calibri"/>
          <w:sz w:val="22"/>
          <w:szCs w:val="22"/>
        </w:rPr>
        <w:t xml:space="preserve"> showed clear domain separation consistent with the intended structure (RQ2). The Sun domain featured value-oriented and aspirational terms such as </w:t>
      </w:r>
      <w:r w:rsidR="00A45976" w:rsidRPr="00604BE8">
        <w:rPr>
          <w:rFonts w:ascii="Calibri" w:hAnsi="Calibri" w:cs="Calibri"/>
          <w:sz w:val="22"/>
          <w:szCs w:val="22"/>
        </w:rPr>
        <w:t>“</w:t>
      </w:r>
      <w:r w:rsidRPr="00604BE8">
        <w:rPr>
          <w:rFonts w:ascii="Calibri" w:eastAsia="Times New Roman" w:hAnsi="Calibri" w:cs="Calibri"/>
          <w:sz w:val="22"/>
          <w:szCs w:val="22"/>
        </w:rPr>
        <w:t>work</w:t>
      </w:r>
      <w:r w:rsidR="00A45976" w:rsidRPr="00604BE8">
        <w:rPr>
          <w:rFonts w:ascii="Calibri" w:hAnsi="Calibri" w:cs="Calibri"/>
          <w:sz w:val="22"/>
          <w:szCs w:val="22"/>
        </w:rPr>
        <w:t>”</w:t>
      </w:r>
      <w:r w:rsidRPr="00604BE8">
        <w:rPr>
          <w:rFonts w:ascii="Calibri" w:eastAsia="Times New Roman" w:hAnsi="Calibri" w:cs="Calibri"/>
          <w:sz w:val="22"/>
          <w:szCs w:val="22"/>
        </w:rPr>
        <w:t xml:space="preserve">, </w:t>
      </w:r>
      <w:r w:rsidR="00A45976" w:rsidRPr="00604BE8">
        <w:rPr>
          <w:rFonts w:ascii="Calibri" w:hAnsi="Calibri" w:cs="Calibri"/>
          <w:sz w:val="22"/>
          <w:szCs w:val="22"/>
        </w:rPr>
        <w:t>“</w:t>
      </w:r>
      <w:r w:rsidRPr="00604BE8">
        <w:rPr>
          <w:rFonts w:ascii="Calibri" w:eastAsia="Times New Roman" w:hAnsi="Calibri" w:cs="Calibri"/>
          <w:sz w:val="22"/>
          <w:szCs w:val="22"/>
        </w:rPr>
        <w:t>self</w:t>
      </w:r>
      <w:r w:rsidR="00A45976" w:rsidRPr="00604BE8">
        <w:rPr>
          <w:rFonts w:ascii="Calibri" w:hAnsi="Calibri" w:cs="Calibri"/>
          <w:sz w:val="22"/>
          <w:szCs w:val="22"/>
        </w:rPr>
        <w:t>”</w:t>
      </w:r>
      <w:r w:rsidRPr="00604BE8">
        <w:rPr>
          <w:rFonts w:ascii="Calibri" w:eastAsia="Times New Roman" w:hAnsi="Calibri" w:cs="Calibri"/>
          <w:sz w:val="22"/>
          <w:szCs w:val="22"/>
        </w:rPr>
        <w:t xml:space="preserve">, </w:t>
      </w:r>
      <w:r w:rsidR="00A45976" w:rsidRPr="00604BE8">
        <w:rPr>
          <w:rFonts w:ascii="Calibri" w:hAnsi="Calibri" w:cs="Calibri"/>
          <w:sz w:val="22"/>
          <w:szCs w:val="22"/>
        </w:rPr>
        <w:t>“</w:t>
      </w:r>
      <w:r w:rsidRPr="00604BE8">
        <w:rPr>
          <w:rFonts w:ascii="Calibri" w:eastAsia="Times New Roman" w:hAnsi="Calibri" w:cs="Calibri"/>
          <w:sz w:val="22"/>
          <w:szCs w:val="22"/>
        </w:rPr>
        <w:t>hobby</w:t>
      </w:r>
      <w:r w:rsidR="00A45976" w:rsidRPr="00604BE8">
        <w:rPr>
          <w:rFonts w:ascii="Calibri" w:hAnsi="Calibri" w:cs="Calibri"/>
          <w:sz w:val="22"/>
          <w:szCs w:val="22"/>
        </w:rPr>
        <w:t>”</w:t>
      </w:r>
      <w:r w:rsidRPr="00604BE8">
        <w:rPr>
          <w:rFonts w:ascii="Calibri" w:eastAsia="Times New Roman" w:hAnsi="Calibri" w:cs="Calibri"/>
          <w:sz w:val="22"/>
          <w:szCs w:val="22"/>
        </w:rPr>
        <w:t xml:space="preserve">, and </w:t>
      </w:r>
      <w:r w:rsidR="00A45976" w:rsidRPr="00604BE8">
        <w:rPr>
          <w:rFonts w:ascii="Calibri" w:hAnsi="Calibri" w:cs="Calibri"/>
          <w:sz w:val="22"/>
          <w:szCs w:val="22"/>
        </w:rPr>
        <w:t>“</w:t>
      </w:r>
      <w:r w:rsidRPr="00604BE8">
        <w:rPr>
          <w:rFonts w:ascii="Calibri" w:eastAsia="Times New Roman" w:hAnsi="Calibri" w:cs="Calibri"/>
          <w:sz w:val="22"/>
          <w:szCs w:val="22"/>
        </w:rPr>
        <w:t>stability</w:t>
      </w:r>
      <w:r w:rsidR="00A45976" w:rsidRPr="00604BE8">
        <w:rPr>
          <w:rFonts w:ascii="Calibri" w:hAnsi="Calibri" w:cs="Calibri"/>
          <w:sz w:val="22"/>
          <w:szCs w:val="22"/>
        </w:rPr>
        <w:t>”</w:t>
      </w:r>
      <w:r w:rsidRPr="00604BE8">
        <w:rPr>
          <w:rFonts w:ascii="Calibri" w:eastAsia="Times New Roman" w:hAnsi="Calibri" w:cs="Calibri"/>
          <w:sz w:val="22"/>
          <w:szCs w:val="22"/>
        </w:rPr>
        <w:t xml:space="preserve">, reflecting students' tendency to describe a desired way of living rather than specifying occupational titles. The Tree domain produced action-oriented terms including </w:t>
      </w:r>
      <w:r w:rsidR="00A45976" w:rsidRPr="00604BE8">
        <w:rPr>
          <w:rFonts w:ascii="Calibri" w:hAnsi="Calibri" w:cs="Calibri"/>
          <w:sz w:val="22"/>
          <w:szCs w:val="22"/>
        </w:rPr>
        <w:t>“</w:t>
      </w:r>
      <w:r w:rsidRPr="00604BE8">
        <w:rPr>
          <w:rFonts w:ascii="Calibri" w:eastAsia="Times New Roman" w:hAnsi="Calibri" w:cs="Calibri"/>
          <w:sz w:val="22"/>
          <w:szCs w:val="22"/>
        </w:rPr>
        <w:t>part-time job</w:t>
      </w:r>
      <w:r w:rsidR="00A45976" w:rsidRPr="00604BE8">
        <w:rPr>
          <w:rFonts w:ascii="Calibri" w:hAnsi="Calibri" w:cs="Calibri"/>
          <w:sz w:val="22"/>
          <w:szCs w:val="22"/>
        </w:rPr>
        <w:t>”</w:t>
      </w:r>
      <w:r w:rsidRPr="00604BE8">
        <w:rPr>
          <w:rFonts w:ascii="Calibri" w:eastAsia="Times New Roman" w:hAnsi="Calibri" w:cs="Calibri"/>
          <w:sz w:val="22"/>
          <w:szCs w:val="22"/>
        </w:rPr>
        <w:t xml:space="preserve">, </w:t>
      </w:r>
      <w:r w:rsidR="00A45976" w:rsidRPr="00604BE8">
        <w:rPr>
          <w:rFonts w:ascii="Calibri" w:hAnsi="Calibri" w:cs="Calibri"/>
          <w:sz w:val="22"/>
          <w:szCs w:val="22"/>
        </w:rPr>
        <w:t>“</w:t>
      </w:r>
      <w:r w:rsidRPr="00604BE8">
        <w:rPr>
          <w:rFonts w:ascii="Calibri" w:eastAsia="Times New Roman" w:hAnsi="Calibri" w:cs="Calibri"/>
          <w:sz w:val="22"/>
          <w:szCs w:val="22"/>
        </w:rPr>
        <w:t>university</w:t>
      </w:r>
      <w:r w:rsidR="00A45976" w:rsidRPr="00604BE8">
        <w:rPr>
          <w:rFonts w:ascii="Calibri" w:hAnsi="Calibri" w:cs="Calibri"/>
          <w:sz w:val="22"/>
          <w:szCs w:val="22"/>
        </w:rPr>
        <w:t>”, and</w:t>
      </w:r>
      <w:r w:rsidRPr="00604BE8">
        <w:rPr>
          <w:rFonts w:ascii="Calibri" w:eastAsia="Times New Roman" w:hAnsi="Calibri" w:cs="Calibri"/>
          <w:sz w:val="22"/>
          <w:szCs w:val="22"/>
        </w:rPr>
        <w:t xml:space="preserve"> </w:t>
      </w:r>
      <w:r w:rsidR="00A45976" w:rsidRPr="00604BE8">
        <w:rPr>
          <w:rFonts w:ascii="Calibri" w:hAnsi="Calibri" w:cs="Calibri"/>
          <w:sz w:val="22"/>
          <w:szCs w:val="22"/>
        </w:rPr>
        <w:t>“</w:t>
      </w:r>
      <w:r w:rsidRPr="00604BE8">
        <w:rPr>
          <w:rFonts w:ascii="Calibri" w:eastAsia="Times New Roman" w:hAnsi="Calibri" w:cs="Calibri"/>
          <w:sz w:val="22"/>
          <w:szCs w:val="22"/>
        </w:rPr>
        <w:t>study</w:t>
      </w:r>
      <w:r w:rsidR="00A45976" w:rsidRPr="00604BE8">
        <w:rPr>
          <w:rFonts w:ascii="Calibri" w:hAnsi="Calibri" w:cs="Calibri"/>
          <w:sz w:val="22"/>
          <w:szCs w:val="22"/>
        </w:rPr>
        <w:t>”</w:t>
      </w:r>
      <w:r w:rsidRPr="00604BE8">
        <w:rPr>
          <w:rFonts w:ascii="Calibri" w:eastAsia="Times New Roman" w:hAnsi="Calibri" w:cs="Calibri"/>
          <w:sz w:val="22"/>
          <w:szCs w:val="22"/>
        </w:rPr>
        <w:t xml:space="preserve">, indicating that students framed this domain around concrete activities in their current university life. The Roots domain generated retrospective terms such as </w:t>
      </w:r>
      <w:r w:rsidR="00A45976" w:rsidRPr="00604BE8">
        <w:rPr>
          <w:rFonts w:ascii="Calibri" w:hAnsi="Calibri" w:cs="Calibri"/>
          <w:sz w:val="22"/>
          <w:szCs w:val="22"/>
        </w:rPr>
        <w:t>“</w:t>
      </w:r>
      <w:r w:rsidRPr="00604BE8">
        <w:rPr>
          <w:rFonts w:ascii="Calibri" w:eastAsia="Times New Roman" w:hAnsi="Calibri" w:cs="Calibri"/>
          <w:sz w:val="22"/>
          <w:szCs w:val="22"/>
        </w:rPr>
        <w:t>liked</w:t>
      </w:r>
      <w:r w:rsidR="00A45976" w:rsidRPr="00604BE8">
        <w:rPr>
          <w:rFonts w:ascii="Calibri" w:hAnsi="Calibri" w:cs="Calibri"/>
          <w:sz w:val="22"/>
          <w:szCs w:val="22"/>
        </w:rPr>
        <w:t>”</w:t>
      </w:r>
      <w:r w:rsidRPr="00604BE8">
        <w:rPr>
          <w:rFonts w:ascii="Calibri" w:eastAsia="Times New Roman" w:hAnsi="Calibri" w:cs="Calibri"/>
          <w:sz w:val="22"/>
          <w:szCs w:val="22"/>
        </w:rPr>
        <w:t xml:space="preserve">, </w:t>
      </w:r>
      <w:r w:rsidR="00A45976" w:rsidRPr="00604BE8">
        <w:rPr>
          <w:rFonts w:ascii="Calibri" w:hAnsi="Calibri" w:cs="Calibri"/>
          <w:sz w:val="22"/>
          <w:szCs w:val="22"/>
        </w:rPr>
        <w:t>“</w:t>
      </w:r>
      <w:r w:rsidRPr="00604BE8">
        <w:rPr>
          <w:rFonts w:ascii="Calibri" w:eastAsia="Times New Roman" w:hAnsi="Calibri" w:cs="Calibri"/>
          <w:sz w:val="22"/>
          <w:szCs w:val="22"/>
        </w:rPr>
        <w:t>high school</w:t>
      </w:r>
      <w:r w:rsidR="00A45976" w:rsidRPr="00604BE8">
        <w:rPr>
          <w:rFonts w:ascii="Calibri" w:hAnsi="Calibri" w:cs="Calibri"/>
          <w:sz w:val="22"/>
          <w:szCs w:val="22"/>
        </w:rPr>
        <w:t>”</w:t>
      </w:r>
      <w:r w:rsidRPr="00604BE8">
        <w:rPr>
          <w:rFonts w:ascii="Calibri" w:eastAsia="Times New Roman" w:hAnsi="Calibri" w:cs="Calibri"/>
          <w:sz w:val="22"/>
          <w:szCs w:val="22"/>
        </w:rPr>
        <w:t xml:space="preserve">, and </w:t>
      </w:r>
      <w:r w:rsidR="00A45976" w:rsidRPr="00604BE8">
        <w:rPr>
          <w:rFonts w:ascii="Calibri" w:hAnsi="Calibri" w:cs="Calibri"/>
          <w:sz w:val="22"/>
          <w:szCs w:val="22"/>
        </w:rPr>
        <w:t>“</w:t>
      </w:r>
      <w:r w:rsidRPr="00604BE8">
        <w:rPr>
          <w:rFonts w:ascii="Calibri" w:eastAsia="Times New Roman" w:hAnsi="Calibri" w:cs="Calibri"/>
          <w:sz w:val="22"/>
          <w:szCs w:val="22"/>
        </w:rPr>
        <w:t>good at</w:t>
      </w:r>
      <w:r w:rsidR="00A45976" w:rsidRPr="00604BE8">
        <w:rPr>
          <w:rFonts w:ascii="Calibri" w:hAnsi="Calibri" w:cs="Calibri"/>
          <w:sz w:val="22"/>
          <w:szCs w:val="22"/>
        </w:rPr>
        <w:t>”</w:t>
      </w:r>
      <w:r w:rsidRPr="00604BE8">
        <w:rPr>
          <w:rFonts w:ascii="Calibri" w:eastAsia="Times New Roman" w:hAnsi="Calibri" w:cs="Calibri"/>
          <w:sz w:val="22"/>
          <w:szCs w:val="22"/>
        </w:rPr>
        <w:t xml:space="preserve">, showing that students drew on </w:t>
      </w:r>
      <w:proofErr w:type="gramStart"/>
      <w:r w:rsidRPr="00604BE8">
        <w:rPr>
          <w:rFonts w:ascii="Calibri" w:eastAsia="Times New Roman" w:hAnsi="Calibri" w:cs="Calibri"/>
          <w:sz w:val="22"/>
          <w:szCs w:val="22"/>
        </w:rPr>
        <w:t>past experience</w:t>
      </w:r>
      <w:proofErr w:type="gramEnd"/>
      <w:r w:rsidRPr="00604BE8">
        <w:rPr>
          <w:rFonts w:ascii="Calibri" w:eastAsia="Times New Roman" w:hAnsi="Calibri" w:cs="Calibri"/>
          <w:sz w:val="22"/>
          <w:szCs w:val="22"/>
        </w:rPr>
        <w:t xml:space="preserve"> and personal characteristics. This thematic differentiation confirms that the three domains function as intended within a single session (see Table 2).</w:t>
      </w:r>
    </w:p>
    <w:p w14:paraId="4CDE7A01" w14:textId="77777777" w:rsidR="00786B8A" w:rsidRPr="00604BE8" w:rsidRDefault="004040E5" w:rsidP="00A86A07">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Conclusions</w:t>
      </w:r>
    </w:p>
    <w:p w14:paraId="05931B54" w14:textId="64DFFA5D" w:rsidR="001610BC" w:rsidRPr="00604BE8" w:rsidRDefault="00EC4B10" w:rsidP="00A86A07">
      <w:pPr>
        <w:spacing w:after="160" w:line="360" w:lineRule="auto"/>
        <w:jc w:val="both"/>
        <w:rPr>
          <w:rFonts w:ascii="Calibri" w:hAnsi="Calibri" w:cs="Calibri"/>
          <w:sz w:val="22"/>
          <w:szCs w:val="22"/>
        </w:rPr>
      </w:pPr>
      <w:r w:rsidRPr="00604BE8">
        <w:rPr>
          <w:rFonts w:ascii="Calibri" w:eastAsia="Times New Roman" w:hAnsi="Calibri" w:cs="Calibri"/>
          <w:sz w:val="22"/>
          <w:szCs w:val="22"/>
        </w:rPr>
        <w:t>The CDT demonstrates feasibility within a single session and structural validity across three domains, with each domain eliciting content consistent with its intended purpose. These findings position the CDT as a practical, time-efficient tool for career overview that requires neither professional counselling nor specialist facilitation. Its tree metaphor and one-page format support both self-comparison across domains and peer comparison within a</w:t>
      </w:r>
      <w:r w:rsidR="00C31011" w:rsidRPr="00604BE8">
        <w:rPr>
          <w:rFonts w:ascii="Calibri" w:hAnsi="Calibri" w:cs="Calibri"/>
          <w:sz w:val="22"/>
          <w:szCs w:val="22"/>
        </w:rPr>
        <w:t xml:space="preserve"> group</w:t>
      </w:r>
      <w:r w:rsidRPr="00604BE8">
        <w:rPr>
          <w:rFonts w:ascii="Calibri" w:eastAsia="Times New Roman" w:hAnsi="Calibri" w:cs="Calibri"/>
          <w:sz w:val="22"/>
          <w:szCs w:val="22"/>
        </w:rPr>
        <w:t xml:space="preserve">. </w:t>
      </w:r>
      <w:r w:rsidR="00315AA9" w:rsidRPr="00604BE8">
        <w:rPr>
          <w:rFonts w:ascii="Calibri" w:eastAsia="Times New Roman" w:hAnsi="Calibri" w:cs="Calibri"/>
          <w:sz w:val="22"/>
          <w:szCs w:val="22"/>
        </w:rPr>
        <w:t>When completed periodically, the CDT can capture the evolution of an individual's career orientation, allowing both learner and educator to trace that trajectory and sustain metacognitive awareness of career development over time.</w:t>
      </w:r>
    </w:p>
    <w:p w14:paraId="3E5FF46E" w14:textId="0230F515" w:rsidR="00233AF3" w:rsidRPr="00604BE8" w:rsidRDefault="00233AF3" w:rsidP="00233AF3">
      <w:pPr>
        <w:widowControl/>
        <w:rPr>
          <w:rFonts w:ascii="Calibri" w:hAnsi="Calibri" w:cs="Calibri"/>
          <w:sz w:val="22"/>
          <w:szCs w:val="22"/>
        </w:rPr>
      </w:pPr>
      <w:r w:rsidRPr="00604BE8">
        <w:rPr>
          <w:rFonts w:ascii="Calibri" w:hAnsi="Calibri" w:cs="Calibri"/>
          <w:sz w:val="22"/>
          <w:szCs w:val="22"/>
        </w:rPr>
        <w:br w:type="page"/>
      </w:r>
    </w:p>
    <w:p w14:paraId="5417E069" w14:textId="2FD573F9" w:rsidR="001610BC" w:rsidRPr="00604BE8" w:rsidRDefault="00233AF3" w:rsidP="00604BE8">
      <w:pPr>
        <w:spacing w:after="160" w:line="360" w:lineRule="auto"/>
        <w:jc w:val="both"/>
        <w:rPr>
          <w:rFonts w:ascii="Calibri" w:hAnsi="Calibri" w:cs="Calibri"/>
          <w:b/>
          <w:bCs/>
          <w:sz w:val="22"/>
          <w:szCs w:val="22"/>
        </w:rPr>
      </w:pPr>
      <w:r w:rsidRPr="00604BE8">
        <w:rPr>
          <w:rFonts w:ascii="Calibri" w:hAnsi="Calibri" w:cs="Calibri"/>
          <w:b/>
          <w:bCs/>
          <w:sz w:val="22"/>
          <w:szCs w:val="22"/>
        </w:rPr>
        <w:lastRenderedPageBreak/>
        <w:t>Figure 1.</w:t>
      </w:r>
    </w:p>
    <w:p w14:paraId="3EF87A92" w14:textId="56E49A81" w:rsidR="00233AF3" w:rsidRPr="00604BE8" w:rsidRDefault="004E6409" w:rsidP="00604BE8">
      <w:pPr>
        <w:spacing w:after="160" w:line="360" w:lineRule="auto"/>
        <w:jc w:val="both"/>
        <w:rPr>
          <w:rFonts w:ascii="Calibri" w:hAnsi="Calibri" w:cs="Calibri"/>
          <w:sz w:val="22"/>
          <w:szCs w:val="22"/>
        </w:rPr>
      </w:pPr>
      <w:r>
        <w:rPr>
          <w:rFonts w:ascii="Calibri" w:hAnsi="Calibri" w:cs="Calibri"/>
          <w:sz w:val="22"/>
          <w:szCs w:val="22"/>
        </w:rPr>
        <w:t xml:space="preserve">English </w:t>
      </w:r>
      <w:r w:rsidR="00233AF3" w:rsidRPr="00604BE8">
        <w:rPr>
          <w:rFonts w:ascii="Calibri" w:hAnsi="Calibri" w:cs="Calibri"/>
          <w:sz w:val="22"/>
          <w:szCs w:val="22"/>
        </w:rPr>
        <w:t>Sample of Career Design Tree</w:t>
      </w:r>
    </w:p>
    <w:p w14:paraId="6DFE4BD0" w14:textId="532B8D41" w:rsidR="00233AF3" w:rsidRPr="00604BE8" w:rsidRDefault="00233AF3" w:rsidP="00604BE8">
      <w:pPr>
        <w:spacing w:after="160" w:line="360" w:lineRule="auto"/>
        <w:jc w:val="both"/>
        <w:rPr>
          <w:rFonts w:ascii="Calibri" w:hAnsi="Calibri" w:cs="Calibri"/>
          <w:sz w:val="22"/>
          <w:szCs w:val="22"/>
        </w:rPr>
      </w:pPr>
      <w:r w:rsidRPr="00604BE8">
        <w:rPr>
          <w:rFonts w:ascii="Calibri" w:hAnsi="Calibri" w:cs="Calibri"/>
          <w:noProof/>
          <w:sz w:val="22"/>
          <w:szCs w:val="22"/>
        </w:rPr>
        <w:drawing>
          <wp:inline distT="0" distB="0" distL="0" distR="0" wp14:anchorId="65F2BBA3" wp14:editId="7F5DF922">
            <wp:extent cx="5638800" cy="7620000"/>
            <wp:effectExtent l="0" t="0" r="0" b="0"/>
            <wp:docPr id="6939299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7620000"/>
                    </a:xfrm>
                    <a:prstGeom prst="rect">
                      <a:avLst/>
                    </a:prstGeom>
                    <a:noFill/>
                    <a:ln>
                      <a:noFill/>
                    </a:ln>
                  </pic:spPr>
                </pic:pic>
              </a:graphicData>
            </a:graphic>
          </wp:inline>
        </w:drawing>
      </w:r>
    </w:p>
    <w:p w14:paraId="7453F8B8" w14:textId="77777777" w:rsidR="00233AF3" w:rsidRPr="00604BE8" w:rsidRDefault="00233AF3" w:rsidP="00604BE8">
      <w:pPr>
        <w:spacing w:after="320" w:line="360" w:lineRule="auto"/>
        <w:rPr>
          <w:rFonts w:ascii="Calibri" w:hAnsi="Calibri" w:cs="Calibri"/>
          <w:sz w:val="22"/>
          <w:szCs w:val="22"/>
        </w:rPr>
      </w:pPr>
    </w:p>
    <w:p w14:paraId="16C6DE92" w14:textId="77777777" w:rsidR="00786B8A" w:rsidRPr="00604BE8" w:rsidRDefault="004040E5" w:rsidP="00604BE8">
      <w:pPr>
        <w:spacing w:after="80" w:line="360" w:lineRule="auto"/>
        <w:rPr>
          <w:rFonts w:ascii="Calibri" w:hAnsi="Calibri" w:cs="Calibri"/>
          <w:sz w:val="22"/>
          <w:szCs w:val="22"/>
        </w:rPr>
      </w:pPr>
      <w:r w:rsidRPr="00604BE8">
        <w:rPr>
          <w:rFonts w:ascii="Calibri" w:eastAsia="Times New Roman" w:hAnsi="Calibri" w:cs="Calibri"/>
          <w:b/>
          <w:bCs/>
          <w:sz w:val="22"/>
          <w:szCs w:val="22"/>
        </w:rPr>
        <w:lastRenderedPageBreak/>
        <w:t>Table 1.</w:t>
      </w:r>
    </w:p>
    <w:p w14:paraId="66554A19" w14:textId="1855F294" w:rsidR="00786B8A" w:rsidRPr="00604BE8" w:rsidRDefault="004040E5" w:rsidP="00604BE8">
      <w:pPr>
        <w:spacing w:after="160" w:line="360" w:lineRule="auto"/>
        <w:rPr>
          <w:rFonts w:ascii="Calibri" w:hAnsi="Calibri" w:cs="Calibri"/>
          <w:sz w:val="22"/>
          <w:szCs w:val="22"/>
        </w:rPr>
      </w:pPr>
      <w:r w:rsidRPr="00604BE8">
        <w:rPr>
          <w:rFonts w:ascii="Calibri" w:eastAsia="Times New Roman" w:hAnsi="Calibri" w:cs="Calibri"/>
          <w:sz w:val="22"/>
          <w:szCs w:val="22"/>
        </w:rPr>
        <w:t xml:space="preserve">Distribution of Entry Count per Person by CDT Domain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3"/>
        <w:gridCol w:w="1156"/>
        <w:gridCol w:w="1216"/>
        <w:gridCol w:w="1893"/>
        <w:gridCol w:w="1548"/>
        <w:gridCol w:w="1290"/>
      </w:tblGrid>
      <w:tr w:rsidR="00786B8A" w:rsidRPr="00604BE8" w14:paraId="78A65DCF" w14:textId="77777777">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710890B9"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Domain</w:t>
            </w:r>
          </w:p>
        </w:tc>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70A4FBC5"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n</w:t>
            </w:r>
          </w:p>
        </w:tc>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045BAA6F"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Min</w:t>
            </w:r>
          </w:p>
        </w:tc>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4BA60D29"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Median</w:t>
            </w:r>
          </w:p>
        </w:tc>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3C53B782"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Mean</w:t>
            </w:r>
          </w:p>
        </w:tc>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72B3D95B"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Max</w:t>
            </w:r>
          </w:p>
        </w:tc>
      </w:tr>
      <w:tr w:rsidR="00786B8A" w:rsidRPr="00604BE8" w14:paraId="3FBFA9AB" w14:textId="77777777">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2169C1D1" w14:textId="7C997D99"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Sun</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713D2CE4"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143</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52F008FC"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5D958396"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2.0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4BE5FBBD"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3.0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50F7713A"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13</w:t>
            </w:r>
          </w:p>
        </w:tc>
      </w:tr>
      <w:tr w:rsidR="00786B8A" w:rsidRPr="00604BE8" w14:paraId="778BA14B" w14:textId="77777777">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36DCD8AB" w14:textId="67B7D658"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Tree</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5170DFE7"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146</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724A7B34"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2E657560"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13.0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0554A48B"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13.9</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1B39129C"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34</w:t>
            </w:r>
          </w:p>
        </w:tc>
      </w:tr>
      <w:tr w:rsidR="00786B8A" w:rsidRPr="00604BE8" w14:paraId="260AA930" w14:textId="77777777">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42B7A40C" w14:textId="78A52AEB"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Roots</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1A1D261F"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146</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6B4C2ADB"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64150B38"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6.0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165C4055"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6.0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6C1CC050"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21</w:t>
            </w:r>
          </w:p>
        </w:tc>
      </w:tr>
      <w:tr w:rsidR="00786B8A" w:rsidRPr="00604BE8" w14:paraId="2A6996FF" w14:textId="77777777">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02094E1D"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Total</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3A066070"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147</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21AE817B"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3EAA1F87"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22.0</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1F8861B3"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22.7</w:t>
            </w:r>
          </w:p>
        </w:tc>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4E18D9D5"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sz w:val="22"/>
                <w:szCs w:val="22"/>
              </w:rPr>
              <w:t>57</w:t>
            </w:r>
          </w:p>
        </w:tc>
      </w:tr>
    </w:tbl>
    <w:p w14:paraId="1E796090" w14:textId="77777777" w:rsidR="00772899" w:rsidRDefault="00772899" w:rsidP="00604BE8">
      <w:pPr>
        <w:spacing w:after="80" w:line="360" w:lineRule="auto"/>
        <w:rPr>
          <w:rFonts w:ascii="Calibri" w:hAnsi="Calibri" w:cs="Calibri"/>
          <w:b/>
          <w:bCs/>
          <w:sz w:val="22"/>
          <w:szCs w:val="22"/>
        </w:rPr>
      </w:pPr>
    </w:p>
    <w:p w14:paraId="4393918D" w14:textId="3529C50D" w:rsidR="00786B8A" w:rsidRPr="00604BE8" w:rsidRDefault="004040E5" w:rsidP="00604BE8">
      <w:pPr>
        <w:spacing w:after="80" w:line="360" w:lineRule="auto"/>
        <w:rPr>
          <w:rFonts w:ascii="Calibri" w:hAnsi="Calibri" w:cs="Calibri"/>
          <w:sz w:val="22"/>
          <w:szCs w:val="22"/>
        </w:rPr>
      </w:pPr>
      <w:r w:rsidRPr="00604BE8">
        <w:rPr>
          <w:rFonts w:ascii="Calibri" w:eastAsia="Times New Roman" w:hAnsi="Calibri" w:cs="Calibri"/>
          <w:b/>
          <w:bCs/>
          <w:sz w:val="22"/>
          <w:szCs w:val="22"/>
        </w:rPr>
        <w:t>Table 2.</w:t>
      </w:r>
    </w:p>
    <w:p w14:paraId="0F439DE0" w14:textId="6F1FC743" w:rsidR="00786B8A" w:rsidRPr="00604BE8" w:rsidRDefault="004040E5" w:rsidP="00604BE8">
      <w:pPr>
        <w:spacing w:after="160" w:line="360" w:lineRule="auto"/>
        <w:rPr>
          <w:rFonts w:ascii="Calibri" w:hAnsi="Calibri" w:cs="Calibri"/>
          <w:sz w:val="22"/>
          <w:szCs w:val="22"/>
        </w:rPr>
      </w:pPr>
      <w:r w:rsidRPr="00604BE8">
        <w:rPr>
          <w:rFonts w:ascii="Calibri" w:eastAsia="Times New Roman" w:hAnsi="Calibri" w:cs="Calibri"/>
          <w:sz w:val="22"/>
          <w:szCs w:val="22"/>
        </w:rPr>
        <w:t xml:space="preserve">Top-5 Common Words </w:t>
      </w:r>
      <w:r w:rsidR="00FD5517">
        <w:rPr>
          <w:rFonts w:ascii="Calibri" w:eastAsia="Times New Roman" w:hAnsi="Calibri" w:cs="Calibri"/>
          <w:sz w:val="22"/>
          <w:szCs w:val="22"/>
        </w:rPr>
        <w:t>(</w:t>
      </w:r>
      <w:r w:rsidR="00FD5517" w:rsidRPr="00604BE8">
        <w:rPr>
          <w:rFonts w:ascii="Calibri" w:hAnsi="Calibri" w:cs="Calibri"/>
          <w:sz w:val="22"/>
          <w:szCs w:val="22"/>
        </w:rPr>
        <w:t>English Translated</w:t>
      </w:r>
      <w:r w:rsidR="00FD5517">
        <w:rPr>
          <w:rFonts w:ascii="Calibri" w:eastAsia="Times New Roman" w:hAnsi="Calibri" w:cs="Calibri"/>
          <w:sz w:val="22"/>
          <w:szCs w:val="22"/>
        </w:rPr>
        <w:t xml:space="preserve">) </w:t>
      </w:r>
      <w:r w:rsidRPr="00604BE8">
        <w:rPr>
          <w:rFonts w:ascii="Calibri" w:eastAsia="Times New Roman" w:hAnsi="Calibri" w:cs="Calibri"/>
          <w:sz w:val="22"/>
          <w:szCs w:val="22"/>
        </w:rPr>
        <w:t>per CDT Domain with Person-Based Occurrence Rates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3"/>
        <w:gridCol w:w="2090"/>
        <w:gridCol w:w="751"/>
        <w:gridCol w:w="1880"/>
        <w:gridCol w:w="751"/>
        <w:gridCol w:w="1880"/>
        <w:gridCol w:w="751"/>
      </w:tblGrid>
      <w:tr w:rsidR="00A45976" w:rsidRPr="00604BE8" w14:paraId="02F6C08C" w14:textId="77777777">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300C5113" w14:textId="77777777"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Rank</w:t>
            </w:r>
          </w:p>
        </w:tc>
        <w:tc>
          <w:tcPr>
            <w:tcW w:w="0" w:type="auto"/>
            <w:gridSpan w:val="2"/>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638F104E" w14:textId="7ADA5D3E"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 xml:space="preserve">Sun  </w:t>
            </w:r>
          </w:p>
        </w:tc>
        <w:tc>
          <w:tcPr>
            <w:tcW w:w="0" w:type="auto"/>
            <w:gridSpan w:val="2"/>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02716857" w14:textId="7070631F"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Tree</w:t>
            </w:r>
          </w:p>
        </w:tc>
        <w:tc>
          <w:tcPr>
            <w:tcW w:w="0" w:type="auto"/>
            <w:gridSpan w:val="2"/>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53BC8993" w14:textId="60D8488A" w:rsidR="00786B8A" w:rsidRPr="00604BE8" w:rsidRDefault="004040E5"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Roots</w:t>
            </w:r>
          </w:p>
        </w:tc>
      </w:tr>
      <w:tr w:rsidR="00A45976" w:rsidRPr="00604BE8" w14:paraId="21DF588C" w14:textId="77777777" w:rsidTr="00823764">
        <w:tc>
          <w:tcPr>
            <w:tcW w:w="0" w:type="auto"/>
            <w:tcBorders>
              <w:top w:val="single" w:sz="1" w:space="0" w:color="000000"/>
              <w:left w:val="single" w:sz="1" w:space="0" w:color="000000"/>
              <w:bottom w:val="single" w:sz="1" w:space="0" w:color="000000"/>
              <w:right w:val="single" w:sz="1" w:space="0" w:color="000000"/>
            </w:tcBorders>
            <w:shd w:val="clear" w:color="auto" w:fill="EEEEEE"/>
            <w:tcMar>
              <w:top w:w="60" w:type="dxa"/>
              <w:left w:w="120" w:type="dxa"/>
              <w:bottom w:w="60" w:type="dxa"/>
              <w:right w:w="120" w:type="dxa"/>
            </w:tcMar>
          </w:tcPr>
          <w:p w14:paraId="37476E8D" w14:textId="77777777" w:rsidR="00A45976" w:rsidRPr="00604BE8" w:rsidRDefault="00A45976" w:rsidP="00604BE8">
            <w:pPr>
              <w:spacing w:line="360" w:lineRule="auto"/>
              <w:jc w:val="center"/>
              <w:rPr>
                <w:rFonts w:ascii="Calibri" w:eastAsia="Times New Roman" w:hAnsi="Calibri" w:cs="Calibri"/>
                <w:b/>
                <w:bCs/>
                <w:sz w:val="22"/>
                <w:szCs w:val="22"/>
              </w:rPr>
            </w:pPr>
          </w:p>
        </w:tc>
        <w:tc>
          <w:tcPr>
            <w:tcW w:w="0" w:type="auto"/>
            <w:tcBorders>
              <w:top w:val="single" w:sz="1" w:space="0" w:color="000000"/>
              <w:left w:val="single" w:sz="1" w:space="0" w:color="000000"/>
              <w:right w:val="single" w:sz="1" w:space="0" w:color="000000"/>
            </w:tcBorders>
            <w:shd w:val="clear" w:color="auto" w:fill="EEEEEE"/>
            <w:tcMar>
              <w:top w:w="60" w:type="dxa"/>
              <w:left w:w="120" w:type="dxa"/>
              <w:bottom w:w="60" w:type="dxa"/>
              <w:right w:w="120" w:type="dxa"/>
            </w:tcMar>
          </w:tcPr>
          <w:p w14:paraId="4C6DE074" w14:textId="1FA1959C"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Word</w:t>
            </w:r>
            <w:r w:rsidR="00F63E1C" w:rsidRPr="00604BE8">
              <w:rPr>
                <w:rFonts w:ascii="Calibri" w:hAnsi="Calibri" w:cs="Calibri"/>
                <w:sz w:val="22"/>
                <w:szCs w:val="22"/>
              </w:rPr>
              <w:t>s</w:t>
            </w:r>
          </w:p>
        </w:tc>
        <w:tc>
          <w:tcPr>
            <w:tcW w:w="0" w:type="auto"/>
            <w:tcBorders>
              <w:top w:val="single" w:sz="1" w:space="0" w:color="000000"/>
              <w:left w:val="single" w:sz="1" w:space="0" w:color="000000"/>
              <w:right w:val="single" w:sz="1" w:space="0" w:color="000000"/>
            </w:tcBorders>
            <w:shd w:val="clear" w:color="auto" w:fill="EEEEEE"/>
          </w:tcPr>
          <w:p w14:paraId="4A68DC3B" w14:textId="76CAC1EF" w:rsidR="00A45976" w:rsidRPr="00604BE8" w:rsidRDefault="00A45976" w:rsidP="00604BE8">
            <w:pPr>
              <w:spacing w:line="360" w:lineRule="auto"/>
              <w:jc w:val="center"/>
              <w:rPr>
                <w:rFonts w:ascii="Calibri" w:hAnsi="Calibri" w:cs="Calibri"/>
                <w:b/>
                <w:bCs/>
                <w:sz w:val="22"/>
                <w:szCs w:val="22"/>
              </w:rPr>
            </w:pPr>
            <w:r w:rsidRPr="00604BE8">
              <w:rPr>
                <w:rFonts w:ascii="Calibri" w:hAnsi="Calibri" w:cs="Calibri"/>
                <w:b/>
                <w:bCs/>
                <w:sz w:val="22"/>
                <w:szCs w:val="22"/>
              </w:rPr>
              <w:t>%</w:t>
            </w:r>
          </w:p>
        </w:tc>
        <w:tc>
          <w:tcPr>
            <w:tcW w:w="0" w:type="auto"/>
            <w:tcBorders>
              <w:top w:val="single" w:sz="1" w:space="0" w:color="000000"/>
              <w:left w:val="single" w:sz="1" w:space="0" w:color="000000"/>
              <w:right w:val="single" w:sz="1" w:space="0" w:color="000000"/>
            </w:tcBorders>
            <w:shd w:val="clear" w:color="auto" w:fill="EEEEEE"/>
            <w:tcMar>
              <w:top w:w="60" w:type="dxa"/>
              <w:left w:w="120" w:type="dxa"/>
              <w:bottom w:w="60" w:type="dxa"/>
              <w:right w:w="120" w:type="dxa"/>
            </w:tcMar>
          </w:tcPr>
          <w:p w14:paraId="4616A6DC" w14:textId="6B2061D2"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Wor</w:t>
            </w:r>
            <w:r w:rsidR="00F63E1C" w:rsidRPr="00604BE8">
              <w:rPr>
                <w:rFonts w:ascii="Calibri" w:hAnsi="Calibri" w:cs="Calibri"/>
                <w:sz w:val="22"/>
                <w:szCs w:val="22"/>
              </w:rPr>
              <w:t>ds</w:t>
            </w:r>
          </w:p>
        </w:tc>
        <w:tc>
          <w:tcPr>
            <w:tcW w:w="0" w:type="auto"/>
            <w:tcBorders>
              <w:top w:val="single" w:sz="1" w:space="0" w:color="000000"/>
              <w:left w:val="single" w:sz="1" w:space="0" w:color="000000"/>
              <w:right w:val="single" w:sz="1" w:space="0" w:color="000000"/>
            </w:tcBorders>
            <w:shd w:val="clear" w:color="auto" w:fill="EEEEEE"/>
          </w:tcPr>
          <w:p w14:paraId="33D5A870" w14:textId="0D621B7F" w:rsidR="00A45976" w:rsidRPr="00604BE8" w:rsidRDefault="00A45976" w:rsidP="00604BE8">
            <w:pPr>
              <w:spacing w:line="360" w:lineRule="auto"/>
              <w:jc w:val="center"/>
              <w:rPr>
                <w:rFonts w:ascii="Calibri" w:hAnsi="Calibri" w:cs="Calibri"/>
                <w:b/>
                <w:bCs/>
                <w:sz w:val="22"/>
                <w:szCs w:val="22"/>
              </w:rPr>
            </w:pPr>
            <w:r w:rsidRPr="00604BE8">
              <w:rPr>
                <w:rFonts w:ascii="Calibri" w:hAnsi="Calibri" w:cs="Calibri"/>
                <w:b/>
                <w:bCs/>
                <w:sz w:val="22"/>
                <w:szCs w:val="22"/>
              </w:rPr>
              <w:t>%</w:t>
            </w:r>
          </w:p>
        </w:tc>
        <w:tc>
          <w:tcPr>
            <w:tcW w:w="0" w:type="auto"/>
            <w:tcBorders>
              <w:top w:val="single" w:sz="1" w:space="0" w:color="000000"/>
              <w:left w:val="single" w:sz="1" w:space="0" w:color="000000"/>
              <w:right w:val="single" w:sz="1" w:space="0" w:color="000000"/>
            </w:tcBorders>
            <w:shd w:val="clear" w:color="auto" w:fill="EEEEEE"/>
            <w:tcMar>
              <w:top w:w="60" w:type="dxa"/>
              <w:left w:w="120" w:type="dxa"/>
              <w:bottom w:w="60" w:type="dxa"/>
              <w:right w:w="120" w:type="dxa"/>
            </w:tcMar>
          </w:tcPr>
          <w:p w14:paraId="46F61181" w14:textId="14F54CD4"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Word</w:t>
            </w:r>
            <w:r w:rsidR="00F63E1C" w:rsidRPr="00604BE8">
              <w:rPr>
                <w:rFonts w:ascii="Calibri" w:hAnsi="Calibri" w:cs="Calibri"/>
                <w:sz w:val="22"/>
                <w:szCs w:val="22"/>
              </w:rPr>
              <w:t>s</w:t>
            </w:r>
          </w:p>
        </w:tc>
        <w:tc>
          <w:tcPr>
            <w:tcW w:w="0" w:type="auto"/>
            <w:tcBorders>
              <w:top w:val="single" w:sz="1" w:space="0" w:color="000000"/>
              <w:left w:val="single" w:sz="1" w:space="0" w:color="000000"/>
              <w:right w:val="single" w:sz="1" w:space="0" w:color="000000"/>
            </w:tcBorders>
            <w:shd w:val="clear" w:color="auto" w:fill="EEEEEE"/>
          </w:tcPr>
          <w:p w14:paraId="26ABA4D5" w14:textId="2B2D4CC7" w:rsidR="00A45976" w:rsidRPr="00604BE8" w:rsidRDefault="00A45976" w:rsidP="00604BE8">
            <w:pPr>
              <w:spacing w:line="360" w:lineRule="auto"/>
              <w:jc w:val="center"/>
              <w:rPr>
                <w:rFonts w:ascii="Calibri" w:hAnsi="Calibri" w:cs="Calibri"/>
                <w:b/>
                <w:bCs/>
                <w:sz w:val="22"/>
                <w:szCs w:val="22"/>
              </w:rPr>
            </w:pPr>
            <w:r w:rsidRPr="00604BE8">
              <w:rPr>
                <w:rFonts w:ascii="Calibri" w:hAnsi="Calibri" w:cs="Calibri"/>
                <w:b/>
                <w:bCs/>
                <w:sz w:val="22"/>
                <w:szCs w:val="22"/>
              </w:rPr>
              <w:t>%</w:t>
            </w:r>
          </w:p>
        </w:tc>
      </w:tr>
      <w:tr w:rsidR="00A45976" w:rsidRPr="00604BE8" w14:paraId="6F766347" w14:textId="77777777" w:rsidTr="00A45976">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4F4573CE" w14:textId="77777777" w:rsidR="00A45976" w:rsidRPr="00604BE8" w:rsidRDefault="00A45976"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1</w:t>
            </w:r>
          </w:p>
        </w:tc>
        <w:tc>
          <w:tcPr>
            <w:tcW w:w="0" w:type="auto"/>
            <w:tcBorders>
              <w:left w:val="single" w:sz="1" w:space="0" w:color="000000"/>
              <w:right w:val="single" w:sz="1" w:space="0" w:color="000000"/>
            </w:tcBorders>
            <w:tcMar>
              <w:top w:w="60" w:type="dxa"/>
              <w:left w:w="120" w:type="dxa"/>
              <w:bottom w:w="60" w:type="dxa"/>
              <w:right w:w="120" w:type="dxa"/>
            </w:tcMar>
          </w:tcPr>
          <w:p w14:paraId="4F366564" w14:textId="1E36D25B"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Work</w:t>
            </w:r>
          </w:p>
        </w:tc>
        <w:tc>
          <w:tcPr>
            <w:tcW w:w="0" w:type="auto"/>
            <w:tcBorders>
              <w:left w:val="single" w:sz="1" w:space="0" w:color="000000"/>
              <w:right w:val="single" w:sz="1" w:space="0" w:color="000000"/>
            </w:tcBorders>
          </w:tcPr>
          <w:p w14:paraId="3678817A" w14:textId="299E55A8"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22.5%</w:t>
            </w:r>
          </w:p>
        </w:tc>
        <w:tc>
          <w:tcPr>
            <w:tcW w:w="0" w:type="auto"/>
            <w:tcBorders>
              <w:left w:val="single" w:sz="1" w:space="0" w:color="000000"/>
              <w:right w:val="single" w:sz="1" w:space="0" w:color="000000"/>
            </w:tcBorders>
            <w:tcMar>
              <w:top w:w="60" w:type="dxa"/>
              <w:left w:w="120" w:type="dxa"/>
              <w:bottom w:w="60" w:type="dxa"/>
              <w:right w:w="120" w:type="dxa"/>
            </w:tcMar>
          </w:tcPr>
          <w:p w14:paraId="215800A9" w14:textId="41369509"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Pa</w:t>
            </w:r>
            <w:r w:rsidR="004B3B4A" w:rsidRPr="00604BE8">
              <w:rPr>
                <w:rFonts w:ascii="Calibri" w:hAnsi="Calibri" w:cs="Calibri"/>
                <w:sz w:val="22"/>
                <w:szCs w:val="22"/>
              </w:rPr>
              <w:t>r</w:t>
            </w:r>
            <w:r w:rsidRPr="00604BE8">
              <w:rPr>
                <w:rFonts w:ascii="Calibri" w:hAnsi="Calibri" w:cs="Calibri"/>
                <w:sz w:val="22"/>
                <w:szCs w:val="22"/>
              </w:rPr>
              <w:t>ticipate</w:t>
            </w:r>
          </w:p>
        </w:tc>
        <w:tc>
          <w:tcPr>
            <w:tcW w:w="0" w:type="auto"/>
            <w:tcBorders>
              <w:left w:val="single" w:sz="1" w:space="0" w:color="000000"/>
              <w:right w:val="single" w:sz="1" w:space="0" w:color="000000"/>
            </w:tcBorders>
          </w:tcPr>
          <w:p w14:paraId="480BF56B" w14:textId="27DB2FBE"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39.2%</w:t>
            </w:r>
          </w:p>
        </w:tc>
        <w:tc>
          <w:tcPr>
            <w:tcW w:w="0" w:type="auto"/>
            <w:tcBorders>
              <w:left w:val="single" w:sz="1" w:space="0" w:color="000000"/>
              <w:right w:val="single" w:sz="1" w:space="0" w:color="000000"/>
            </w:tcBorders>
            <w:tcMar>
              <w:top w:w="60" w:type="dxa"/>
              <w:left w:w="120" w:type="dxa"/>
              <w:bottom w:w="60" w:type="dxa"/>
              <w:right w:w="120" w:type="dxa"/>
            </w:tcMar>
          </w:tcPr>
          <w:p w14:paraId="48F59A13" w14:textId="273C0E8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Liked</w:t>
            </w:r>
          </w:p>
        </w:tc>
        <w:tc>
          <w:tcPr>
            <w:tcW w:w="0" w:type="auto"/>
            <w:tcBorders>
              <w:left w:val="single" w:sz="1" w:space="0" w:color="000000"/>
              <w:right w:val="single" w:sz="1" w:space="0" w:color="000000"/>
            </w:tcBorders>
          </w:tcPr>
          <w:p w14:paraId="0DD2EA62" w14:textId="7E36DC04"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29.5%</w:t>
            </w:r>
          </w:p>
        </w:tc>
      </w:tr>
      <w:tr w:rsidR="00A45976" w:rsidRPr="00604BE8" w14:paraId="04CC9340" w14:textId="77777777" w:rsidTr="00A45976">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2BCB850B" w14:textId="77777777" w:rsidR="00A45976" w:rsidRPr="00604BE8" w:rsidRDefault="00A45976"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2</w:t>
            </w:r>
          </w:p>
        </w:tc>
        <w:tc>
          <w:tcPr>
            <w:tcW w:w="0" w:type="auto"/>
            <w:tcBorders>
              <w:left w:val="single" w:sz="1" w:space="0" w:color="000000"/>
              <w:right w:val="single" w:sz="1" w:space="0" w:color="000000"/>
            </w:tcBorders>
            <w:tcMar>
              <w:top w:w="60" w:type="dxa"/>
              <w:left w:w="120" w:type="dxa"/>
              <w:bottom w:w="60" w:type="dxa"/>
              <w:right w:w="120" w:type="dxa"/>
            </w:tcMar>
          </w:tcPr>
          <w:p w14:paraId="76D7DECF" w14:textId="52CA3194"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Self</w:t>
            </w:r>
          </w:p>
        </w:tc>
        <w:tc>
          <w:tcPr>
            <w:tcW w:w="0" w:type="auto"/>
            <w:tcBorders>
              <w:left w:val="single" w:sz="1" w:space="0" w:color="000000"/>
              <w:right w:val="single" w:sz="1" w:space="0" w:color="000000"/>
            </w:tcBorders>
          </w:tcPr>
          <w:p w14:paraId="39BBC05A" w14:textId="67F2D1E5"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21.4%</w:t>
            </w:r>
          </w:p>
        </w:tc>
        <w:tc>
          <w:tcPr>
            <w:tcW w:w="0" w:type="auto"/>
            <w:tcBorders>
              <w:left w:val="single" w:sz="1" w:space="0" w:color="000000"/>
              <w:right w:val="single" w:sz="1" w:space="0" w:color="000000"/>
            </w:tcBorders>
            <w:tcMar>
              <w:top w:w="60" w:type="dxa"/>
              <w:left w:w="120" w:type="dxa"/>
              <w:bottom w:w="60" w:type="dxa"/>
              <w:right w:w="120" w:type="dxa"/>
            </w:tcMar>
          </w:tcPr>
          <w:p w14:paraId="02CA2C44" w14:textId="0A6B36E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Part-time job</w:t>
            </w:r>
          </w:p>
        </w:tc>
        <w:tc>
          <w:tcPr>
            <w:tcW w:w="0" w:type="auto"/>
            <w:tcBorders>
              <w:left w:val="single" w:sz="1" w:space="0" w:color="000000"/>
              <w:right w:val="single" w:sz="1" w:space="0" w:color="000000"/>
            </w:tcBorders>
          </w:tcPr>
          <w:p w14:paraId="72CF0FDD" w14:textId="15C08B83"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38.7%</w:t>
            </w:r>
          </w:p>
        </w:tc>
        <w:tc>
          <w:tcPr>
            <w:tcW w:w="0" w:type="auto"/>
            <w:tcBorders>
              <w:left w:val="single" w:sz="1" w:space="0" w:color="000000"/>
              <w:right w:val="single" w:sz="1" w:space="0" w:color="000000"/>
            </w:tcBorders>
            <w:tcMar>
              <w:top w:w="60" w:type="dxa"/>
              <w:left w:w="120" w:type="dxa"/>
              <w:bottom w:w="60" w:type="dxa"/>
              <w:right w:w="120" w:type="dxa"/>
            </w:tcMar>
          </w:tcPr>
          <w:p w14:paraId="5AE944CD" w14:textId="5957027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High school</w:t>
            </w:r>
          </w:p>
        </w:tc>
        <w:tc>
          <w:tcPr>
            <w:tcW w:w="0" w:type="auto"/>
            <w:tcBorders>
              <w:left w:val="single" w:sz="1" w:space="0" w:color="000000"/>
              <w:right w:val="single" w:sz="1" w:space="0" w:color="000000"/>
            </w:tcBorders>
          </w:tcPr>
          <w:p w14:paraId="0CA082F4" w14:textId="3BD9DF27"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25.5%</w:t>
            </w:r>
          </w:p>
        </w:tc>
      </w:tr>
      <w:tr w:rsidR="00A45976" w:rsidRPr="00604BE8" w14:paraId="12547266" w14:textId="77777777" w:rsidTr="00A45976">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3739B21A" w14:textId="77777777" w:rsidR="00A45976" w:rsidRPr="00604BE8" w:rsidRDefault="00A45976"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3</w:t>
            </w:r>
          </w:p>
        </w:tc>
        <w:tc>
          <w:tcPr>
            <w:tcW w:w="0" w:type="auto"/>
            <w:tcBorders>
              <w:left w:val="single" w:sz="1" w:space="0" w:color="000000"/>
              <w:right w:val="single" w:sz="1" w:space="0" w:color="000000"/>
            </w:tcBorders>
            <w:tcMar>
              <w:top w:w="60" w:type="dxa"/>
              <w:left w:w="120" w:type="dxa"/>
              <w:bottom w:w="60" w:type="dxa"/>
              <w:right w:w="120" w:type="dxa"/>
            </w:tcMar>
          </w:tcPr>
          <w:p w14:paraId="3589CDAE" w14:textId="1C991F43"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Hobby</w:t>
            </w:r>
          </w:p>
        </w:tc>
        <w:tc>
          <w:tcPr>
            <w:tcW w:w="0" w:type="auto"/>
            <w:tcBorders>
              <w:left w:val="single" w:sz="1" w:space="0" w:color="000000"/>
              <w:right w:val="single" w:sz="1" w:space="0" w:color="000000"/>
            </w:tcBorders>
          </w:tcPr>
          <w:p w14:paraId="3B725D99" w14:textId="640F6C40"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16.4%</w:t>
            </w:r>
          </w:p>
        </w:tc>
        <w:tc>
          <w:tcPr>
            <w:tcW w:w="0" w:type="auto"/>
            <w:tcBorders>
              <w:left w:val="single" w:sz="1" w:space="0" w:color="000000"/>
              <w:right w:val="single" w:sz="1" w:space="0" w:color="000000"/>
            </w:tcBorders>
            <w:tcMar>
              <w:top w:w="60" w:type="dxa"/>
              <w:left w:w="120" w:type="dxa"/>
              <w:bottom w:w="60" w:type="dxa"/>
              <w:right w:w="120" w:type="dxa"/>
            </w:tcMar>
          </w:tcPr>
          <w:p w14:paraId="19B115FA" w14:textId="035CC25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Self</w:t>
            </w:r>
          </w:p>
        </w:tc>
        <w:tc>
          <w:tcPr>
            <w:tcW w:w="0" w:type="auto"/>
            <w:tcBorders>
              <w:left w:val="single" w:sz="1" w:space="0" w:color="000000"/>
              <w:right w:val="single" w:sz="1" w:space="0" w:color="000000"/>
            </w:tcBorders>
          </w:tcPr>
          <w:p w14:paraId="2D7D7B5E" w14:textId="3C4E2B29"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38.3%</w:t>
            </w:r>
          </w:p>
        </w:tc>
        <w:tc>
          <w:tcPr>
            <w:tcW w:w="0" w:type="auto"/>
            <w:tcBorders>
              <w:left w:val="single" w:sz="1" w:space="0" w:color="000000"/>
              <w:right w:val="single" w:sz="1" w:space="0" w:color="000000"/>
            </w:tcBorders>
            <w:tcMar>
              <w:top w:w="60" w:type="dxa"/>
              <w:left w:w="120" w:type="dxa"/>
              <w:bottom w:w="60" w:type="dxa"/>
              <w:right w:w="120" w:type="dxa"/>
            </w:tcMar>
          </w:tcPr>
          <w:p w14:paraId="35EA2963" w14:textId="59C0D7E0"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Good at</w:t>
            </w:r>
          </w:p>
        </w:tc>
        <w:tc>
          <w:tcPr>
            <w:tcW w:w="0" w:type="auto"/>
            <w:tcBorders>
              <w:left w:val="single" w:sz="1" w:space="0" w:color="000000"/>
              <w:right w:val="single" w:sz="1" w:space="0" w:color="000000"/>
            </w:tcBorders>
          </w:tcPr>
          <w:p w14:paraId="41F2953F" w14:textId="092D55D9"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19.4%</w:t>
            </w:r>
          </w:p>
        </w:tc>
      </w:tr>
      <w:tr w:rsidR="00A45976" w:rsidRPr="00604BE8" w14:paraId="72998ADF" w14:textId="77777777" w:rsidTr="00A45976">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4CB564BB" w14:textId="77777777" w:rsidR="00A45976" w:rsidRPr="00604BE8" w:rsidRDefault="00A45976"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4</w:t>
            </w:r>
          </w:p>
        </w:tc>
        <w:tc>
          <w:tcPr>
            <w:tcW w:w="0" w:type="auto"/>
            <w:tcBorders>
              <w:left w:val="single" w:sz="1" w:space="0" w:color="000000"/>
              <w:right w:val="single" w:sz="1" w:space="0" w:color="000000"/>
            </w:tcBorders>
            <w:tcMar>
              <w:top w:w="60" w:type="dxa"/>
              <w:left w:w="120" w:type="dxa"/>
              <w:bottom w:w="60" w:type="dxa"/>
              <w:right w:w="120" w:type="dxa"/>
            </w:tcMar>
          </w:tcPr>
          <w:p w14:paraId="2A47239E" w14:textId="516A57B2"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Stability</w:t>
            </w:r>
          </w:p>
        </w:tc>
        <w:tc>
          <w:tcPr>
            <w:tcW w:w="0" w:type="auto"/>
            <w:tcBorders>
              <w:left w:val="single" w:sz="1" w:space="0" w:color="000000"/>
              <w:right w:val="single" w:sz="1" w:space="0" w:color="000000"/>
            </w:tcBorders>
          </w:tcPr>
          <w:p w14:paraId="65E6442E" w14:textId="0DE1FC64"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13.7%</w:t>
            </w:r>
          </w:p>
        </w:tc>
        <w:tc>
          <w:tcPr>
            <w:tcW w:w="0" w:type="auto"/>
            <w:tcBorders>
              <w:left w:val="single" w:sz="1" w:space="0" w:color="000000"/>
              <w:right w:val="single" w:sz="1" w:space="0" w:color="000000"/>
            </w:tcBorders>
            <w:tcMar>
              <w:top w:w="60" w:type="dxa"/>
              <w:left w:w="120" w:type="dxa"/>
              <w:bottom w:w="60" w:type="dxa"/>
              <w:right w:w="120" w:type="dxa"/>
            </w:tcMar>
          </w:tcPr>
          <w:p w14:paraId="698CC20A" w14:textId="4B555CF9"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Study</w:t>
            </w:r>
          </w:p>
        </w:tc>
        <w:tc>
          <w:tcPr>
            <w:tcW w:w="0" w:type="auto"/>
            <w:tcBorders>
              <w:left w:val="single" w:sz="1" w:space="0" w:color="000000"/>
              <w:right w:val="single" w:sz="1" w:space="0" w:color="000000"/>
            </w:tcBorders>
          </w:tcPr>
          <w:p w14:paraId="4DD28847" w14:textId="0FD1904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37.9%</w:t>
            </w:r>
          </w:p>
        </w:tc>
        <w:tc>
          <w:tcPr>
            <w:tcW w:w="0" w:type="auto"/>
            <w:tcBorders>
              <w:left w:val="single" w:sz="1" w:space="0" w:color="000000"/>
              <w:right w:val="single" w:sz="1" w:space="0" w:color="000000"/>
            </w:tcBorders>
            <w:tcMar>
              <w:top w:w="60" w:type="dxa"/>
              <w:left w:w="120" w:type="dxa"/>
              <w:bottom w:w="60" w:type="dxa"/>
              <w:right w:w="120" w:type="dxa"/>
            </w:tcMar>
          </w:tcPr>
          <w:p w14:paraId="5414C44F" w14:textId="3DF25AF8"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Part-time job</w:t>
            </w:r>
          </w:p>
        </w:tc>
        <w:tc>
          <w:tcPr>
            <w:tcW w:w="0" w:type="auto"/>
            <w:tcBorders>
              <w:left w:val="single" w:sz="1" w:space="0" w:color="000000"/>
              <w:right w:val="single" w:sz="1" w:space="0" w:color="000000"/>
            </w:tcBorders>
          </w:tcPr>
          <w:p w14:paraId="20C2F764" w14:textId="1CAF7435"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14.0%</w:t>
            </w:r>
          </w:p>
        </w:tc>
      </w:tr>
      <w:tr w:rsidR="00A45976" w:rsidRPr="00604BE8" w14:paraId="17679A15" w14:textId="77777777" w:rsidTr="00A45976">
        <w:tc>
          <w:tcPr>
            <w:tcW w:w="0" w:type="auto"/>
            <w:tcBorders>
              <w:top w:val="single" w:sz="1" w:space="0" w:color="000000"/>
              <w:left w:val="single" w:sz="1" w:space="0" w:color="000000"/>
              <w:bottom w:val="single" w:sz="1" w:space="0" w:color="000000"/>
              <w:right w:val="single" w:sz="1" w:space="0" w:color="000000"/>
            </w:tcBorders>
            <w:shd w:val="clear" w:color="auto" w:fill="FFFFFF"/>
            <w:tcMar>
              <w:top w:w="60" w:type="dxa"/>
              <w:left w:w="120" w:type="dxa"/>
              <w:bottom w:w="60" w:type="dxa"/>
              <w:right w:w="120" w:type="dxa"/>
            </w:tcMar>
          </w:tcPr>
          <w:p w14:paraId="07717B29" w14:textId="77777777" w:rsidR="00A45976" w:rsidRPr="00604BE8" w:rsidRDefault="00A45976" w:rsidP="00604BE8">
            <w:pPr>
              <w:spacing w:line="360" w:lineRule="auto"/>
              <w:jc w:val="center"/>
              <w:rPr>
                <w:rFonts w:ascii="Calibri" w:hAnsi="Calibri" w:cs="Calibri"/>
                <w:sz w:val="22"/>
                <w:szCs w:val="22"/>
              </w:rPr>
            </w:pPr>
            <w:r w:rsidRPr="00604BE8">
              <w:rPr>
                <w:rFonts w:ascii="Calibri" w:eastAsia="Times New Roman" w:hAnsi="Calibri" w:cs="Calibri"/>
                <w:b/>
                <w:bCs/>
                <w:sz w:val="22"/>
                <w:szCs w:val="22"/>
              </w:rPr>
              <w:t>5</w:t>
            </w:r>
          </w:p>
        </w:tc>
        <w:tc>
          <w:tcPr>
            <w:tcW w:w="0" w:type="auto"/>
            <w:tcBorders>
              <w:left w:val="single" w:sz="1" w:space="0" w:color="000000"/>
              <w:bottom w:val="single" w:sz="1" w:space="0" w:color="000000"/>
              <w:right w:val="single" w:sz="1" w:space="0" w:color="000000"/>
            </w:tcBorders>
            <w:tcMar>
              <w:top w:w="60" w:type="dxa"/>
              <w:left w:w="120" w:type="dxa"/>
              <w:bottom w:w="60" w:type="dxa"/>
              <w:right w:w="120" w:type="dxa"/>
            </w:tcMar>
          </w:tcPr>
          <w:p w14:paraId="2D08CCA8" w14:textId="0C9DC18E"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Annual income</w:t>
            </w:r>
          </w:p>
        </w:tc>
        <w:tc>
          <w:tcPr>
            <w:tcW w:w="0" w:type="auto"/>
            <w:tcBorders>
              <w:left w:val="single" w:sz="1" w:space="0" w:color="000000"/>
              <w:bottom w:val="single" w:sz="1" w:space="0" w:color="000000"/>
              <w:right w:val="single" w:sz="1" w:space="0" w:color="000000"/>
            </w:tcBorders>
          </w:tcPr>
          <w:p w14:paraId="278E87F9" w14:textId="7B68D9D4"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9.7%</w:t>
            </w:r>
          </w:p>
        </w:tc>
        <w:tc>
          <w:tcPr>
            <w:tcW w:w="0" w:type="auto"/>
            <w:tcBorders>
              <w:left w:val="single" w:sz="1" w:space="0" w:color="000000"/>
              <w:bottom w:val="single" w:sz="1" w:space="0" w:color="000000"/>
              <w:right w:val="single" w:sz="1" w:space="0" w:color="000000"/>
            </w:tcBorders>
            <w:tcMar>
              <w:top w:w="60" w:type="dxa"/>
              <w:left w:w="120" w:type="dxa"/>
              <w:bottom w:w="60" w:type="dxa"/>
              <w:right w:w="120" w:type="dxa"/>
            </w:tcMar>
          </w:tcPr>
          <w:p w14:paraId="493AD69B" w14:textId="7CF66DEB"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University</w:t>
            </w:r>
          </w:p>
        </w:tc>
        <w:tc>
          <w:tcPr>
            <w:tcW w:w="0" w:type="auto"/>
            <w:tcBorders>
              <w:left w:val="single" w:sz="1" w:space="0" w:color="000000"/>
              <w:bottom w:val="single" w:sz="1" w:space="0" w:color="000000"/>
              <w:right w:val="single" w:sz="1" w:space="0" w:color="000000"/>
            </w:tcBorders>
          </w:tcPr>
          <w:p w14:paraId="22031827" w14:textId="3EA3DDE3"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37.5%</w:t>
            </w:r>
          </w:p>
        </w:tc>
        <w:tc>
          <w:tcPr>
            <w:tcW w:w="0" w:type="auto"/>
            <w:tcBorders>
              <w:left w:val="single" w:sz="1" w:space="0" w:color="000000"/>
              <w:bottom w:val="single" w:sz="1" w:space="0" w:color="000000"/>
              <w:right w:val="single" w:sz="1" w:space="0" w:color="000000"/>
            </w:tcBorders>
            <w:tcMar>
              <w:top w:w="60" w:type="dxa"/>
              <w:left w:w="120" w:type="dxa"/>
              <w:bottom w:w="60" w:type="dxa"/>
              <w:right w:w="120" w:type="dxa"/>
            </w:tcMar>
          </w:tcPr>
          <w:p w14:paraId="4D8E6D8B" w14:textId="5834F3E1"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Computer</w:t>
            </w:r>
          </w:p>
        </w:tc>
        <w:tc>
          <w:tcPr>
            <w:tcW w:w="0" w:type="auto"/>
            <w:tcBorders>
              <w:left w:val="single" w:sz="1" w:space="0" w:color="000000"/>
              <w:bottom w:val="single" w:sz="1" w:space="0" w:color="000000"/>
              <w:right w:val="single" w:sz="1" w:space="0" w:color="000000"/>
            </w:tcBorders>
          </w:tcPr>
          <w:p w14:paraId="6BC24896" w14:textId="3A94546F" w:rsidR="00A45976" w:rsidRPr="00604BE8" w:rsidRDefault="00A45976" w:rsidP="00604BE8">
            <w:pPr>
              <w:spacing w:line="360" w:lineRule="auto"/>
              <w:jc w:val="center"/>
              <w:rPr>
                <w:rFonts w:ascii="Calibri" w:hAnsi="Calibri" w:cs="Calibri"/>
                <w:sz w:val="22"/>
                <w:szCs w:val="22"/>
              </w:rPr>
            </w:pPr>
            <w:r w:rsidRPr="00604BE8">
              <w:rPr>
                <w:rFonts w:ascii="Calibri" w:hAnsi="Calibri" w:cs="Calibri"/>
                <w:sz w:val="22"/>
                <w:szCs w:val="22"/>
              </w:rPr>
              <w:t>14.0%</w:t>
            </w:r>
          </w:p>
        </w:tc>
      </w:tr>
    </w:tbl>
    <w:p w14:paraId="536AC053" w14:textId="77777777" w:rsidR="00786B8A" w:rsidRPr="00604BE8" w:rsidRDefault="004040E5" w:rsidP="00604BE8">
      <w:pPr>
        <w:spacing w:before="240" w:after="120" w:line="360" w:lineRule="auto"/>
        <w:rPr>
          <w:rFonts w:ascii="Calibri" w:hAnsi="Calibri" w:cs="Calibri"/>
          <w:sz w:val="22"/>
          <w:szCs w:val="22"/>
        </w:rPr>
      </w:pPr>
      <w:r w:rsidRPr="00604BE8">
        <w:rPr>
          <w:rFonts w:ascii="Calibri" w:eastAsia="Times New Roman" w:hAnsi="Calibri" w:cs="Calibri"/>
          <w:b/>
          <w:bCs/>
          <w:sz w:val="22"/>
          <w:szCs w:val="22"/>
        </w:rPr>
        <w:t>References</w:t>
      </w:r>
    </w:p>
    <w:p w14:paraId="41611156" w14:textId="77777777" w:rsidR="00786B8A" w:rsidRPr="00604BE8" w:rsidRDefault="004040E5" w:rsidP="00604BE8">
      <w:pPr>
        <w:spacing w:after="120" w:line="360" w:lineRule="auto"/>
        <w:ind w:left="720" w:hanging="720"/>
        <w:rPr>
          <w:rFonts w:ascii="Calibri" w:hAnsi="Calibri" w:cs="Calibri"/>
          <w:sz w:val="22"/>
          <w:szCs w:val="22"/>
        </w:rPr>
      </w:pPr>
      <w:r w:rsidRPr="00604BE8">
        <w:rPr>
          <w:rFonts w:ascii="Calibri" w:eastAsia="Times New Roman" w:hAnsi="Calibri" w:cs="Calibri"/>
          <w:sz w:val="22"/>
          <w:szCs w:val="22"/>
        </w:rPr>
        <w:t>McAdams, D. P. (1993). The stories we live by: Personal myths and the making of the self. William Morrow.</w:t>
      </w:r>
    </w:p>
    <w:p w14:paraId="70DC7496" w14:textId="4E6064E1" w:rsidR="00786B8A" w:rsidRPr="00604BE8" w:rsidRDefault="004040E5" w:rsidP="00604BE8">
      <w:pPr>
        <w:spacing w:after="120" w:line="360" w:lineRule="auto"/>
        <w:ind w:left="720" w:hanging="720"/>
        <w:rPr>
          <w:rFonts w:ascii="Calibri" w:hAnsi="Calibri" w:cs="Calibri"/>
          <w:sz w:val="22"/>
          <w:szCs w:val="22"/>
        </w:rPr>
      </w:pPr>
      <w:r w:rsidRPr="00604BE8">
        <w:rPr>
          <w:rFonts w:ascii="Calibri" w:eastAsia="Times New Roman" w:hAnsi="Calibri" w:cs="Calibri"/>
          <w:sz w:val="22"/>
          <w:szCs w:val="22"/>
        </w:rPr>
        <w:t>Savickas, M. L. (2005). The theory and practice of career construction. In S. D. Brown &amp; R. W. Lent (Eds.), Career development and counseling: Putting theory and research to work (pp. 42–70). Wiley.</w:t>
      </w:r>
    </w:p>
    <w:p w14:paraId="5471916E" w14:textId="77777777" w:rsidR="00786B8A" w:rsidRPr="00604BE8" w:rsidRDefault="004040E5" w:rsidP="00604BE8">
      <w:pPr>
        <w:spacing w:after="120" w:line="360" w:lineRule="auto"/>
        <w:ind w:left="720" w:hanging="720"/>
        <w:rPr>
          <w:rFonts w:ascii="Calibri" w:hAnsi="Calibri" w:cs="Calibri"/>
          <w:sz w:val="22"/>
          <w:szCs w:val="22"/>
        </w:rPr>
      </w:pPr>
      <w:r w:rsidRPr="00604BE8">
        <w:rPr>
          <w:rFonts w:ascii="Calibri" w:eastAsia="Times New Roman" w:hAnsi="Calibri" w:cs="Calibri"/>
          <w:sz w:val="22"/>
          <w:szCs w:val="22"/>
        </w:rPr>
        <w:t>Savickas, M. L. (2013). Career construction theory and practice. In S. D. Brown &amp; R. W. Lent (Eds.), Career development and counseling: Putting theory and research to work (2nd ed., pp. 147–183). Wiley.</w:t>
      </w:r>
    </w:p>
    <w:p w14:paraId="23E51B61" w14:textId="1F25B1A8" w:rsidR="00786B8A" w:rsidRPr="00250349" w:rsidRDefault="004040E5" w:rsidP="00604BE8">
      <w:pPr>
        <w:spacing w:after="120" w:line="360" w:lineRule="auto"/>
        <w:ind w:left="720" w:hanging="720"/>
        <w:rPr>
          <w:rFonts w:ascii="Calibri" w:hAnsi="Calibri" w:cs="Calibri"/>
          <w:sz w:val="22"/>
          <w:szCs w:val="22"/>
        </w:rPr>
      </w:pPr>
      <w:r w:rsidRPr="00604BE8">
        <w:rPr>
          <w:rFonts w:ascii="Calibri" w:eastAsia="Times New Roman" w:hAnsi="Calibri" w:cs="Calibri"/>
          <w:sz w:val="22"/>
          <w:szCs w:val="22"/>
        </w:rPr>
        <w:t>Savickas, M. L., &amp; Hartung, P. J. (2012). My career story: An autobiographical workbook for life-career success.</w:t>
      </w:r>
    </w:p>
    <w:p w14:paraId="1DBD379D" w14:textId="6F929872" w:rsidR="00250349" w:rsidRDefault="00250349" w:rsidP="00250349">
      <w:pPr>
        <w:spacing w:after="120" w:line="360" w:lineRule="auto"/>
        <w:ind w:left="720" w:hanging="720"/>
        <w:rPr>
          <w:rFonts w:ascii="Calibri" w:hAnsi="Calibri" w:cs="Calibri"/>
          <w:sz w:val="22"/>
          <w:szCs w:val="22"/>
        </w:rPr>
      </w:pPr>
      <w:r w:rsidRPr="00604BE8">
        <w:rPr>
          <w:rFonts w:ascii="Calibri" w:eastAsia="Times New Roman" w:hAnsi="Calibri" w:cs="Calibri"/>
          <w:sz w:val="22"/>
          <w:szCs w:val="22"/>
        </w:rPr>
        <w:lastRenderedPageBreak/>
        <w:t xml:space="preserve">Super, D. E. (1980). A </w:t>
      </w:r>
      <w:proofErr w:type="gramStart"/>
      <w:r w:rsidRPr="00604BE8">
        <w:rPr>
          <w:rFonts w:ascii="Calibri" w:eastAsia="Times New Roman" w:hAnsi="Calibri" w:cs="Calibri"/>
          <w:sz w:val="22"/>
          <w:szCs w:val="22"/>
        </w:rPr>
        <w:t>life-span</w:t>
      </w:r>
      <w:proofErr w:type="gramEnd"/>
      <w:r w:rsidRPr="00604BE8">
        <w:rPr>
          <w:rFonts w:ascii="Calibri" w:eastAsia="Times New Roman" w:hAnsi="Calibri" w:cs="Calibri"/>
          <w:sz w:val="22"/>
          <w:szCs w:val="22"/>
        </w:rPr>
        <w:t xml:space="preserve">, life-space approach to career development. </w:t>
      </w:r>
      <w:r w:rsidRPr="00604BE8">
        <w:rPr>
          <w:rFonts w:ascii="Calibri" w:eastAsia="Times New Roman" w:hAnsi="Calibri" w:cs="Calibri"/>
          <w:i/>
          <w:iCs/>
          <w:sz w:val="22"/>
          <w:szCs w:val="22"/>
        </w:rPr>
        <w:t>Journal of Vocational Behavior, 16</w:t>
      </w:r>
      <w:r w:rsidRPr="00604BE8">
        <w:rPr>
          <w:rFonts w:ascii="Calibri" w:eastAsia="Times New Roman" w:hAnsi="Calibri" w:cs="Calibri"/>
          <w:sz w:val="22"/>
          <w:szCs w:val="22"/>
        </w:rPr>
        <w:t>(3), 282–298.</w:t>
      </w:r>
      <w:r>
        <w:rPr>
          <w:rFonts w:ascii="Calibri" w:hAnsi="Calibri" w:cs="Calibri"/>
          <w:sz w:val="22"/>
          <w:szCs w:val="22"/>
        </w:rPr>
        <w:t xml:space="preserve"> </w:t>
      </w:r>
    </w:p>
    <w:p w14:paraId="3F112CC0" w14:textId="77777777" w:rsidR="00250349" w:rsidRPr="00250349" w:rsidRDefault="00250349" w:rsidP="00604BE8">
      <w:pPr>
        <w:spacing w:after="120" w:line="360" w:lineRule="auto"/>
        <w:ind w:left="720" w:hanging="720"/>
        <w:rPr>
          <w:rFonts w:ascii="Calibri" w:hAnsi="Calibri" w:cs="Calibri"/>
          <w:sz w:val="22"/>
          <w:szCs w:val="22"/>
        </w:rPr>
      </w:pPr>
    </w:p>
    <w:sectPr w:rsidR="00250349" w:rsidRPr="0025034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3DFD" w14:textId="77777777" w:rsidR="004C7F77" w:rsidRDefault="004C7F77" w:rsidP="00EC4B10">
      <w:r>
        <w:separator/>
      </w:r>
    </w:p>
  </w:endnote>
  <w:endnote w:type="continuationSeparator" w:id="0">
    <w:p w14:paraId="428AFF81" w14:textId="77777777" w:rsidR="004C7F77" w:rsidRDefault="004C7F77" w:rsidP="00EC4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E96C" w14:textId="77777777" w:rsidR="004C7F77" w:rsidRDefault="004C7F77" w:rsidP="00EC4B10">
      <w:r>
        <w:separator/>
      </w:r>
    </w:p>
  </w:footnote>
  <w:footnote w:type="continuationSeparator" w:id="0">
    <w:p w14:paraId="4624326C" w14:textId="77777777" w:rsidR="004C7F77" w:rsidRDefault="004C7F77" w:rsidP="00EC4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A6F4B"/>
    <w:multiLevelType w:val="hybridMultilevel"/>
    <w:tmpl w:val="B7EA0C54"/>
    <w:lvl w:ilvl="0" w:tplc="563A7BF4">
      <w:start w:val="1"/>
      <w:numFmt w:val="bullet"/>
      <w:lvlText w:val="●"/>
      <w:lvlJc w:val="left"/>
      <w:pPr>
        <w:ind w:left="720" w:hanging="360"/>
      </w:pPr>
    </w:lvl>
    <w:lvl w:ilvl="1" w:tplc="E30E1692">
      <w:start w:val="1"/>
      <w:numFmt w:val="bullet"/>
      <w:lvlText w:val="○"/>
      <w:lvlJc w:val="left"/>
      <w:pPr>
        <w:ind w:left="1440" w:hanging="360"/>
      </w:pPr>
    </w:lvl>
    <w:lvl w:ilvl="2" w:tplc="3F923EA2">
      <w:start w:val="1"/>
      <w:numFmt w:val="bullet"/>
      <w:lvlText w:val="■"/>
      <w:lvlJc w:val="left"/>
      <w:pPr>
        <w:ind w:left="2160" w:hanging="360"/>
      </w:pPr>
    </w:lvl>
    <w:lvl w:ilvl="3" w:tplc="3800C724">
      <w:start w:val="1"/>
      <w:numFmt w:val="bullet"/>
      <w:lvlText w:val="●"/>
      <w:lvlJc w:val="left"/>
      <w:pPr>
        <w:ind w:left="2880" w:hanging="360"/>
      </w:pPr>
    </w:lvl>
    <w:lvl w:ilvl="4" w:tplc="386048F8">
      <w:start w:val="1"/>
      <w:numFmt w:val="bullet"/>
      <w:lvlText w:val="○"/>
      <w:lvlJc w:val="left"/>
      <w:pPr>
        <w:ind w:left="3600" w:hanging="360"/>
      </w:pPr>
    </w:lvl>
    <w:lvl w:ilvl="5" w:tplc="A9B075B6">
      <w:start w:val="1"/>
      <w:numFmt w:val="bullet"/>
      <w:lvlText w:val="■"/>
      <w:lvlJc w:val="left"/>
      <w:pPr>
        <w:ind w:left="4320" w:hanging="360"/>
      </w:pPr>
    </w:lvl>
    <w:lvl w:ilvl="6" w:tplc="5DFAD47C">
      <w:start w:val="1"/>
      <w:numFmt w:val="bullet"/>
      <w:lvlText w:val="●"/>
      <w:lvlJc w:val="left"/>
      <w:pPr>
        <w:ind w:left="5040" w:hanging="360"/>
      </w:pPr>
    </w:lvl>
    <w:lvl w:ilvl="7" w:tplc="44CCAD9C">
      <w:start w:val="1"/>
      <w:numFmt w:val="bullet"/>
      <w:lvlText w:val="●"/>
      <w:lvlJc w:val="left"/>
      <w:pPr>
        <w:ind w:left="5760" w:hanging="360"/>
      </w:pPr>
    </w:lvl>
    <w:lvl w:ilvl="8" w:tplc="BB926AF8">
      <w:start w:val="1"/>
      <w:numFmt w:val="bullet"/>
      <w:lvlText w:val="●"/>
      <w:lvlJc w:val="left"/>
      <w:pPr>
        <w:ind w:left="6480" w:hanging="360"/>
      </w:pPr>
    </w:lvl>
  </w:abstractNum>
  <w:num w:numId="1" w16cid:durableId="2816933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B8A"/>
    <w:rsid w:val="0007219F"/>
    <w:rsid w:val="00105578"/>
    <w:rsid w:val="0013393B"/>
    <w:rsid w:val="001610BC"/>
    <w:rsid w:val="00180EA7"/>
    <w:rsid w:val="001A3251"/>
    <w:rsid w:val="001F3772"/>
    <w:rsid w:val="00233AF3"/>
    <w:rsid w:val="00245466"/>
    <w:rsid w:val="00250349"/>
    <w:rsid w:val="002515EB"/>
    <w:rsid w:val="00264D2E"/>
    <w:rsid w:val="00315AA9"/>
    <w:rsid w:val="003E7786"/>
    <w:rsid w:val="004040E5"/>
    <w:rsid w:val="00492067"/>
    <w:rsid w:val="004B3B4A"/>
    <w:rsid w:val="004C7F77"/>
    <w:rsid w:val="004E6409"/>
    <w:rsid w:val="00604BE8"/>
    <w:rsid w:val="006663CF"/>
    <w:rsid w:val="006E7B4E"/>
    <w:rsid w:val="006F3818"/>
    <w:rsid w:val="00772899"/>
    <w:rsid w:val="007772AA"/>
    <w:rsid w:val="00786B8A"/>
    <w:rsid w:val="00877273"/>
    <w:rsid w:val="00905F36"/>
    <w:rsid w:val="009145D0"/>
    <w:rsid w:val="009412C2"/>
    <w:rsid w:val="00956906"/>
    <w:rsid w:val="009C5D81"/>
    <w:rsid w:val="00A45976"/>
    <w:rsid w:val="00A860E5"/>
    <w:rsid w:val="00A86A07"/>
    <w:rsid w:val="00AE1213"/>
    <w:rsid w:val="00B51393"/>
    <w:rsid w:val="00BF4853"/>
    <w:rsid w:val="00C31011"/>
    <w:rsid w:val="00C61AC3"/>
    <w:rsid w:val="00CA654A"/>
    <w:rsid w:val="00DC066F"/>
    <w:rsid w:val="00EC4B10"/>
    <w:rsid w:val="00F63E1C"/>
    <w:rsid w:val="00FC29EE"/>
    <w:rsid w:val="00FD55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00418"/>
  <w15:docId w15:val="{BE3FE485-708F-4524-8163-01CEC583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EC4B10"/>
    <w:pPr>
      <w:tabs>
        <w:tab w:val="center" w:pos="4252"/>
        <w:tab w:val="right" w:pos="8504"/>
      </w:tabs>
      <w:snapToGrid w:val="0"/>
    </w:pPr>
  </w:style>
  <w:style w:type="character" w:customStyle="1" w:styleId="ad">
    <w:name w:val="ヘッダー (文字)"/>
    <w:basedOn w:val="a0"/>
    <w:link w:val="ac"/>
    <w:uiPriority w:val="99"/>
    <w:rsid w:val="00EC4B10"/>
  </w:style>
  <w:style w:type="paragraph" w:styleId="ae">
    <w:name w:val="footer"/>
    <w:basedOn w:val="a"/>
    <w:link w:val="af"/>
    <w:uiPriority w:val="99"/>
    <w:unhideWhenUsed/>
    <w:rsid w:val="00EC4B10"/>
    <w:pPr>
      <w:tabs>
        <w:tab w:val="center" w:pos="4252"/>
        <w:tab w:val="right" w:pos="8504"/>
      </w:tabs>
      <w:snapToGrid w:val="0"/>
    </w:pPr>
  </w:style>
  <w:style w:type="character" w:customStyle="1" w:styleId="af">
    <w:name w:val="フッター (文字)"/>
    <w:basedOn w:val="a0"/>
    <w:link w:val="ae"/>
    <w:uiPriority w:val="99"/>
    <w:rsid w:val="00EC4B10"/>
  </w:style>
  <w:style w:type="paragraph" w:styleId="Web">
    <w:name w:val="Normal (Web)"/>
    <w:basedOn w:val="a"/>
    <w:uiPriority w:val="99"/>
    <w:semiHidden/>
    <w:unhideWhenUsed/>
    <w:rsid w:val="001A3251"/>
  </w:style>
  <w:style w:type="character" w:styleId="af0">
    <w:name w:val="Unresolved Mention"/>
    <w:basedOn w:val="a0"/>
    <w:uiPriority w:val="99"/>
    <w:semiHidden/>
    <w:unhideWhenUsed/>
    <w:rsid w:val="00604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867</Words>
  <Characters>5093</Characters>
  <Application>Microsoft Office Word</Application>
  <DocSecurity>0</DocSecurity>
  <Lines>164</Lines>
  <Paragraphs>124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前田　吉広</cp:lastModifiedBy>
  <cp:revision>6</cp:revision>
  <cp:lastPrinted>2026-04-16T03:45:00Z</cp:lastPrinted>
  <dcterms:created xsi:type="dcterms:W3CDTF">2026-04-16T03:38:00Z</dcterms:created>
  <dcterms:modified xsi:type="dcterms:W3CDTF">2026-04-16T06:08:00Z</dcterms:modified>
</cp:coreProperties>
</file>