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5A31C" w14:textId="77777777" w:rsidR="005D5BC8" w:rsidRPr="003A6EF7" w:rsidRDefault="005D5BC8" w:rsidP="005D5BC8">
      <w:pPr>
        <w:spacing w:line="276" w:lineRule="auto"/>
        <w:jc w:val="both"/>
        <w:rPr>
          <w:rFonts w:cs="Calibri"/>
          <w:szCs w:val="22"/>
          <w:lang w:val="en-CA"/>
        </w:rPr>
      </w:pPr>
      <w:r w:rsidRPr="003A6EF7">
        <w:rPr>
          <w:rFonts w:cs="Calibri"/>
          <w:b/>
          <w:bCs/>
          <w:szCs w:val="22"/>
          <w:lang w:val="en-CA"/>
        </w:rPr>
        <w:t>TITLE:</w:t>
      </w:r>
      <w:r w:rsidRPr="003A6EF7">
        <w:rPr>
          <w:rFonts w:cs="Calibri"/>
          <w:szCs w:val="22"/>
          <w:lang w:val="en-CA"/>
        </w:rPr>
        <w:t xml:space="preserve"> Career Transition After Age 45: Needs, Motivations, and Well-Being </w:t>
      </w:r>
    </w:p>
    <w:p w14:paraId="315F38AC" w14:textId="77777777" w:rsidR="005D5BC8" w:rsidRPr="003A6EF7" w:rsidRDefault="005D5BC8" w:rsidP="005D5BC8">
      <w:pPr>
        <w:spacing w:line="276" w:lineRule="auto"/>
        <w:jc w:val="both"/>
        <w:rPr>
          <w:rFonts w:cs="Calibri"/>
          <w:szCs w:val="22"/>
          <w:lang w:val="en-CA"/>
        </w:rPr>
      </w:pPr>
    </w:p>
    <w:p w14:paraId="2D0DED9C" w14:textId="77777777" w:rsidR="005D5BC8" w:rsidRPr="003A6EF7" w:rsidRDefault="005D5BC8" w:rsidP="005D5BC8">
      <w:pPr>
        <w:spacing w:line="276" w:lineRule="auto"/>
        <w:jc w:val="both"/>
        <w:rPr>
          <w:rFonts w:cs="Calibri"/>
          <w:szCs w:val="22"/>
          <w:lang w:val="en-CA"/>
        </w:rPr>
      </w:pPr>
      <w:r w:rsidRPr="003A6EF7">
        <w:rPr>
          <w:rFonts w:cs="Calibri"/>
          <w:b/>
          <w:bCs/>
          <w:szCs w:val="22"/>
          <w:lang w:val="en-CA"/>
        </w:rPr>
        <w:t>INTRODUCTION.</w:t>
      </w:r>
      <w:r w:rsidRPr="003A6EF7">
        <w:rPr>
          <w:rFonts w:cs="Calibri"/>
          <w:szCs w:val="22"/>
          <w:lang w:val="en-CA"/>
        </w:rPr>
        <w:t xml:space="preserve"> In a context of </w:t>
      </w:r>
      <w:r>
        <w:rPr>
          <w:rFonts w:cs="Calibri"/>
          <w:szCs w:val="22"/>
          <w:lang w:val="en-CA"/>
        </w:rPr>
        <w:t xml:space="preserve">ongoing </w:t>
      </w:r>
      <w:r w:rsidRPr="003A6EF7">
        <w:rPr>
          <w:rFonts w:cs="Calibri"/>
          <w:szCs w:val="22"/>
          <w:lang w:val="en-CA"/>
        </w:rPr>
        <w:t xml:space="preserve">demographic, economic, and social change, </w:t>
      </w:r>
      <w:r>
        <w:rPr>
          <w:rFonts w:cs="Calibri"/>
          <w:szCs w:val="22"/>
          <w:lang w:val="en-CA"/>
        </w:rPr>
        <w:t>an increasing number of individuals</w:t>
      </w:r>
      <w:r w:rsidRPr="003A6EF7">
        <w:rPr>
          <w:rFonts w:cs="Calibri"/>
          <w:szCs w:val="22"/>
          <w:lang w:val="en-CA"/>
        </w:rPr>
        <w:t xml:space="preserve"> aged 45 and over are re</w:t>
      </w:r>
      <w:r>
        <w:rPr>
          <w:rFonts w:cs="Calibri"/>
          <w:szCs w:val="22"/>
          <w:lang w:val="en-CA"/>
        </w:rPr>
        <w:t>-evaluat</w:t>
      </w:r>
      <w:r w:rsidRPr="003A6EF7">
        <w:rPr>
          <w:rFonts w:cs="Calibri"/>
          <w:szCs w:val="22"/>
          <w:lang w:val="en-CA"/>
        </w:rPr>
        <w:t xml:space="preserve">ing their career paths. </w:t>
      </w:r>
      <w:r>
        <w:rPr>
          <w:rFonts w:cs="Calibri"/>
          <w:szCs w:val="22"/>
          <w:lang w:val="en-CA"/>
        </w:rPr>
        <w:t>W</w:t>
      </w:r>
      <w:r w:rsidRPr="003A6EF7">
        <w:rPr>
          <w:rFonts w:cs="Calibri"/>
          <w:szCs w:val="22"/>
          <w:lang w:val="en-CA"/>
        </w:rPr>
        <w:t>hether voluntary or i</w:t>
      </w:r>
      <w:r>
        <w:rPr>
          <w:rFonts w:cs="Calibri"/>
          <w:szCs w:val="22"/>
          <w:lang w:val="en-CA"/>
        </w:rPr>
        <w:t>nvoluntary</w:t>
      </w:r>
      <w:r w:rsidRPr="003A6EF7">
        <w:rPr>
          <w:rFonts w:cs="Calibri"/>
          <w:szCs w:val="22"/>
          <w:lang w:val="en-CA"/>
        </w:rPr>
        <w:t>,</w:t>
      </w:r>
      <w:r>
        <w:rPr>
          <w:rFonts w:cs="Calibri"/>
          <w:szCs w:val="22"/>
          <w:lang w:val="en-CA"/>
        </w:rPr>
        <w:t xml:space="preserve"> t</w:t>
      </w:r>
      <w:r w:rsidRPr="003A6EF7">
        <w:rPr>
          <w:rFonts w:cs="Calibri"/>
          <w:szCs w:val="22"/>
          <w:lang w:val="en-CA"/>
        </w:rPr>
        <w:t xml:space="preserve">hese transitions </w:t>
      </w:r>
      <w:r>
        <w:rPr>
          <w:rFonts w:cs="Calibri"/>
          <w:szCs w:val="22"/>
          <w:lang w:val="en-CA"/>
        </w:rPr>
        <w:t>are accompanied by</w:t>
      </w:r>
      <w:r w:rsidRPr="003A6EF7">
        <w:rPr>
          <w:rFonts w:cs="Calibri"/>
          <w:szCs w:val="22"/>
          <w:lang w:val="en-CA"/>
        </w:rPr>
        <w:t xml:space="preserve"> </w:t>
      </w:r>
      <w:r>
        <w:rPr>
          <w:rFonts w:cs="Calibri"/>
          <w:szCs w:val="22"/>
          <w:lang w:val="en-CA"/>
        </w:rPr>
        <w:t xml:space="preserve">significant </w:t>
      </w:r>
      <w:r w:rsidRPr="003A6EF7">
        <w:rPr>
          <w:rFonts w:cs="Calibri"/>
          <w:szCs w:val="22"/>
          <w:lang w:val="en-CA"/>
        </w:rPr>
        <w:t>challenges</w:t>
      </w:r>
      <w:r>
        <w:rPr>
          <w:rFonts w:cs="Calibri"/>
          <w:szCs w:val="22"/>
          <w:lang w:val="en-CA"/>
        </w:rPr>
        <w:t>, including</w:t>
      </w:r>
      <w:r w:rsidRPr="003A6EF7">
        <w:rPr>
          <w:rFonts w:cs="Calibri"/>
          <w:szCs w:val="22"/>
          <w:lang w:val="en-CA"/>
        </w:rPr>
        <w:t>, multiple responsibilities, financial pressure</w:t>
      </w:r>
      <w:r>
        <w:rPr>
          <w:rFonts w:cs="Calibri"/>
          <w:szCs w:val="22"/>
          <w:lang w:val="en-CA"/>
        </w:rPr>
        <w:t>s</w:t>
      </w:r>
      <w:r w:rsidRPr="003A6EF7">
        <w:rPr>
          <w:rFonts w:cs="Calibri"/>
          <w:szCs w:val="22"/>
          <w:lang w:val="en-CA"/>
        </w:rPr>
        <w:t xml:space="preserve">, and sometimes ageism. </w:t>
      </w:r>
      <w:r>
        <w:rPr>
          <w:rFonts w:cs="Calibri"/>
          <w:szCs w:val="22"/>
          <w:lang w:val="en-CA"/>
        </w:rPr>
        <w:t>Simultaneously, t</w:t>
      </w:r>
      <w:r w:rsidRPr="003A6EF7">
        <w:rPr>
          <w:rFonts w:cs="Calibri"/>
          <w:szCs w:val="22"/>
          <w:lang w:val="en-CA"/>
        </w:rPr>
        <w:t xml:space="preserve">hey </w:t>
      </w:r>
      <w:r>
        <w:rPr>
          <w:rFonts w:cs="Calibri"/>
          <w:szCs w:val="22"/>
          <w:lang w:val="en-CA"/>
        </w:rPr>
        <w:t>offer</w:t>
      </w:r>
      <w:r w:rsidRPr="003A6EF7">
        <w:rPr>
          <w:rFonts w:cs="Calibri"/>
          <w:szCs w:val="22"/>
          <w:lang w:val="en-CA"/>
        </w:rPr>
        <w:t xml:space="preserve"> opportunit</w:t>
      </w:r>
      <w:r>
        <w:rPr>
          <w:rFonts w:cs="Calibri"/>
          <w:szCs w:val="22"/>
          <w:lang w:val="en-CA"/>
        </w:rPr>
        <w:t>ies</w:t>
      </w:r>
      <w:r w:rsidRPr="003A6EF7">
        <w:rPr>
          <w:rFonts w:cs="Calibri"/>
          <w:szCs w:val="22"/>
          <w:lang w:val="en-CA"/>
        </w:rPr>
        <w:t xml:space="preserve"> to restore meaning </w:t>
      </w:r>
      <w:r>
        <w:rPr>
          <w:rFonts w:cs="Calibri"/>
          <w:szCs w:val="22"/>
          <w:lang w:val="en-CA"/>
        </w:rPr>
        <w:t>in</w:t>
      </w:r>
      <w:r w:rsidRPr="003A6EF7">
        <w:rPr>
          <w:rFonts w:cs="Calibri"/>
          <w:szCs w:val="22"/>
          <w:lang w:val="en-CA"/>
        </w:rPr>
        <w:t xml:space="preserve"> work, </w:t>
      </w:r>
      <w:r>
        <w:rPr>
          <w:rFonts w:cs="Calibri"/>
          <w:szCs w:val="22"/>
          <w:lang w:val="en-CA"/>
        </w:rPr>
        <w:t>improve</w:t>
      </w:r>
      <w:r w:rsidRPr="003A6EF7">
        <w:rPr>
          <w:rFonts w:cs="Calibri"/>
          <w:szCs w:val="22"/>
          <w:lang w:val="en-CA"/>
        </w:rPr>
        <w:t xml:space="preserve"> work-life balance, and </w:t>
      </w:r>
      <w:r>
        <w:rPr>
          <w:rFonts w:cs="Calibri"/>
          <w:szCs w:val="22"/>
          <w:lang w:val="en-CA"/>
        </w:rPr>
        <w:t>enhance</w:t>
      </w:r>
      <w:r w:rsidRPr="003A6EF7">
        <w:rPr>
          <w:rFonts w:cs="Calibri"/>
          <w:szCs w:val="22"/>
          <w:lang w:val="en-CA"/>
        </w:rPr>
        <w:t xml:space="preserve"> emotional well-being</w:t>
      </w:r>
      <w:r>
        <w:rPr>
          <w:rFonts w:cs="Calibri"/>
          <w:szCs w:val="22"/>
          <w:lang w:val="en-CA"/>
        </w:rPr>
        <w:t xml:space="preserve">. </w:t>
      </w:r>
      <w:r w:rsidRPr="00F6059E">
        <w:rPr>
          <w:rFonts w:cs="Calibri"/>
          <w:szCs w:val="22"/>
          <w:lang w:val="en-CA"/>
        </w:rPr>
        <w:t>Although career transitions in midlife have been documented, existing research tends to examine psychological needs, motivation, and contextual factors in isolation. Less is known about how these dimensions interact dynamically in shaping transition experiences among workers aged 45 and over.</w:t>
      </w:r>
      <w:r>
        <w:rPr>
          <w:rFonts w:cs="Calibri"/>
          <w:szCs w:val="22"/>
          <w:lang w:val="en-CA"/>
        </w:rPr>
        <w:t xml:space="preserve"> This</w:t>
      </w:r>
      <w:r w:rsidRPr="003A6EF7">
        <w:rPr>
          <w:rFonts w:cs="Calibri"/>
          <w:szCs w:val="22"/>
          <w:lang w:val="en-CA"/>
        </w:rPr>
        <w:t xml:space="preserve"> issue </w:t>
      </w:r>
      <w:r>
        <w:rPr>
          <w:rFonts w:cs="Calibri"/>
          <w:szCs w:val="22"/>
          <w:lang w:val="en-CA"/>
        </w:rPr>
        <w:t>is therefore closely aligned with contemporary concerns and</w:t>
      </w:r>
      <w:r w:rsidRPr="003A6EF7">
        <w:rPr>
          <w:rFonts w:cs="Calibri"/>
          <w:szCs w:val="22"/>
          <w:lang w:val="en-CA"/>
        </w:rPr>
        <w:t xml:space="preserve"> the theme of well-being in career guidance and career development (Ferraro </w:t>
      </w:r>
      <w:r>
        <w:rPr>
          <w:rFonts w:cs="Calibri"/>
          <w:szCs w:val="22"/>
          <w:lang w:val="en-CA"/>
        </w:rPr>
        <w:t>et</w:t>
      </w:r>
      <w:r w:rsidRPr="003A6EF7">
        <w:rPr>
          <w:rFonts w:cs="Calibri"/>
          <w:szCs w:val="22"/>
          <w:lang w:val="en-CA"/>
        </w:rPr>
        <w:t xml:space="preserve"> al., 2018; Vogelsang </w:t>
      </w:r>
      <w:r>
        <w:rPr>
          <w:rFonts w:cs="Calibri"/>
          <w:szCs w:val="22"/>
          <w:lang w:val="en-CA"/>
        </w:rPr>
        <w:t>et</w:t>
      </w:r>
      <w:r w:rsidRPr="003A6EF7">
        <w:rPr>
          <w:rFonts w:cs="Calibri"/>
          <w:szCs w:val="22"/>
          <w:lang w:val="en-CA"/>
        </w:rPr>
        <w:t xml:space="preserve"> </w:t>
      </w:r>
      <w:r w:rsidRPr="003A6EF7">
        <w:rPr>
          <w:rFonts w:cs="Calibri"/>
          <w:i/>
          <w:iCs/>
          <w:szCs w:val="22"/>
          <w:lang w:val="en-CA"/>
        </w:rPr>
        <w:t>al</w:t>
      </w:r>
      <w:r w:rsidRPr="003A6EF7">
        <w:rPr>
          <w:rFonts w:cs="Calibri"/>
          <w:szCs w:val="22"/>
          <w:lang w:val="en-CA"/>
        </w:rPr>
        <w:t>., 2018).</w:t>
      </w:r>
    </w:p>
    <w:p w14:paraId="0A614C52" w14:textId="77777777" w:rsidR="005D5BC8" w:rsidRPr="003A6EF7" w:rsidRDefault="005D5BC8" w:rsidP="005D5BC8">
      <w:pPr>
        <w:spacing w:line="276" w:lineRule="auto"/>
        <w:jc w:val="both"/>
        <w:rPr>
          <w:rFonts w:cs="Calibri"/>
          <w:szCs w:val="22"/>
          <w:lang w:val="en-CA"/>
        </w:rPr>
      </w:pPr>
    </w:p>
    <w:p w14:paraId="51B9A6AD" w14:textId="77777777" w:rsidR="005D5BC8" w:rsidRPr="003A6EF7" w:rsidRDefault="005D5BC8" w:rsidP="005D5BC8">
      <w:pPr>
        <w:spacing w:line="276" w:lineRule="auto"/>
        <w:jc w:val="both"/>
        <w:rPr>
          <w:rFonts w:cs="Calibri"/>
          <w:szCs w:val="22"/>
          <w:lang w:val="en-CA"/>
        </w:rPr>
      </w:pPr>
      <w:r w:rsidRPr="003A6EF7">
        <w:rPr>
          <w:rStyle w:val="lev"/>
          <w:rFonts w:cs="Calibri"/>
          <w:szCs w:val="22"/>
          <w:lang w:val="en-CA"/>
        </w:rPr>
        <w:t>OBJECTIVES.</w:t>
      </w:r>
      <w:r w:rsidRPr="003A6EF7">
        <w:rPr>
          <w:rFonts w:cs="Calibri"/>
          <w:szCs w:val="22"/>
          <w:lang w:val="en-CA"/>
        </w:rPr>
        <w:t xml:space="preserve"> Th</w:t>
      </w:r>
      <w:r>
        <w:rPr>
          <w:rFonts w:cs="Calibri"/>
          <w:szCs w:val="22"/>
          <w:lang w:val="en-CA"/>
        </w:rPr>
        <w:t>is study</w:t>
      </w:r>
      <w:r w:rsidRPr="003A6EF7">
        <w:rPr>
          <w:rFonts w:cs="Calibri"/>
          <w:szCs w:val="22"/>
          <w:lang w:val="en-CA"/>
        </w:rPr>
        <w:t xml:space="preserve"> </w:t>
      </w:r>
      <w:r>
        <w:rPr>
          <w:rFonts w:cs="Calibri"/>
          <w:szCs w:val="22"/>
          <w:lang w:val="en-CA"/>
        </w:rPr>
        <w:t>examines</w:t>
      </w:r>
      <w:r w:rsidRPr="003A6EF7">
        <w:rPr>
          <w:rFonts w:cs="Calibri"/>
          <w:szCs w:val="22"/>
          <w:lang w:val="en-CA"/>
        </w:rPr>
        <w:t xml:space="preserve"> the needs and motivations of workers aged 45 and over </w:t>
      </w:r>
      <w:r>
        <w:rPr>
          <w:rFonts w:cs="Calibri"/>
          <w:szCs w:val="22"/>
          <w:lang w:val="en-CA"/>
        </w:rPr>
        <w:t xml:space="preserve">in Quebec, Canada, </w:t>
      </w:r>
      <w:r w:rsidRPr="003A6EF7">
        <w:rPr>
          <w:rFonts w:cs="Calibri"/>
          <w:szCs w:val="22"/>
          <w:lang w:val="en-CA"/>
        </w:rPr>
        <w:t xml:space="preserve">who have a career transition project. </w:t>
      </w:r>
      <w:r>
        <w:rPr>
          <w:rFonts w:cs="Calibri"/>
          <w:szCs w:val="22"/>
          <w:lang w:val="en-CA"/>
        </w:rPr>
        <w:t>S</w:t>
      </w:r>
      <w:r w:rsidRPr="003A6EF7">
        <w:rPr>
          <w:rFonts w:cs="Calibri"/>
          <w:szCs w:val="22"/>
          <w:lang w:val="en-CA"/>
        </w:rPr>
        <w:t xml:space="preserve">pecifically, </w:t>
      </w:r>
      <w:r>
        <w:rPr>
          <w:rFonts w:cs="Calibri"/>
          <w:szCs w:val="22"/>
          <w:lang w:val="en-CA"/>
        </w:rPr>
        <w:t>it</w:t>
      </w:r>
      <w:r w:rsidRPr="003A6EF7">
        <w:rPr>
          <w:rFonts w:cs="Calibri"/>
          <w:szCs w:val="22"/>
          <w:lang w:val="en-CA"/>
        </w:rPr>
        <w:t xml:space="preserve"> aims to</w:t>
      </w:r>
      <w:r>
        <w:rPr>
          <w:rFonts w:cs="Calibri"/>
          <w:szCs w:val="22"/>
          <w:lang w:val="en-CA"/>
        </w:rPr>
        <w:t>: (1)</w:t>
      </w:r>
      <w:r w:rsidRPr="003A6EF7">
        <w:rPr>
          <w:rFonts w:cs="Calibri"/>
          <w:szCs w:val="22"/>
          <w:lang w:val="en-CA"/>
        </w:rPr>
        <w:t xml:space="preserve"> understand the needs </w:t>
      </w:r>
      <w:r>
        <w:rPr>
          <w:rFonts w:cs="Calibri"/>
          <w:szCs w:val="22"/>
          <w:lang w:val="en-CA"/>
        </w:rPr>
        <w:t>reflected in</w:t>
      </w:r>
      <w:r w:rsidRPr="003A6EF7">
        <w:rPr>
          <w:rFonts w:cs="Calibri"/>
          <w:szCs w:val="22"/>
          <w:lang w:val="en-CA"/>
        </w:rPr>
        <w:t xml:space="preserve"> the values and meaning </w:t>
      </w:r>
      <w:r>
        <w:rPr>
          <w:rFonts w:cs="Calibri"/>
          <w:szCs w:val="22"/>
          <w:lang w:val="en-CA"/>
        </w:rPr>
        <w:t>attributed</w:t>
      </w:r>
      <w:r w:rsidRPr="003A6EF7">
        <w:rPr>
          <w:rFonts w:cs="Calibri"/>
          <w:szCs w:val="22"/>
          <w:lang w:val="en-CA"/>
        </w:rPr>
        <w:t xml:space="preserve"> to the</w:t>
      </w:r>
      <w:r>
        <w:rPr>
          <w:rFonts w:cs="Calibri"/>
          <w:szCs w:val="22"/>
          <w:lang w:val="en-CA"/>
        </w:rPr>
        <w:t>ir transition</w:t>
      </w:r>
      <w:r w:rsidRPr="003A6EF7">
        <w:rPr>
          <w:rFonts w:cs="Calibri"/>
          <w:szCs w:val="22"/>
          <w:lang w:val="en-CA"/>
        </w:rPr>
        <w:t xml:space="preserve"> project</w:t>
      </w:r>
      <w:r>
        <w:rPr>
          <w:rFonts w:cs="Calibri"/>
          <w:szCs w:val="22"/>
          <w:lang w:val="en-CA"/>
        </w:rPr>
        <w:t>; (2) analyze</w:t>
      </w:r>
      <w:r w:rsidRPr="003A6EF7">
        <w:rPr>
          <w:rFonts w:cs="Calibri"/>
          <w:szCs w:val="22"/>
          <w:lang w:val="en-CA"/>
        </w:rPr>
        <w:t xml:space="preserve"> the motivations </w:t>
      </w:r>
      <w:r>
        <w:rPr>
          <w:rFonts w:cs="Calibri"/>
          <w:szCs w:val="22"/>
          <w:lang w:val="en-CA"/>
        </w:rPr>
        <w:t>underlying their</w:t>
      </w:r>
      <w:r w:rsidRPr="003A6EF7">
        <w:rPr>
          <w:rFonts w:cs="Calibri"/>
          <w:szCs w:val="22"/>
          <w:lang w:val="en-CA"/>
        </w:rPr>
        <w:t xml:space="preserve"> decisions and behaviors</w:t>
      </w:r>
      <w:r>
        <w:rPr>
          <w:rFonts w:cs="Calibri"/>
          <w:szCs w:val="22"/>
          <w:lang w:val="en-CA"/>
        </w:rPr>
        <w:t>; (3) identify</w:t>
      </w:r>
      <w:r w:rsidRPr="003A6EF7">
        <w:rPr>
          <w:rFonts w:cs="Calibri"/>
          <w:szCs w:val="22"/>
          <w:lang w:val="en-CA"/>
        </w:rPr>
        <w:t xml:space="preserve"> facilitating and hindering contextual forces, as well as anticipated coping strategies</w:t>
      </w:r>
      <w:r>
        <w:rPr>
          <w:rFonts w:cs="Calibri"/>
          <w:szCs w:val="22"/>
          <w:lang w:val="en-CA"/>
        </w:rPr>
        <w:t>; and (4) explore</w:t>
      </w:r>
      <w:r w:rsidRPr="003A6EF7">
        <w:rPr>
          <w:rFonts w:cs="Calibri"/>
          <w:szCs w:val="22"/>
          <w:lang w:val="en-CA"/>
        </w:rPr>
        <w:t xml:space="preserve"> differences across age group</w:t>
      </w:r>
      <w:r>
        <w:rPr>
          <w:rFonts w:cs="Calibri"/>
          <w:szCs w:val="22"/>
          <w:lang w:val="en-CA"/>
        </w:rPr>
        <w:t xml:space="preserve"> and gender. </w:t>
      </w:r>
    </w:p>
    <w:p w14:paraId="5A3C2039" w14:textId="77777777" w:rsidR="005D5BC8" w:rsidRPr="003A6EF7" w:rsidRDefault="005D5BC8" w:rsidP="005D5BC8">
      <w:pPr>
        <w:spacing w:line="276" w:lineRule="auto"/>
        <w:jc w:val="both"/>
        <w:rPr>
          <w:rFonts w:cs="Calibri"/>
          <w:szCs w:val="22"/>
          <w:lang w:val="en-CA"/>
        </w:rPr>
      </w:pPr>
    </w:p>
    <w:p w14:paraId="4FAD21B1" w14:textId="77777777" w:rsidR="005D5BC8" w:rsidRPr="003A6EF7" w:rsidRDefault="005D5BC8" w:rsidP="005D5BC8">
      <w:pPr>
        <w:spacing w:line="276" w:lineRule="auto"/>
        <w:jc w:val="both"/>
        <w:rPr>
          <w:rFonts w:cs="Calibri"/>
          <w:szCs w:val="22"/>
          <w:lang w:val="en-CA"/>
        </w:rPr>
      </w:pPr>
      <w:r w:rsidRPr="003A6EF7">
        <w:rPr>
          <w:rFonts w:cs="Calibri"/>
          <w:b/>
          <w:bCs/>
          <w:szCs w:val="22"/>
          <w:lang w:val="en-CA"/>
        </w:rPr>
        <w:t>THEORETICAL FRAMEWORK.</w:t>
      </w:r>
      <w:r w:rsidRPr="003A6EF7">
        <w:rPr>
          <w:rFonts w:cs="Calibri"/>
          <w:szCs w:val="22"/>
          <w:lang w:val="en-CA"/>
        </w:rPr>
        <w:t xml:space="preserve"> The study is based on four complementary frameworks. </w:t>
      </w:r>
      <w:r>
        <w:rPr>
          <w:rFonts w:cs="Calibri"/>
          <w:szCs w:val="22"/>
          <w:lang w:val="en-CA"/>
        </w:rPr>
        <w:t>First, t</w:t>
      </w:r>
      <w:r w:rsidRPr="003A6EF7">
        <w:rPr>
          <w:rFonts w:cs="Calibri"/>
          <w:szCs w:val="22"/>
          <w:lang w:val="en-CA"/>
        </w:rPr>
        <w:t xml:space="preserve">he 4S model conceptualizes transition as an adjustment process </w:t>
      </w:r>
      <w:r>
        <w:rPr>
          <w:rFonts w:cs="Calibri"/>
          <w:szCs w:val="22"/>
          <w:lang w:val="en-CA"/>
        </w:rPr>
        <w:t>shaped</w:t>
      </w:r>
      <w:r w:rsidRPr="003A6EF7">
        <w:rPr>
          <w:rFonts w:cs="Calibri"/>
          <w:szCs w:val="22"/>
          <w:lang w:val="en-CA"/>
        </w:rPr>
        <w:t xml:space="preserve"> by self, situation, support, and strategies (Schlossberg, 2011). </w:t>
      </w:r>
      <w:r>
        <w:rPr>
          <w:rFonts w:cs="Calibri"/>
          <w:szCs w:val="22"/>
          <w:lang w:val="en-CA"/>
        </w:rPr>
        <w:t>Second, t</w:t>
      </w:r>
      <w:r w:rsidRPr="003A6EF7">
        <w:rPr>
          <w:rFonts w:cs="Calibri"/>
          <w:szCs w:val="22"/>
          <w:lang w:val="en-CA"/>
        </w:rPr>
        <w:t xml:space="preserve">he typology of 13 fundamental psychological needs </w:t>
      </w:r>
      <w:r>
        <w:rPr>
          <w:rFonts w:cs="Calibri"/>
          <w:szCs w:val="22"/>
          <w:lang w:val="en-CA"/>
        </w:rPr>
        <w:t>provides a nuanced lens to</w:t>
      </w:r>
      <w:r w:rsidRPr="003A6EF7">
        <w:rPr>
          <w:rFonts w:cs="Calibri"/>
          <w:szCs w:val="22"/>
          <w:lang w:val="en-CA"/>
        </w:rPr>
        <w:t xml:space="preserve"> specify the needs mobilized in a transition project, including purpose, autonomy, </w:t>
      </w:r>
      <w:r>
        <w:rPr>
          <w:rFonts w:cs="Calibri"/>
          <w:szCs w:val="22"/>
          <w:lang w:val="en-CA"/>
        </w:rPr>
        <w:t>relatedness</w:t>
      </w:r>
      <w:r w:rsidRPr="003A6EF7">
        <w:rPr>
          <w:rFonts w:cs="Calibri"/>
          <w:szCs w:val="22"/>
          <w:lang w:val="en-CA"/>
        </w:rPr>
        <w:t xml:space="preserve">, competence, security, and impact (Desmet &amp; </w:t>
      </w:r>
      <w:proofErr w:type="spellStart"/>
      <w:r w:rsidRPr="003A6EF7">
        <w:rPr>
          <w:rFonts w:cs="Calibri"/>
          <w:szCs w:val="22"/>
          <w:lang w:val="en-CA"/>
        </w:rPr>
        <w:t>Fokkinga</w:t>
      </w:r>
      <w:proofErr w:type="spellEnd"/>
      <w:r w:rsidRPr="003A6EF7">
        <w:rPr>
          <w:rFonts w:cs="Calibri"/>
          <w:szCs w:val="22"/>
          <w:lang w:val="en-CA"/>
        </w:rPr>
        <w:t xml:space="preserve">, 2020). </w:t>
      </w:r>
      <w:r>
        <w:rPr>
          <w:rFonts w:cs="Calibri"/>
          <w:szCs w:val="22"/>
          <w:lang w:val="en-CA"/>
        </w:rPr>
        <w:t>Third, s</w:t>
      </w:r>
      <w:r w:rsidRPr="003A6EF7">
        <w:rPr>
          <w:rFonts w:cs="Calibri"/>
          <w:szCs w:val="22"/>
          <w:lang w:val="en-CA"/>
        </w:rPr>
        <w:t xml:space="preserve">elf-determination theory </w:t>
      </w:r>
      <w:r>
        <w:rPr>
          <w:rFonts w:cs="Calibri"/>
          <w:szCs w:val="22"/>
          <w:lang w:val="en-CA"/>
        </w:rPr>
        <w:t>elucidates</w:t>
      </w:r>
      <w:r w:rsidRPr="003A6EF7">
        <w:rPr>
          <w:rFonts w:cs="Calibri"/>
          <w:szCs w:val="22"/>
          <w:lang w:val="en-CA"/>
        </w:rPr>
        <w:t xml:space="preserve"> motivational regulations</w:t>
      </w:r>
      <w:r>
        <w:rPr>
          <w:rFonts w:cs="Calibri"/>
          <w:szCs w:val="22"/>
          <w:lang w:val="en-CA"/>
        </w:rPr>
        <w:t xml:space="preserve"> along a continuum</w:t>
      </w:r>
      <w:r w:rsidRPr="003A6EF7">
        <w:rPr>
          <w:rFonts w:cs="Calibri"/>
          <w:szCs w:val="22"/>
          <w:lang w:val="en-CA"/>
        </w:rPr>
        <w:t xml:space="preserve"> from intrinsic motivation to </w:t>
      </w:r>
      <w:proofErr w:type="gramStart"/>
      <w:r w:rsidRPr="003A6EF7">
        <w:rPr>
          <w:rFonts w:cs="Calibri"/>
          <w:szCs w:val="22"/>
          <w:lang w:val="en-CA"/>
        </w:rPr>
        <w:t>more or less inte</w:t>
      </w:r>
      <w:r>
        <w:rPr>
          <w:rFonts w:cs="Calibri"/>
          <w:szCs w:val="22"/>
          <w:lang w:val="en-CA"/>
        </w:rPr>
        <w:t>rnalized</w:t>
      </w:r>
      <w:proofErr w:type="gramEnd"/>
      <w:r w:rsidRPr="003A6EF7">
        <w:rPr>
          <w:rFonts w:cs="Calibri"/>
          <w:szCs w:val="22"/>
          <w:lang w:val="en-CA"/>
        </w:rPr>
        <w:t xml:space="preserve"> forms of extrinsic motivation (Ryan &amp; Deci, 2017). Finally, the adaptive decision-action model articulates life pathways, personal projects, contextual forces, and adjustment strategies within a systemic perspective (Cournoyer &amp; Lachance, 2019).</w:t>
      </w:r>
    </w:p>
    <w:p w14:paraId="3FF26E39" w14:textId="77777777" w:rsidR="005D5BC8" w:rsidRPr="003A6EF7" w:rsidRDefault="005D5BC8" w:rsidP="005D5BC8">
      <w:pPr>
        <w:spacing w:line="276" w:lineRule="auto"/>
        <w:jc w:val="both"/>
        <w:rPr>
          <w:rFonts w:cs="Calibri"/>
          <w:szCs w:val="22"/>
          <w:lang w:val="en-CA"/>
        </w:rPr>
      </w:pPr>
    </w:p>
    <w:p w14:paraId="527B6243" w14:textId="77777777" w:rsidR="005D5BC8" w:rsidRPr="003A6EF7" w:rsidRDefault="005D5BC8" w:rsidP="005D5BC8">
      <w:pPr>
        <w:spacing w:line="276" w:lineRule="auto"/>
        <w:jc w:val="both"/>
        <w:rPr>
          <w:rFonts w:cs="Calibri"/>
          <w:szCs w:val="22"/>
          <w:lang w:val="en-CA"/>
        </w:rPr>
      </w:pPr>
      <w:r w:rsidRPr="003A6EF7">
        <w:rPr>
          <w:rStyle w:val="lev"/>
          <w:rFonts w:cs="Calibri"/>
          <w:szCs w:val="22"/>
          <w:lang w:val="en-CA"/>
        </w:rPr>
        <w:t>METHODOLOGY.</w:t>
      </w:r>
      <w:r w:rsidRPr="003A6EF7">
        <w:rPr>
          <w:rFonts w:cs="Calibri"/>
          <w:szCs w:val="22"/>
          <w:lang w:val="en-CA"/>
        </w:rPr>
        <w:t xml:space="preserve"> Th</w:t>
      </w:r>
      <w:r>
        <w:rPr>
          <w:rFonts w:cs="Calibri"/>
          <w:szCs w:val="22"/>
          <w:lang w:val="en-CA"/>
        </w:rPr>
        <w:t>is</w:t>
      </w:r>
      <w:r w:rsidRPr="003A6EF7">
        <w:rPr>
          <w:rFonts w:cs="Calibri"/>
          <w:szCs w:val="22"/>
          <w:lang w:val="en-CA"/>
        </w:rPr>
        <w:t xml:space="preserve"> </w:t>
      </w:r>
      <w:r>
        <w:rPr>
          <w:rFonts w:cs="Calibri"/>
          <w:szCs w:val="22"/>
          <w:lang w:val="en-CA"/>
        </w:rPr>
        <w:t xml:space="preserve">qualitative </w:t>
      </w:r>
      <w:r w:rsidRPr="003A6EF7">
        <w:rPr>
          <w:rFonts w:cs="Calibri"/>
          <w:szCs w:val="22"/>
          <w:lang w:val="en-CA"/>
        </w:rPr>
        <w:t>study adopts an interpretive descriptive design to better understand the meaning</w:t>
      </w:r>
      <w:r>
        <w:rPr>
          <w:rFonts w:cs="Calibri"/>
          <w:szCs w:val="22"/>
          <w:lang w:val="en-CA"/>
        </w:rPr>
        <w:t>s</w:t>
      </w:r>
      <w:r w:rsidRPr="003A6EF7">
        <w:rPr>
          <w:rFonts w:cs="Calibri"/>
          <w:szCs w:val="22"/>
          <w:lang w:val="en-CA"/>
        </w:rPr>
        <w:t xml:space="preserve"> </w:t>
      </w:r>
      <w:r>
        <w:rPr>
          <w:rFonts w:cs="Calibri"/>
          <w:szCs w:val="22"/>
          <w:lang w:val="en-CA"/>
        </w:rPr>
        <w:t xml:space="preserve">individuals attribute to their </w:t>
      </w:r>
      <w:r w:rsidRPr="003A6EF7">
        <w:rPr>
          <w:rFonts w:cs="Calibri"/>
          <w:szCs w:val="22"/>
          <w:lang w:val="en-CA"/>
        </w:rPr>
        <w:t>career transition experience</w:t>
      </w:r>
      <w:r>
        <w:rPr>
          <w:rFonts w:cs="Calibri"/>
          <w:szCs w:val="22"/>
          <w:lang w:val="en-CA"/>
        </w:rPr>
        <w:t>s</w:t>
      </w:r>
      <w:r w:rsidRPr="003A6EF7">
        <w:rPr>
          <w:rFonts w:cs="Calibri"/>
          <w:szCs w:val="22"/>
          <w:lang w:val="en-CA"/>
        </w:rPr>
        <w:t xml:space="preserve">. The sample includes 24 individuals from Quebec, Canada, aged 45 to 68, equally distributed between </w:t>
      </w:r>
      <w:r>
        <w:rPr>
          <w:rFonts w:cs="Calibri"/>
          <w:szCs w:val="22"/>
          <w:lang w:val="en-CA"/>
        </w:rPr>
        <w:t>gender (</w:t>
      </w:r>
      <w:r w:rsidRPr="003A6EF7">
        <w:rPr>
          <w:rFonts w:cs="Calibri"/>
          <w:szCs w:val="22"/>
          <w:lang w:val="en-CA"/>
        </w:rPr>
        <w:t>women and men</w:t>
      </w:r>
      <w:r>
        <w:rPr>
          <w:rFonts w:cs="Calibri"/>
          <w:szCs w:val="22"/>
          <w:lang w:val="en-CA"/>
        </w:rPr>
        <w:t>)</w:t>
      </w:r>
      <w:r w:rsidRPr="003A6EF7">
        <w:rPr>
          <w:rFonts w:cs="Calibri"/>
          <w:szCs w:val="22"/>
          <w:lang w:val="en-CA"/>
        </w:rPr>
        <w:t xml:space="preserve"> and across </w:t>
      </w:r>
      <w:r>
        <w:rPr>
          <w:rFonts w:cs="Calibri"/>
          <w:szCs w:val="22"/>
          <w:lang w:val="en-CA"/>
        </w:rPr>
        <w:t>age groups (</w:t>
      </w:r>
      <w:r w:rsidRPr="003A6EF7">
        <w:rPr>
          <w:rFonts w:cs="Calibri"/>
          <w:szCs w:val="22"/>
          <w:lang w:val="en-CA"/>
        </w:rPr>
        <w:t>forties, fifties, and sixties</w:t>
      </w:r>
      <w:r>
        <w:rPr>
          <w:rFonts w:cs="Calibri"/>
          <w:szCs w:val="22"/>
          <w:lang w:val="en-CA"/>
        </w:rPr>
        <w:t>)</w:t>
      </w:r>
      <w:r w:rsidRPr="003A6EF7">
        <w:rPr>
          <w:rFonts w:cs="Calibri"/>
          <w:szCs w:val="22"/>
          <w:lang w:val="en-CA"/>
        </w:rPr>
        <w:t xml:space="preserve">. Data were collected through a sociodemographic questionnaire and two semi-structured interviews conducted via Zoom. </w:t>
      </w:r>
      <w:r>
        <w:rPr>
          <w:rFonts w:cs="Calibri"/>
          <w:szCs w:val="22"/>
          <w:lang w:val="en-CA"/>
        </w:rPr>
        <w:t>T</w:t>
      </w:r>
      <w:r w:rsidRPr="003A6EF7">
        <w:rPr>
          <w:rFonts w:cs="Calibri"/>
          <w:szCs w:val="22"/>
          <w:lang w:val="en-CA"/>
        </w:rPr>
        <w:t xml:space="preserve">hematic analysis </w:t>
      </w:r>
      <w:r>
        <w:rPr>
          <w:rFonts w:cs="Calibri"/>
          <w:szCs w:val="22"/>
          <w:lang w:val="en-CA"/>
        </w:rPr>
        <w:t xml:space="preserve">was employed to analyze </w:t>
      </w:r>
      <w:r w:rsidRPr="003A6EF7">
        <w:rPr>
          <w:rFonts w:cs="Calibri"/>
          <w:szCs w:val="22"/>
          <w:lang w:val="en-CA"/>
        </w:rPr>
        <w:t>data (Fortin &amp; Gagnon, 2022; Gallagher &amp; Marceau, 2020).</w:t>
      </w:r>
    </w:p>
    <w:p w14:paraId="62759135" w14:textId="77777777" w:rsidR="005D5BC8" w:rsidRPr="003A6EF7" w:rsidRDefault="005D5BC8" w:rsidP="005D5BC8">
      <w:pPr>
        <w:spacing w:line="276" w:lineRule="auto"/>
        <w:jc w:val="both"/>
        <w:rPr>
          <w:rFonts w:cs="Calibri"/>
          <w:szCs w:val="22"/>
          <w:lang w:val="en-CA"/>
        </w:rPr>
      </w:pPr>
    </w:p>
    <w:p w14:paraId="53509B88" w14:textId="77777777" w:rsidR="005D5BC8" w:rsidRPr="003A6EF7" w:rsidRDefault="005D5BC8" w:rsidP="005D5BC8">
      <w:pPr>
        <w:spacing w:line="276" w:lineRule="auto"/>
        <w:jc w:val="both"/>
        <w:rPr>
          <w:rFonts w:cs="Calibri"/>
          <w:szCs w:val="22"/>
          <w:lang w:val="en-CA"/>
        </w:rPr>
      </w:pPr>
      <w:r w:rsidRPr="003A6EF7">
        <w:rPr>
          <w:rFonts w:cs="Calibri"/>
          <w:b/>
          <w:bCs/>
          <w:szCs w:val="22"/>
          <w:lang w:val="en-CA"/>
        </w:rPr>
        <w:t>RESULTS.</w:t>
      </w:r>
      <w:r w:rsidRPr="003A6EF7">
        <w:rPr>
          <w:rFonts w:cs="Calibri"/>
          <w:szCs w:val="22"/>
          <w:lang w:val="en-CA"/>
        </w:rPr>
        <w:t xml:space="preserve"> </w:t>
      </w:r>
      <w:r>
        <w:rPr>
          <w:rFonts w:cs="Calibri"/>
          <w:szCs w:val="22"/>
          <w:lang w:val="en-CA"/>
        </w:rPr>
        <w:t>Findings</w:t>
      </w:r>
      <w:r w:rsidRPr="003A6EF7">
        <w:rPr>
          <w:rFonts w:cs="Calibri"/>
          <w:szCs w:val="22"/>
          <w:lang w:val="en-CA"/>
        </w:rPr>
        <w:t xml:space="preserve"> </w:t>
      </w:r>
      <w:r>
        <w:rPr>
          <w:rFonts w:cs="Calibri"/>
          <w:szCs w:val="22"/>
          <w:lang w:val="en-CA"/>
        </w:rPr>
        <w:t>indicate</w:t>
      </w:r>
      <w:r w:rsidRPr="003A6EF7">
        <w:rPr>
          <w:rFonts w:cs="Calibri"/>
          <w:szCs w:val="22"/>
          <w:lang w:val="en-CA"/>
        </w:rPr>
        <w:t xml:space="preserve"> that career transition projects </w:t>
      </w:r>
      <w:r>
        <w:rPr>
          <w:rFonts w:cs="Calibri"/>
          <w:szCs w:val="22"/>
          <w:lang w:val="en-CA"/>
        </w:rPr>
        <w:t>are generally oriented toward</w:t>
      </w:r>
      <w:r w:rsidRPr="003A6EF7">
        <w:rPr>
          <w:rFonts w:cs="Calibri"/>
          <w:szCs w:val="22"/>
          <w:lang w:val="en-CA"/>
        </w:rPr>
        <w:t xml:space="preserve"> a </w:t>
      </w:r>
      <w:r>
        <w:rPr>
          <w:rFonts w:cs="Calibri"/>
          <w:szCs w:val="22"/>
          <w:lang w:val="en-CA"/>
        </w:rPr>
        <w:t>greater</w:t>
      </w:r>
      <w:r w:rsidRPr="003A6EF7">
        <w:rPr>
          <w:rFonts w:cs="Calibri"/>
          <w:szCs w:val="22"/>
          <w:lang w:val="en-CA"/>
        </w:rPr>
        <w:t xml:space="preserve"> alignment between personal </w:t>
      </w:r>
      <w:r>
        <w:rPr>
          <w:rFonts w:cs="Calibri"/>
          <w:szCs w:val="22"/>
          <w:lang w:val="en-CA"/>
        </w:rPr>
        <w:t xml:space="preserve">values, </w:t>
      </w:r>
      <w:r w:rsidRPr="003A6EF7">
        <w:rPr>
          <w:rFonts w:cs="Calibri"/>
          <w:szCs w:val="22"/>
          <w:lang w:val="en-CA"/>
        </w:rPr>
        <w:t>aspirations, and life conditions. The most salient needs concern impact, purpose, relat</w:t>
      </w:r>
      <w:r>
        <w:rPr>
          <w:rFonts w:cs="Calibri"/>
          <w:szCs w:val="22"/>
          <w:lang w:val="en-CA"/>
        </w:rPr>
        <w:t>edness</w:t>
      </w:r>
      <w:r w:rsidRPr="003A6EF7">
        <w:rPr>
          <w:rFonts w:cs="Calibri"/>
          <w:szCs w:val="22"/>
          <w:lang w:val="en-CA"/>
        </w:rPr>
        <w:t xml:space="preserve">, competence, autonomy, stimulation, and, depending on </w:t>
      </w:r>
      <w:r w:rsidRPr="003A6EF7">
        <w:rPr>
          <w:rFonts w:cs="Calibri"/>
          <w:szCs w:val="22"/>
          <w:lang w:val="en-CA"/>
        </w:rPr>
        <w:lastRenderedPageBreak/>
        <w:t xml:space="preserve">the age group, security. Motivations are </w:t>
      </w:r>
      <w:r>
        <w:rPr>
          <w:rFonts w:cs="Calibri"/>
          <w:szCs w:val="22"/>
          <w:lang w:val="en-CA"/>
        </w:rPr>
        <w:t>predominantly</w:t>
      </w:r>
      <w:r w:rsidRPr="003A6EF7">
        <w:rPr>
          <w:rFonts w:cs="Calibri"/>
          <w:szCs w:val="22"/>
          <w:lang w:val="en-CA"/>
        </w:rPr>
        <w:t xml:space="preserve"> intrinsic </w:t>
      </w:r>
      <w:r>
        <w:rPr>
          <w:rFonts w:cs="Calibri"/>
          <w:szCs w:val="22"/>
          <w:lang w:val="en-CA"/>
        </w:rPr>
        <w:t>or</w:t>
      </w:r>
      <w:r w:rsidRPr="003A6EF7">
        <w:rPr>
          <w:rFonts w:cs="Calibri"/>
          <w:szCs w:val="22"/>
          <w:lang w:val="en-CA"/>
        </w:rPr>
        <w:t xml:space="preserve"> identified, </w:t>
      </w:r>
      <w:r>
        <w:rPr>
          <w:rFonts w:cs="Calibri"/>
          <w:szCs w:val="22"/>
          <w:lang w:val="en-CA"/>
        </w:rPr>
        <w:t>reflecting</w:t>
      </w:r>
      <w:r w:rsidRPr="003A6EF7">
        <w:rPr>
          <w:rFonts w:cs="Calibri"/>
          <w:szCs w:val="22"/>
          <w:lang w:val="en-CA"/>
        </w:rPr>
        <w:t xml:space="preserve"> </w:t>
      </w:r>
      <w:r>
        <w:rPr>
          <w:rFonts w:cs="Calibri"/>
          <w:szCs w:val="22"/>
          <w:lang w:val="en-CA"/>
        </w:rPr>
        <w:t xml:space="preserve">a strong </w:t>
      </w:r>
      <w:r w:rsidRPr="003A6EF7">
        <w:rPr>
          <w:rFonts w:cs="Calibri"/>
          <w:szCs w:val="22"/>
          <w:lang w:val="en-CA"/>
        </w:rPr>
        <w:t xml:space="preserve">search for meaning, coherence, and </w:t>
      </w:r>
      <w:r>
        <w:rPr>
          <w:rFonts w:cs="Calibri"/>
          <w:szCs w:val="22"/>
          <w:lang w:val="en-CA"/>
        </w:rPr>
        <w:t>self-</w:t>
      </w:r>
      <w:r w:rsidRPr="003A6EF7">
        <w:rPr>
          <w:rFonts w:cs="Calibri"/>
          <w:szCs w:val="22"/>
          <w:lang w:val="en-CA"/>
        </w:rPr>
        <w:t xml:space="preserve">congruence. Facilitating contextual forces mainly relate to competencies, self-confidence, flexibility, social networks, and a favorable employment situation. </w:t>
      </w:r>
      <w:r>
        <w:rPr>
          <w:rFonts w:cs="Calibri"/>
          <w:szCs w:val="22"/>
          <w:lang w:val="en-CA"/>
        </w:rPr>
        <w:t>In contrast, b</w:t>
      </w:r>
      <w:r w:rsidRPr="003A6EF7">
        <w:rPr>
          <w:rFonts w:cs="Calibri"/>
          <w:szCs w:val="22"/>
          <w:lang w:val="en-CA"/>
        </w:rPr>
        <w:t xml:space="preserve">arriers involve negative thoughts, perceived </w:t>
      </w:r>
      <w:r>
        <w:rPr>
          <w:rFonts w:cs="Calibri"/>
          <w:szCs w:val="22"/>
          <w:lang w:val="en-CA"/>
        </w:rPr>
        <w:t>gaps in</w:t>
      </w:r>
      <w:r w:rsidRPr="003A6EF7">
        <w:rPr>
          <w:rFonts w:cs="Calibri"/>
          <w:szCs w:val="22"/>
          <w:lang w:val="en-CA"/>
        </w:rPr>
        <w:t xml:space="preserve"> training or experience, limited financial resources, lack of social support, </w:t>
      </w:r>
      <w:r>
        <w:rPr>
          <w:rFonts w:cs="Calibri"/>
          <w:szCs w:val="22"/>
          <w:lang w:val="en-CA"/>
        </w:rPr>
        <w:t>economic uncertainty</w:t>
      </w:r>
      <w:r w:rsidRPr="003A6EF7">
        <w:rPr>
          <w:rFonts w:cs="Calibri"/>
          <w:szCs w:val="22"/>
          <w:lang w:val="en-CA"/>
        </w:rPr>
        <w:t>, and certain organizational constraints. Anticipated coping strategies are primarily intrapersonal</w:t>
      </w:r>
      <w:r>
        <w:rPr>
          <w:rFonts w:cs="Calibri"/>
          <w:szCs w:val="22"/>
          <w:lang w:val="en-CA"/>
        </w:rPr>
        <w:t xml:space="preserve"> and</w:t>
      </w:r>
      <w:r w:rsidRPr="003A6EF7">
        <w:rPr>
          <w:rFonts w:cs="Calibri"/>
          <w:szCs w:val="22"/>
          <w:lang w:val="en-CA"/>
        </w:rPr>
        <w:t xml:space="preserve"> includ</w:t>
      </w:r>
      <w:r>
        <w:rPr>
          <w:rFonts w:cs="Calibri"/>
          <w:szCs w:val="22"/>
          <w:lang w:val="en-CA"/>
        </w:rPr>
        <w:t>e</w:t>
      </w:r>
      <w:r w:rsidRPr="003A6EF7">
        <w:rPr>
          <w:rFonts w:cs="Calibri"/>
          <w:szCs w:val="22"/>
          <w:lang w:val="en-CA"/>
        </w:rPr>
        <w:t xml:space="preserve"> adopting a positive perspective, planning, recognizing </w:t>
      </w:r>
      <w:r>
        <w:rPr>
          <w:rFonts w:cs="Calibri"/>
          <w:szCs w:val="22"/>
          <w:lang w:val="en-CA"/>
        </w:rPr>
        <w:t>personal</w:t>
      </w:r>
      <w:r w:rsidRPr="003A6EF7">
        <w:rPr>
          <w:rFonts w:cs="Calibri"/>
          <w:szCs w:val="22"/>
          <w:lang w:val="en-CA"/>
        </w:rPr>
        <w:t xml:space="preserve"> limits, and mobilizing relational and external resources.</w:t>
      </w:r>
    </w:p>
    <w:p w14:paraId="566BA538" w14:textId="77777777" w:rsidR="005D5BC8" w:rsidRPr="003A6EF7" w:rsidRDefault="005D5BC8" w:rsidP="005D5BC8">
      <w:pPr>
        <w:spacing w:line="276" w:lineRule="auto"/>
        <w:jc w:val="both"/>
        <w:rPr>
          <w:rFonts w:cs="Calibri"/>
          <w:szCs w:val="22"/>
          <w:lang w:val="en-CA"/>
        </w:rPr>
      </w:pPr>
    </w:p>
    <w:p w14:paraId="7AAE35FF" w14:textId="77777777" w:rsidR="005D5BC8" w:rsidRPr="003A6EF7" w:rsidRDefault="005D5BC8" w:rsidP="005D5BC8">
      <w:pPr>
        <w:spacing w:line="276" w:lineRule="auto"/>
        <w:jc w:val="both"/>
        <w:rPr>
          <w:rFonts w:cs="Calibri"/>
          <w:szCs w:val="22"/>
          <w:lang w:val="en-CA"/>
        </w:rPr>
      </w:pPr>
      <w:r w:rsidRPr="003A6EF7">
        <w:rPr>
          <w:rFonts w:cs="Calibri"/>
          <w:b/>
          <w:bCs/>
          <w:szCs w:val="22"/>
          <w:lang w:val="en-CA"/>
        </w:rPr>
        <w:t>CONCLUSION.</w:t>
      </w:r>
      <w:r w:rsidRPr="003A6EF7">
        <w:rPr>
          <w:rFonts w:cs="Calibri"/>
          <w:szCs w:val="22"/>
          <w:lang w:val="en-CA"/>
        </w:rPr>
        <w:t xml:space="preserve"> </w:t>
      </w:r>
      <w:r>
        <w:rPr>
          <w:rFonts w:cs="Calibri"/>
          <w:szCs w:val="22"/>
          <w:lang w:val="en-CA"/>
        </w:rPr>
        <w:t>Overall</w:t>
      </w:r>
      <w:r w:rsidRPr="003A6EF7">
        <w:rPr>
          <w:rFonts w:cs="Calibri"/>
          <w:szCs w:val="22"/>
          <w:lang w:val="en-CA"/>
        </w:rPr>
        <w:t xml:space="preserve">, </w:t>
      </w:r>
      <w:r>
        <w:rPr>
          <w:rFonts w:cs="Calibri"/>
          <w:szCs w:val="22"/>
          <w:lang w:val="en-CA"/>
        </w:rPr>
        <w:t>findings suggest</w:t>
      </w:r>
      <w:r w:rsidRPr="003A6EF7">
        <w:rPr>
          <w:rFonts w:cs="Calibri"/>
          <w:szCs w:val="22"/>
          <w:lang w:val="en-CA"/>
        </w:rPr>
        <w:t xml:space="preserve"> that career transition after age 45 </w:t>
      </w:r>
      <w:r>
        <w:rPr>
          <w:rFonts w:cs="Calibri"/>
          <w:szCs w:val="22"/>
          <w:lang w:val="en-CA"/>
        </w:rPr>
        <w:t>extends beyond</w:t>
      </w:r>
      <w:r w:rsidRPr="003A6EF7">
        <w:rPr>
          <w:rFonts w:cs="Calibri"/>
          <w:szCs w:val="22"/>
          <w:lang w:val="en-CA"/>
        </w:rPr>
        <w:t xml:space="preserve"> labor market</w:t>
      </w:r>
      <w:r>
        <w:rPr>
          <w:rFonts w:cs="Calibri"/>
          <w:szCs w:val="22"/>
          <w:lang w:val="en-CA"/>
        </w:rPr>
        <w:t xml:space="preserve"> repositioning to encompass a broader quest for</w:t>
      </w:r>
      <w:r w:rsidRPr="003A6EF7">
        <w:rPr>
          <w:rFonts w:cs="Calibri"/>
          <w:szCs w:val="22"/>
          <w:lang w:val="en-CA"/>
        </w:rPr>
        <w:t xml:space="preserve"> meaning, usefulness, and balance across life domains. The</w:t>
      </w:r>
      <w:r>
        <w:rPr>
          <w:rFonts w:cs="Calibri"/>
          <w:szCs w:val="22"/>
          <w:lang w:val="en-CA"/>
        </w:rPr>
        <w:t xml:space="preserve"> study highlights</w:t>
      </w:r>
      <w:r w:rsidRPr="003A6EF7">
        <w:rPr>
          <w:rFonts w:cs="Calibri"/>
          <w:szCs w:val="22"/>
          <w:lang w:val="en-CA"/>
        </w:rPr>
        <w:t xml:space="preserve"> the relevance of a systemic reading of transitions, attentive to the articulation between needs, motivations, context</w:t>
      </w:r>
      <w:r>
        <w:rPr>
          <w:rFonts w:cs="Calibri"/>
          <w:szCs w:val="22"/>
          <w:lang w:val="en-CA"/>
        </w:rPr>
        <w:t>s</w:t>
      </w:r>
      <w:r w:rsidRPr="003A6EF7">
        <w:rPr>
          <w:rFonts w:cs="Calibri"/>
          <w:szCs w:val="22"/>
          <w:lang w:val="en-CA"/>
        </w:rPr>
        <w:t xml:space="preserve">, and adjustment strategies. For the field of career guidance and career development, this study </w:t>
      </w:r>
      <w:r>
        <w:rPr>
          <w:rFonts w:cs="Calibri"/>
          <w:szCs w:val="22"/>
          <w:lang w:val="en-CA"/>
        </w:rPr>
        <w:t>underscores the need</w:t>
      </w:r>
      <w:r w:rsidRPr="003A6EF7">
        <w:rPr>
          <w:rFonts w:cs="Calibri"/>
          <w:szCs w:val="22"/>
          <w:lang w:val="en-CA"/>
        </w:rPr>
        <w:t xml:space="preserve"> for interventions that support decision-making, adaptation, and well-being, notably through meaning clarification, satisfaction of psychological needs, and </w:t>
      </w:r>
      <w:r>
        <w:rPr>
          <w:rFonts w:cs="Calibri"/>
          <w:szCs w:val="22"/>
          <w:lang w:val="en-CA"/>
        </w:rPr>
        <w:t>effective</w:t>
      </w:r>
      <w:r w:rsidRPr="003A6EF7">
        <w:rPr>
          <w:rFonts w:cs="Calibri"/>
          <w:szCs w:val="22"/>
          <w:lang w:val="en-CA"/>
        </w:rPr>
        <w:t xml:space="preserve"> mobilization of available resources.</w:t>
      </w:r>
    </w:p>
    <w:p w14:paraId="085A83FB" w14:textId="77777777" w:rsidR="005D5BC8" w:rsidRPr="003A6EF7" w:rsidRDefault="005D5BC8" w:rsidP="005D5BC8">
      <w:pPr>
        <w:spacing w:line="276" w:lineRule="auto"/>
        <w:jc w:val="both"/>
        <w:rPr>
          <w:rFonts w:cs="Calibri"/>
          <w:szCs w:val="22"/>
          <w:lang w:val="en-CA"/>
        </w:rPr>
      </w:pPr>
    </w:p>
    <w:p w14:paraId="1385EFE8" w14:textId="77777777" w:rsidR="005D5BC8" w:rsidRPr="003A6EF7" w:rsidRDefault="005D5BC8" w:rsidP="005D5BC8">
      <w:pPr>
        <w:spacing w:line="276" w:lineRule="auto"/>
        <w:jc w:val="both"/>
        <w:rPr>
          <w:rFonts w:cs="Calibri"/>
          <w:szCs w:val="22"/>
          <w:lang w:val="en-CA"/>
        </w:rPr>
      </w:pPr>
      <w:r w:rsidRPr="003A6EF7">
        <w:rPr>
          <w:rFonts w:cs="Calibri"/>
          <w:b/>
          <w:bCs/>
          <w:szCs w:val="22"/>
          <w:lang w:val="en-CA"/>
        </w:rPr>
        <w:t>Keywords:</w:t>
      </w:r>
      <w:r w:rsidRPr="003A6EF7">
        <w:rPr>
          <w:rFonts w:cs="Calibri"/>
          <w:szCs w:val="22"/>
          <w:lang w:val="en-CA"/>
        </w:rPr>
        <w:t xml:space="preserve"> career transition; career development; psychological needs; self-determination; well-being.</w:t>
      </w:r>
    </w:p>
    <w:p w14:paraId="145141D8" w14:textId="77777777" w:rsidR="005D5BC8" w:rsidRPr="003A6EF7" w:rsidRDefault="005D5BC8" w:rsidP="005D5BC8">
      <w:pPr>
        <w:jc w:val="both"/>
        <w:rPr>
          <w:rFonts w:cs="Calibri"/>
          <w:szCs w:val="22"/>
          <w:lang w:val="en-CA"/>
        </w:rPr>
      </w:pPr>
    </w:p>
    <w:p w14:paraId="0C57B58B" w14:textId="77777777" w:rsidR="005D5BC8" w:rsidRPr="003A6EF7" w:rsidRDefault="005D5BC8" w:rsidP="005D5BC8">
      <w:pPr>
        <w:jc w:val="both"/>
        <w:rPr>
          <w:rFonts w:cs="Calibri"/>
          <w:b/>
          <w:bCs/>
          <w:szCs w:val="22"/>
        </w:rPr>
      </w:pPr>
      <w:r w:rsidRPr="003A6EF7">
        <w:rPr>
          <w:rFonts w:cs="Calibri"/>
          <w:b/>
          <w:bCs/>
          <w:szCs w:val="22"/>
        </w:rPr>
        <w:t>Références bibliographiques</w:t>
      </w:r>
    </w:p>
    <w:p w14:paraId="1BDC4035" w14:textId="77777777" w:rsidR="005D5BC8" w:rsidRPr="003A6EF7" w:rsidRDefault="005D5BC8" w:rsidP="005D5BC8">
      <w:pPr>
        <w:jc w:val="both"/>
        <w:rPr>
          <w:rFonts w:cs="Calibri"/>
          <w:szCs w:val="22"/>
        </w:rPr>
      </w:pPr>
    </w:p>
    <w:p w14:paraId="6B97F942" w14:textId="77777777" w:rsidR="005D5BC8" w:rsidRPr="003A6EF7" w:rsidRDefault="005D5BC8" w:rsidP="005D5BC8">
      <w:pPr>
        <w:ind w:left="567" w:hanging="567"/>
        <w:jc w:val="both"/>
        <w:rPr>
          <w:rFonts w:cs="Calibri"/>
          <w:szCs w:val="22"/>
          <w:lang w:val="en-CA"/>
        </w:rPr>
      </w:pPr>
      <w:r w:rsidRPr="003A6EF7">
        <w:rPr>
          <w:rFonts w:cs="Calibri"/>
          <w:szCs w:val="22"/>
        </w:rPr>
        <w:t xml:space="preserve">Cournoyer, L., &amp; Lachance, L. (2019). </w:t>
      </w:r>
      <w:r w:rsidRPr="003A6EF7">
        <w:rPr>
          <w:rFonts w:cs="Calibri"/>
          <w:szCs w:val="22"/>
          <w:lang w:val="en-CA"/>
        </w:rPr>
        <w:t xml:space="preserve">Decision action model overview and application to career development. In N. Arthur, M. McMahon, &amp; R. Neault (Eds.), Career theories and models at work: Ideas for practice (pp. 93–102). CERIC. </w:t>
      </w:r>
    </w:p>
    <w:p w14:paraId="4042482C" w14:textId="77777777" w:rsidR="005D5BC8" w:rsidRPr="003A6EF7" w:rsidRDefault="005D5BC8" w:rsidP="005D5BC8">
      <w:pPr>
        <w:ind w:left="567" w:hanging="567"/>
        <w:jc w:val="both"/>
        <w:rPr>
          <w:rFonts w:cs="Calibri"/>
          <w:szCs w:val="22"/>
          <w:lang w:val="en-CA"/>
        </w:rPr>
      </w:pPr>
    </w:p>
    <w:p w14:paraId="49D788BD" w14:textId="77777777" w:rsidR="005D5BC8" w:rsidRPr="003A6EF7" w:rsidRDefault="005D5BC8" w:rsidP="005D5BC8">
      <w:pPr>
        <w:ind w:left="567" w:hanging="567"/>
        <w:jc w:val="both"/>
        <w:rPr>
          <w:rFonts w:cs="Calibri"/>
          <w:szCs w:val="22"/>
          <w:lang w:val="en-CA"/>
        </w:rPr>
      </w:pPr>
      <w:r w:rsidRPr="003A6EF7">
        <w:rPr>
          <w:rFonts w:cs="Calibri"/>
          <w:szCs w:val="22"/>
          <w:lang w:val="en-CA"/>
        </w:rPr>
        <w:t xml:space="preserve">Desmet, P., &amp; </w:t>
      </w:r>
      <w:proofErr w:type="spellStart"/>
      <w:r w:rsidRPr="003A6EF7">
        <w:rPr>
          <w:rFonts w:cs="Calibri"/>
          <w:szCs w:val="22"/>
          <w:lang w:val="en-CA"/>
        </w:rPr>
        <w:t>Fokkinga</w:t>
      </w:r>
      <w:proofErr w:type="spellEnd"/>
      <w:r w:rsidRPr="003A6EF7">
        <w:rPr>
          <w:rFonts w:cs="Calibri"/>
          <w:szCs w:val="22"/>
          <w:lang w:val="en-CA"/>
        </w:rPr>
        <w:t xml:space="preserve">, S. (2020). Beyond Maslow’s pyramid: Introducing a typology of thirteen fundamental needs for human-centered design. </w:t>
      </w:r>
      <w:r w:rsidRPr="003A6EF7">
        <w:rPr>
          <w:rFonts w:cs="Calibri"/>
          <w:i/>
          <w:iCs/>
          <w:szCs w:val="22"/>
          <w:lang w:val="en-CA"/>
        </w:rPr>
        <w:t>Multimodal Technologies and Interaction, 4</w:t>
      </w:r>
      <w:r w:rsidRPr="003A6EF7">
        <w:rPr>
          <w:rFonts w:cs="Calibri"/>
          <w:szCs w:val="22"/>
          <w:lang w:val="en-CA"/>
        </w:rPr>
        <w:t xml:space="preserve">(38). </w:t>
      </w:r>
      <w:r>
        <w:fldChar w:fldCharType="begin"/>
      </w:r>
      <w:r w:rsidRPr="00D8145D">
        <w:rPr>
          <w:lang w:val="en-CA"/>
        </w:rPr>
        <w:instrText>HYPERLINK "https://doi.org/10.3390/mti4030038" \t "_new"</w:instrText>
      </w:r>
      <w:r>
        <w:fldChar w:fldCharType="separate"/>
      </w:r>
      <w:r w:rsidRPr="003A6EF7">
        <w:rPr>
          <w:rStyle w:val="Lienhypertexte"/>
          <w:rFonts w:cs="Calibri"/>
          <w:szCs w:val="22"/>
          <w:lang w:val="en-CA"/>
        </w:rPr>
        <w:t>https://doi.org/10.3390/mti4030038</w:t>
      </w:r>
      <w:r>
        <w:fldChar w:fldCharType="end"/>
      </w:r>
      <w:r w:rsidRPr="003A6EF7">
        <w:rPr>
          <w:rFonts w:cs="Calibri"/>
          <w:szCs w:val="22"/>
          <w:lang w:val="en-CA"/>
        </w:rPr>
        <w:t xml:space="preserve"> </w:t>
      </w:r>
    </w:p>
    <w:p w14:paraId="6CA5A2CF" w14:textId="77777777" w:rsidR="005D5BC8" w:rsidRPr="003A6EF7" w:rsidRDefault="005D5BC8" w:rsidP="005D5BC8">
      <w:pPr>
        <w:ind w:left="567" w:hanging="567"/>
        <w:jc w:val="both"/>
        <w:rPr>
          <w:rFonts w:cs="Calibri"/>
          <w:szCs w:val="22"/>
          <w:lang w:val="en-CA"/>
        </w:rPr>
      </w:pPr>
    </w:p>
    <w:p w14:paraId="2963CB79" w14:textId="77777777" w:rsidR="005D5BC8" w:rsidRPr="003A6EF7" w:rsidRDefault="005D5BC8" w:rsidP="005D5BC8">
      <w:pPr>
        <w:ind w:left="567" w:hanging="567"/>
        <w:jc w:val="both"/>
        <w:rPr>
          <w:rFonts w:cs="Calibri"/>
          <w:szCs w:val="22"/>
        </w:rPr>
      </w:pPr>
      <w:r w:rsidRPr="003A6EF7">
        <w:rPr>
          <w:rFonts w:cs="Calibri"/>
          <w:szCs w:val="22"/>
          <w:lang w:val="en-CA"/>
        </w:rPr>
        <w:t xml:space="preserve">Ferraro, H. S., Prussia, G., &amp; Mehrotra, S. (2018). The impact of age norms on career transition intentions. </w:t>
      </w:r>
      <w:proofErr w:type="spellStart"/>
      <w:r w:rsidRPr="003A6EF7">
        <w:rPr>
          <w:rFonts w:cs="Calibri"/>
          <w:i/>
          <w:iCs/>
          <w:szCs w:val="22"/>
        </w:rPr>
        <w:t>Career</w:t>
      </w:r>
      <w:proofErr w:type="spellEnd"/>
      <w:r w:rsidRPr="003A6EF7">
        <w:rPr>
          <w:rFonts w:cs="Calibri"/>
          <w:i/>
          <w:iCs/>
          <w:szCs w:val="22"/>
        </w:rPr>
        <w:t xml:space="preserve"> </w:t>
      </w:r>
      <w:proofErr w:type="spellStart"/>
      <w:r w:rsidRPr="003A6EF7">
        <w:rPr>
          <w:rFonts w:cs="Calibri"/>
          <w:i/>
          <w:iCs/>
          <w:szCs w:val="22"/>
        </w:rPr>
        <w:t>Development</w:t>
      </w:r>
      <w:proofErr w:type="spellEnd"/>
      <w:r w:rsidRPr="003A6EF7">
        <w:rPr>
          <w:rFonts w:cs="Calibri"/>
          <w:i/>
          <w:iCs/>
          <w:szCs w:val="22"/>
        </w:rPr>
        <w:t xml:space="preserve"> International, 23</w:t>
      </w:r>
      <w:r w:rsidRPr="003A6EF7">
        <w:rPr>
          <w:rFonts w:cs="Calibri"/>
          <w:szCs w:val="22"/>
        </w:rPr>
        <w:t xml:space="preserve">(2), 212–229. </w:t>
      </w:r>
      <w:hyperlink r:id="rId4" w:tgtFrame="_new" w:history="1">
        <w:r w:rsidRPr="003A6EF7">
          <w:rPr>
            <w:rStyle w:val="Lienhypertexte"/>
            <w:rFonts w:cs="Calibri"/>
            <w:szCs w:val="22"/>
          </w:rPr>
          <w:t>https://doi.org/10.1108/CDI-06-2017-0110</w:t>
        </w:r>
      </w:hyperlink>
      <w:r w:rsidRPr="003A6EF7">
        <w:rPr>
          <w:rFonts w:cs="Calibri"/>
          <w:szCs w:val="22"/>
        </w:rPr>
        <w:t xml:space="preserve"> </w:t>
      </w:r>
    </w:p>
    <w:p w14:paraId="7481A690" w14:textId="77777777" w:rsidR="005D5BC8" w:rsidRPr="003A6EF7" w:rsidRDefault="005D5BC8" w:rsidP="005D5BC8">
      <w:pPr>
        <w:ind w:left="567" w:hanging="567"/>
        <w:jc w:val="both"/>
        <w:rPr>
          <w:rFonts w:cs="Calibri"/>
          <w:szCs w:val="22"/>
        </w:rPr>
      </w:pPr>
    </w:p>
    <w:p w14:paraId="2CDFD8B3" w14:textId="77777777" w:rsidR="005D5BC8" w:rsidRPr="003A6EF7" w:rsidRDefault="005D5BC8" w:rsidP="005D5BC8">
      <w:pPr>
        <w:ind w:left="567" w:hanging="567"/>
        <w:jc w:val="both"/>
        <w:rPr>
          <w:rFonts w:cs="Calibri"/>
          <w:szCs w:val="22"/>
        </w:rPr>
      </w:pPr>
      <w:r w:rsidRPr="003A6EF7">
        <w:rPr>
          <w:rFonts w:cs="Calibri"/>
          <w:szCs w:val="22"/>
        </w:rPr>
        <w:t xml:space="preserve">Fortin, M.-F., &amp; Gagnon, J. (2022). </w:t>
      </w:r>
      <w:r w:rsidRPr="003A6EF7">
        <w:rPr>
          <w:rFonts w:cs="Calibri"/>
          <w:i/>
          <w:iCs/>
          <w:szCs w:val="22"/>
        </w:rPr>
        <w:t>Fondements et étapes du processus de recherche: méthodes quantitatives et qualitatives</w:t>
      </w:r>
      <w:r w:rsidRPr="003A6EF7">
        <w:rPr>
          <w:rFonts w:cs="Calibri"/>
          <w:szCs w:val="22"/>
        </w:rPr>
        <w:t xml:space="preserve"> (4</w:t>
      </w:r>
      <w:r w:rsidRPr="00F6059E">
        <w:rPr>
          <w:rFonts w:cs="Calibri"/>
          <w:szCs w:val="22"/>
          <w:vertAlign w:val="superscript"/>
        </w:rPr>
        <w:t>th</w:t>
      </w:r>
      <w:r w:rsidRPr="003A6EF7">
        <w:rPr>
          <w:rFonts w:cs="Calibri"/>
          <w:szCs w:val="22"/>
        </w:rPr>
        <w:t xml:space="preserve"> </w:t>
      </w:r>
      <w:proofErr w:type="spellStart"/>
      <w:r>
        <w:rPr>
          <w:rFonts w:cs="Calibri"/>
          <w:szCs w:val="22"/>
        </w:rPr>
        <w:t>e</w:t>
      </w:r>
      <w:r w:rsidRPr="003A6EF7">
        <w:rPr>
          <w:rFonts w:cs="Calibri"/>
          <w:szCs w:val="22"/>
        </w:rPr>
        <w:t>d</w:t>
      </w:r>
      <w:proofErr w:type="spellEnd"/>
      <w:r w:rsidRPr="003A6EF7">
        <w:rPr>
          <w:rFonts w:cs="Calibri"/>
          <w:szCs w:val="22"/>
        </w:rPr>
        <w:t xml:space="preserve">.). Chenelière Éducation. </w:t>
      </w:r>
    </w:p>
    <w:p w14:paraId="22892492" w14:textId="77777777" w:rsidR="005D5BC8" w:rsidRPr="003A6EF7" w:rsidRDefault="005D5BC8" w:rsidP="005D5BC8">
      <w:pPr>
        <w:ind w:left="567" w:hanging="567"/>
        <w:jc w:val="both"/>
        <w:rPr>
          <w:rFonts w:cs="Calibri"/>
          <w:szCs w:val="22"/>
        </w:rPr>
      </w:pPr>
    </w:p>
    <w:p w14:paraId="024CAAD7" w14:textId="77777777" w:rsidR="005D5BC8" w:rsidRPr="003A6EF7" w:rsidRDefault="005D5BC8" w:rsidP="005D5BC8">
      <w:pPr>
        <w:ind w:left="567" w:hanging="567"/>
        <w:jc w:val="both"/>
        <w:rPr>
          <w:rFonts w:cs="Calibri"/>
          <w:szCs w:val="22"/>
        </w:rPr>
      </w:pPr>
      <w:r w:rsidRPr="003A6EF7">
        <w:rPr>
          <w:rFonts w:cs="Calibri"/>
          <w:szCs w:val="22"/>
        </w:rPr>
        <w:t>Gallagher, F., &amp; Marceau, M. (2020). La recherche descriptive interprétative : exploration du concept de la validité en tant qu’impératif social dans le contexte de l’évaluation des apprentissages en pédagogie des sciences de la santé. In M. Corbière &amp; N. Larivière (</w:t>
      </w:r>
      <w:proofErr w:type="spellStart"/>
      <w:r w:rsidRPr="003A6EF7">
        <w:rPr>
          <w:rFonts w:cs="Calibri"/>
          <w:szCs w:val="22"/>
        </w:rPr>
        <w:t>Eds</w:t>
      </w:r>
      <w:proofErr w:type="spellEnd"/>
      <w:r w:rsidRPr="003A6EF7">
        <w:rPr>
          <w:rFonts w:cs="Calibri"/>
          <w:szCs w:val="22"/>
        </w:rPr>
        <w:t xml:space="preserve">.), </w:t>
      </w:r>
      <w:r w:rsidRPr="003A6EF7">
        <w:rPr>
          <w:rFonts w:cs="Calibri"/>
          <w:i/>
          <w:iCs/>
          <w:szCs w:val="22"/>
        </w:rPr>
        <w:t>Méthodes qualitatives, quantitatives et mixtes : dans la recherche en sciences humaines, sociales et de la santé</w:t>
      </w:r>
      <w:r w:rsidRPr="003A6EF7">
        <w:rPr>
          <w:rFonts w:cs="Calibri"/>
          <w:szCs w:val="22"/>
        </w:rPr>
        <w:t xml:space="preserve"> (2</w:t>
      </w:r>
      <w:r w:rsidRPr="00F6059E">
        <w:rPr>
          <w:rFonts w:cs="Calibri"/>
          <w:szCs w:val="22"/>
          <w:vertAlign w:val="superscript"/>
        </w:rPr>
        <w:t>nd</w:t>
      </w:r>
      <w:r w:rsidRPr="003A6EF7">
        <w:rPr>
          <w:rFonts w:cs="Calibri"/>
          <w:szCs w:val="22"/>
        </w:rPr>
        <w:t xml:space="preserve"> </w:t>
      </w:r>
      <w:proofErr w:type="spellStart"/>
      <w:r>
        <w:rPr>
          <w:rFonts w:cs="Calibri"/>
          <w:szCs w:val="22"/>
        </w:rPr>
        <w:t>e</w:t>
      </w:r>
      <w:r w:rsidRPr="003A6EF7">
        <w:rPr>
          <w:rFonts w:cs="Calibri"/>
          <w:szCs w:val="22"/>
        </w:rPr>
        <w:t>d</w:t>
      </w:r>
      <w:proofErr w:type="spellEnd"/>
      <w:r w:rsidRPr="003A6EF7">
        <w:rPr>
          <w:rFonts w:cs="Calibri"/>
          <w:szCs w:val="22"/>
        </w:rPr>
        <w:t xml:space="preserve">., pp. 5–32). Presses de l’Université du Québec. </w:t>
      </w:r>
    </w:p>
    <w:p w14:paraId="5242BD9D" w14:textId="77777777" w:rsidR="005D5BC8" w:rsidRPr="003A6EF7" w:rsidRDefault="005D5BC8" w:rsidP="005D5BC8">
      <w:pPr>
        <w:ind w:left="567" w:hanging="567"/>
        <w:jc w:val="both"/>
        <w:rPr>
          <w:rFonts w:cs="Calibri"/>
          <w:szCs w:val="22"/>
        </w:rPr>
      </w:pPr>
    </w:p>
    <w:p w14:paraId="65712320" w14:textId="77777777" w:rsidR="005D5BC8" w:rsidRPr="003A6EF7" w:rsidRDefault="005D5BC8" w:rsidP="005D5BC8">
      <w:pPr>
        <w:ind w:left="567" w:hanging="567"/>
        <w:jc w:val="both"/>
        <w:rPr>
          <w:rFonts w:cs="Calibri"/>
          <w:szCs w:val="22"/>
          <w:lang w:val="en-CA"/>
        </w:rPr>
      </w:pPr>
      <w:r w:rsidRPr="003A6EF7">
        <w:rPr>
          <w:rFonts w:cs="Calibri"/>
          <w:szCs w:val="22"/>
        </w:rPr>
        <w:lastRenderedPageBreak/>
        <w:t xml:space="preserve">Ryan, R. M., &amp; </w:t>
      </w:r>
      <w:proofErr w:type="spellStart"/>
      <w:r w:rsidRPr="003A6EF7">
        <w:rPr>
          <w:rFonts w:cs="Calibri"/>
          <w:szCs w:val="22"/>
        </w:rPr>
        <w:t>Deci</w:t>
      </w:r>
      <w:proofErr w:type="spellEnd"/>
      <w:r w:rsidRPr="003A6EF7">
        <w:rPr>
          <w:rFonts w:cs="Calibri"/>
          <w:szCs w:val="22"/>
        </w:rPr>
        <w:t xml:space="preserve">, E. L. (2017). </w:t>
      </w:r>
      <w:r w:rsidRPr="003A6EF7">
        <w:rPr>
          <w:rFonts w:cs="Calibri"/>
          <w:i/>
          <w:iCs/>
          <w:szCs w:val="22"/>
          <w:lang w:val="en-CA"/>
        </w:rPr>
        <w:t>Self-determination theory: Basic psychological needs in motivation, development, and wellness</w:t>
      </w:r>
      <w:r w:rsidRPr="003A6EF7">
        <w:rPr>
          <w:rFonts w:cs="Calibri"/>
          <w:szCs w:val="22"/>
          <w:lang w:val="en-CA"/>
        </w:rPr>
        <w:t xml:space="preserve">. Guilford Press. </w:t>
      </w:r>
      <w:hyperlink r:id="rId5" w:tgtFrame="_new" w:history="1">
        <w:r w:rsidRPr="003A6EF7">
          <w:rPr>
            <w:rStyle w:val="Lienhypertexte"/>
            <w:rFonts w:cs="Calibri"/>
            <w:szCs w:val="22"/>
            <w:lang w:val="en-CA"/>
          </w:rPr>
          <w:t>https://doi.org/10.1521/978.14625/28806</w:t>
        </w:r>
      </w:hyperlink>
      <w:r w:rsidRPr="003A6EF7">
        <w:rPr>
          <w:rFonts w:cs="Calibri"/>
          <w:szCs w:val="22"/>
          <w:lang w:val="en-CA"/>
        </w:rPr>
        <w:t xml:space="preserve"> </w:t>
      </w:r>
    </w:p>
    <w:p w14:paraId="405D7378" w14:textId="77777777" w:rsidR="005D5BC8" w:rsidRPr="003A6EF7" w:rsidRDefault="005D5BC8" w:rsidP="005D5BC8">
      <w:pPr>
        <w:ind w:left="567" w:hanging="567"/>
        <w:jc w:val="both"/>
        <w:rPr>
          <w:rFonts w:cs="Calibri"/>
          <w:szCs w:val="22"/>
          <w:lang w:val="en-CA"/>
        </w:rPr>
      </w:pPr>
    </w:p>
    <w:p w14:paraId="5C238B33" w14:textId="77777777" w:rsidR="005D5BC8" w:rsidRPr="003A6EF7" w:rsidRDefault="005D5BC8" w:rsidP="005D5BC8">
      <w:pPr>
        <w:ind w:left="567" w:hanging="567"/>
        <w:jc w:val="both"/>
        <w:rPr>
          <w:rFonts w:cs="Calibri"/>
          <w:szCs w:val="22"/>
          <w:lang w:val="en-CA"/>
        </w:rPr>
      </w:pPr>
      <w:r w:rsidRPr="003A6EF7">
        <w:rPr>
          <w:rFonts w:cs="Calibri"/>
          <w:szCs w:val="22"/>
          <w:lang w:val="en-CA"/>
        </w:rPr>
        <w:t xml:space="preserve">Schlossberg, N. K. (2011). The challenge of change: The transition model and its applications. </w:t>
      </w:r>
      <w:r w:rsidRPr="003A6EF7">
        <w:rPr>
          <w:rFonts w:cs="Calibri"/>
          <w:i/>
          <w:iCs/>
          <w:szCs w:val="22"/>
          <w:lang w:val="en-CA"/>
        </w:rPr>
        <w:t>Journal of Employment Counseling, 48</w:t>
      </w:r>
      <w:r w:rsidRPr="003A6EF7">
        <w:rPr>
          <w:rFonts w:cs="Calibri"/>
          <w:szCs w:val="22"/>
          <w:lang w:val="en-CA"/>
        </w:rPr>
        <w:t xml:space="preserve">(4), 159–162. </w:t>
      </w:r>
      <w:hyperlink r:id="rId6" w:tgtFrame="_new" w:history="1">
        <w:r w:rsidRPr="003A6EF7">
          <w:rPr>
            <w:rStyle w:val="Lienhypertexte"/>
            <w:rFonts w:cs="Calibri"/>
            <w:szCs w:val="22"/>
            <w:lang w:val="en-CA"/>
          </w:rPr>
          <w:t>https://doi.org/10.1002/j.2161-1920.2011.tb01102.x</w:t>
        </w:r>
      </w:hyperlink>
      <w:r w:rsidRPr="003A6EF7">
        <w:rPr>
          <w:rFonts w:cs="Calibri"/>
          <w:szCs w:val="22"/>
          <w:lang w:val="en-CA"/>
        </w:rPr>
        <w:t xml:space="preserve"> </w:t>
      </w:r>
    </w:p>
    <w:p w14:paraId="5A9FFDBD" w14:textId="77777777" w:rsidR="005D5BC8" w:rsidRPr="003A6EF7" w:rsidRDefault="005D5BC8" w:rsidP="005D5BC8">
      <w:pPr>
        <w:ind w:left="567" w:hanging="567"/>
        <w:jc w:val="both"/>
        <w:rPr>
          <w:rFonts w:cs="Calibri"/>
          <w:szCs w:val="22"/>
          <w:lang w:val="en-CA"/>
        </w:rPr>
      </w:pPr>
    </w:p>
    <w:p w14:paraId="46D6302C" w14:textId="77777777" w:rsidR="005D5BC8" w:rsidRPr="003A6EF7" w:rsidRDefault="005D5BC8" w:rsidP="005D5BC8">
      <w:pPr>
        <w:ind w:left="567" w:hanging="567"/>
        <w:jc w:val="both"/>
        <w:rPr>
          <w:rFonts w:cs="Calibri"/>
          <w:szCs w:val="22"/>
          <w:lang w:val="en-CA"/>
        </w:rPr>
      </w:pPr>
      <w:r w:rsidRPr="003A6EF7">
        <w:rPr>
          <w:rFonts w:cs="Calibri"/>
          <w:szCs w:val="22"/>
          <w:lang w:val="en-CA"/>
        </w:rPr>
        <w:t xml:space="preserve">Vogelsang, E. M., Shultz, K. S., &amp; Olson, D. A. (2018). Emotional well-being following a later life career change: The roles of agency and resources. </w:t>
      </w:r>
      <w:r w:rsidRPr="003A6EF7">
        <w:rPr>
          <w:rFonts w:cs="Calibri"/>
          <w:i/>
          <w:iCs/>
          <w:szCs w:val="22"/>
          <w:lang w:val="en-CA"/>
        </w:rPr>
        <w:t>The International Journal of Aging and Human Development, 87</w:t>
      </w:r>
      <w:r w:rsidRPr="003A6EF7">
        <w:rPr>
          <w:rFonts w:cs="Calibri"/>
          <w:szCs w:val="22"/>
          <w:lang w:val="en-CA"/>
        </w:rPr>
        <w:t xml:space="preserve">(4), 327–346. </w:t>
      </w:r>
      <w:hyperlink r:id="rId7" w:tgtFrame="_new" w:history="1">
        <w:r w:rsidRPr="003A6EF7">
          <w:rPr>
            <w:rStyle w:val="Lienhypertexte"/>
            <w:rFonts w:cs="Calibri"/>
            <w:szCs w:val="22"/>
            <w:lang w:val="en-CA"/>
          </w:rPr>
          <w:t>https://doi.org/10.1177/0091415017745972</w:t>
        </w:r>
      </w:hyperlink>
      <w:r w:rsidRPr="003A6EF7">
        <w:rPr>
          <w:rFonts w:cs="Calibri"/>
          <w:szCs w:val="22"/>
          <w:lang w:val="en-CA"/>
        </w:rPr>
        <w:t xml:space="preserve"> </w:t>
      </w:r>
    </w:p>
    <w:p w14:paraId="2202F322" w14:textId="77777777" w:rsidR="005D5BC8" w:rsidRPr="00FE3C33" w:rsidRDefault="005D5BC8" w:rsidP="005D5BC8">
      <w:pPr>
        <w:rPr>
          <w:lang w:val="en-CA"/>
        </w:rPr>
      </w:pPr>
    </w:p>
    <w:p w14:paraId="571707F2" w14:textId="77777777" w:rsidR="00EA6517" w:rsidRPr="005D5BC8" w:rsidRDefault="00EA6517">
      <w:pPr>
        <w:rPr>
          <w:lang w:val="en-CA"/>
        </w:rPr>
      </w:pPr>
    </w:p>
    <w:sectPr w:rsidR="00EA6517" w:rsidRPr="005D5BC8">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BC8"/>
    <w:rsid w:val="0016593F"/>
    <w:rsid w:val="005D5BC8"/>
    <w:rsid w:val="008339D9"/>
    <w:rsid w:val="00CA59C7"/>
    <w:rsid w:val="00D8145D"/>
    <w:rsid w:val="00EA6517"/>
    <w:rsid w:val="00F7629B"/>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70412"/>
  <w15:chartTrackingRefBased/>
  <w15:docId w15:val="{4233328E-62C0-407B-901B-F03B19A99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5BC8"/>
    <w:pPr>
      <w:spacing w:after="0" w:line="240" w:lineRule="auto"/>
    </w:pPr>
    <w:rPr>
      <w:rFonts w:ascii="Calibri" w:hAnsi="Calibri"/>
      <w:sz w:val="22"/>
    </w:rPr>
  </w:style>
  <w:style w:type="paragraph" w:styleId="Titre1">
    <w:name w:val="heading 1"/>
    <w:basedOn w:val="Normal"/>
    <w:next w:val="Normal"/>
    <w:link w:val="Titre1Car"/>
    <w:uiPriority w:val="9"/>
    <w:qFormat/>
    <w:rsid w:val="005D5BC8"/>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D5BC8"/>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D5BC8"/>
    <w:pPr>
      <w:keepNext/>
      <w:keepLines/>
      <w:spacing w:before="160" w:after="80" w:line="278" w:lineRule="auto"/>
      <w:outlineLvl w:val="2"/>
    </w:pPr>
    <w:rPr>
      <w:rFonts w:asciiTheme="minorHAnsi" w:eastAsiaTheme="majorEastAsia" w:hAnsiTheme="minorHAnsi"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D5BC8"/>
    <w:pPr>
      <w:keepNext/>
      <w:keepLines/>
      <w:spacing w:before="80" w:after="40" w:line="278" w:lineRule="auto"/>
      <w:outlineLvl w:val="3"/>
    </w:pPr>
    <w:rPr>
      <w:rFonts w:asciiTheme="minorHAnsi" w:eastAsiaTheme="majorEastAsia" w:hAnsiTheme="minorHAnsi" w:cstheme="majorBidi"/>
      <w:i/>
      <w:iCs/>
      <w:color w:val="0F4761" w:themeColor="accent1" w:themeShade="BF"/>
      <w:sz w:val="24"/>
    </w:rPr>
  </w:style>
  <w:style w:type="paragraph" w:styleId="Titre5">
    <w:name w:val="heading 5"/>
    <w:basedOn w:val="Normal"/>
    <w:next w:val="Normal"/>
    <w:link w:val="Titre5Car"/>
    <w:uiPriority w:val="9"/>
    <w:semiHidden/>
    <w:unhideWhenUsed/>
    <w:qFormat/>
    <w:rsid w:val="005D5BC8"/>
    <w:pPr>
      <w:keepNext/>
      <w:keepLines/>
      <w:spacing w:before="80" w:after="40" w:line="278" w:lineRule="auto"/>
      <w:outlineLvl w:val="4"/>
    </w:pPr>
    <w:rPr>
      <w:rFonts w:asciiTheme="minorHAnsi" w:eastAsiaTheme="majorEastAsia" w:hAnsiTheme="minorHAnsi" w:cstheme="majorBidi"/>
      <w:color w:val="0F4761" w:themeColor="accent1" w:themeShade="BF"/>
      <w:sz w:val="24"/>
    </w:rPr>
  </w:style>
  <w:style w:type="paragraph" w:styleId="Titre6">
    <w:name w:val="heading 6"/>
    <w:basedOn w:val="Normal"/>
    <w:next w:val="Normal"/>
    <w:link w:val="Titre6Car"/>
    <w:uiPriority w:val="9"/>
    <w:semiHidden/>
    <w:unhideWhenUsed/>
    <w:qFormat/>
    <w:rsid w:val="005D5BC8"/>
    <w:pPr>
      <w:keepNext/>
      <w:keepLines/>
      <w:spacing w:before="40" w:line="278" w:lineRule="auto"/>
      <w:outlineLvl w:val="5"/>
    </w:pPr>
    <w:rPr>
      <w:rFonts w:asciiTheme="minorHAnsi" w:eastAsiaTheme="majorEastAsia" w:hAnsiTheme="minorHAnsi" w:cstheme="majorBidi"/>
      <w:i/>
      <w:iCs/>
      <w:color w:val="595959" w:themeColor="text1" w:themeTint="A6"/>
      <w:sz w:val="24"/>
    </w:rPr>
  </w:style>
  <w:style w:type="paragraph" w:styleId="Titre7">
    <w:name w:val="heading 7"/>
    <w:basedOn w:val="Normal"/>
    <w:next w:val="Normal"/>
    <w:link w:val="Titre7Car"/>
    <w:uiPriority w:val="9"/>
    <w:semiHidden/>
    <w:unhideWhenUsed/>
    <w:qFormat/>
    <w:rsid w:val="005D5BC8"/>
    <w:pPr>
      <w:keepNext/>
      <w:keepLines/>
      <w:spacing w:before="40" w:line="278" w:lineRule="auto"/>
      <w:outlineLvl w:val="6"/>
    </w:pPr>
    <w:rPr>
      <w:rFonts w:asciiTheme="minorHAnsi" w:eastAsiaTheme="majorEastAsia" w:hAnsiTheme="minorHAnsi" w:cstheme="majorBidi"/>
      <w:color w:val="595959" w:themeColor="text1" w:themeTint="A6"/>
      <w:sz w:val="24"/>
    </w:rPr>
  </w:style>
  <w:style w:type="paragraph" w:styleId="Titre8">
    <w:name w:val="heading 8"/>
    <w:basedOn w:val="Normal"/>
    <w:next w:val="Normal"/>
    <w:link w:val="Titre8Car"/>
    <w:uiPriority w:val="9"/>
    <w:semiHidden/>
    <w:unhideWhenUsed/>
    <w:qFormat/>
    <w:rsid w:val="005D5BC8"/>
    <w:pPr>
      <w:keepNext/>
      <w:keepLines/>
      <w:spacing w:line="278" w:lineRule="auto"/>
      <w:outlineLvl w:val="7"/>
    </w:pPr>
    <w:rPr>
      <w:rFonts w:asciiTheme="minorHAnsi" w:eastAsiaTheme="majorEastAsia" w:hAnsiTheme="minorHAnsi" w:cstheme="majorBidi"/>
      <w:i/>
      <w:iCs/>
      <w:color w:val="272727" w:themeColor="text1" w:themeTint="D8"/>
      <w:sz w:val="24"/>
    </w:rPr>
  </w:style>
  <w:style w:type="paragraph" w:styleId="Titre9">
    <w:name w:val="heading 9"/>
    <w:basedOn w:val="Normal"/>
    <w:next w:val="Normal"/>
    <w:link w:val="Titre9Car"/>
    <w:uiPriority w:val="9"/>
    <w:semiHidden/>
    <w:unhideWhenUsed/>
    <w:qFormat/>
    <w:rsid w:val="005D5BC8"/>
    <w:pPr>
      <w:keepNext/>
      <w:keepLines/>
      <w:spacing w:line="278" w:lineRule="auto"/>
      <w:outlineLvl w:val="8"/>
    </w:pPr>
    <w:rPr>
      <w:rFonts w:asciiTheme="minorHAnsi" w:eastAsiaTheme="majorEastAsia" w:hAnsiTheme="minorHAnsi" w:cstheme="majorBidi"/>
      <w:color w:val="272727" w:themeColor="text1" w:themeTint="D8"/>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D5BC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D5BC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D5BC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D5BC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D5BC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D5BC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D5BC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D5BC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D5BC8"/>
    <w:rPr>
      <w:rFonts w:eastAsiaTheme="majorEastAsia" w:cstheme="majorBidi"/>
      <w:color w:val="272727" w:themeColor="text1" w:themeTint="D8"/>
    </w:rPr>
  </w:style>
  <w:style w:type="paragraph" w:styleId="Titre">
    <w:name w:val="Title"/>
    <w:basedOn w:val="Normal"/>
    <w:next w:val="Normal"/>
    <w:link w:val="TitreCar"/>
    <w:uiPriority w:val="10"/>
    <w:qFormat/>
    <w:rsid w:val="005D5BC8"/>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D5BC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D5BC8"/>
    <w:pPr>
      <w:numPr>
        <w:ilvl w:val="1"/>
      </w:numPr>
      <w:spacing w:after="160" w:line="278" w:lineRule="auto"/>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D5BC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D5BC8"/>
    <w:pPr>
      <w:spacing w:before="160" w:after="160" w:line="278" w:lineRule="auto"/>
      <w:jc w:val="center"/>
    </w:pPr>
    <w:rPr>
      <w:rFonts w:asciiTheme="minorHAnsi" w:hAnsiTheme="minorHAnsi"/>
      <w:i/>
      <w:iCs/>
      <w:color w:val="404040" w:themeColor="text1" w:themeTint="BF"/>
      <w:sz w:val="24"/>
    </w:rPr>
  </w:style>
  <w:style w:type="character" w:customStyle="1" w:styleId="CitationCar">
    <w:name w:val="Citation Car"/>
    <w:basedOn w:val="Policepardfaut"/>
    <w:link w:val="Citation"/>
    <w:uiPriority w:val="29"/>
    <w:rsid w:val="005D5BC8"/>
    <w:rPr>
      <w:i/>
      <w:iCs/>
      <w:color w:val="404040" w:themeColor="text1" w:themeTint="BF"/>
    </w:rPr>
  </w:style>
  <w:style w:type="paragraph" w:styleId="Paragraphedeliste">
    <w:name w:val="List Paragraph"/>
    <w:basedOn w:val="Normal"/>
    <w:uiPriority w:val="34"/>
    <w:qFormat/>
    <w:rsid w:val="005D5BC8"/>
    <w:pPr>
      <w:spacing w:after="160" w:line="278" w:lineRule="auto"/>
      <w:ind w:left="720"/>
      <w:contextualSpacing/>
    </w:pPr>
    <w:rPr>
      <w:rFonts w:asciiTheme="minorHAnsi" w:hAnsiTheme="minorHAnsi"/>
      <w:sz w:val="24"/>
    </w:rPr>
  </w:style>
  <w:style w:type="character" w:styleId="Accentuationintense">
    <w:name w:val="Intense Emphasis"/>
    <w:basedOn w:val="Policepardfaut"/>
    <w:uiPriority w:val="21"/>
    <w:qFormat/>
    <w:rsid w:val="005D5BC8"/>
    <w:rPr>
      <w:i/>
      <w:iCs/>
      <w:color w:val="0F4761" w:themeColor="accent1" w:themeShade="BF"/>
    </w:rPr>
  </w:style>
  <w:style w:type="paragraph" w:styleId="Citationintense">
    <w:name w:val="Intense Quote"/>
    <w:basedOn w:val="Normal"/>
    <w:next w:val="Normal"/>
    <w:link w:val="CitationintenseCar"/>
    <w:uiPriority w:val="30"/>
    <w:qFormat/>
    <w:rsid w:val="005D5BC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sz w:val="24"/>
    </w:rPr>
  </w:style>
  <w:style w:type="character" w:customStyle="1" w:styleId="CitationintenseCar">
    <w:name w:val="Citation intense Car"/>
    <w:basedOn w:val="Policepardfaut"/>
    <w:link w:val="Citationintense"/>
    <w:uiPriority w:val="30"/>
    <w:rsid w:val="005D5BC8"/>
    <w:rPr>
      <w:i/>
      <w:iCs/>
      <w:color w:val="0F4761" w:themeColor="accent1" w:themeShade="BF"/>
    </w:rPr>
  </w:style>
  <w:style w:type="character" w:styleId="Rfrenceintense">
    <w:name w:val="Intense Reference"/>
    <w:basedOn w:val="Policepardfaut"/>
    <w:uiPriority w:val="32"/>
    <w:qFormat/>
    <w:rsid w:val="005D5BC8"/>
    <w:rPr>
      <w:b/>
      <w:bCs/>
      <w:smallCaps/>
      <w:color w:val="0F4761" w:themeColor="accent1" w:themeShade="BF"/>
      <w:spacing w:val="5"/>
    </w:rPr>
  </w:style>
  <w:style w:type="character" w:styleId="lev">
    <w:name w:val="Strong"/>
    <w:basedOn w:val="Policepardfaut"/>
    <w:uiPriority w:val="22"/>
    <w:qFormat/>
    <w:rsid w:val="005D5BC8"/>
    <w:rPr>
      <w:b/>
      <w:bCs/>
    </w:rPr>
  </w:style>
  <w:style w:type="character" w:styleId="Lienhypertexte">
    <w:name w:val="Hyperlink"/>
    <w:basedOn w:val="Policepardfaut"/>
    <w:uiPriority w:val="99"/>
    <w:unhideWhenUsed/>
    <w:rsid w:val="005D5BC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77/009141501774597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02/j.2161-1920.2011.tb01102.x" TargetMode="External"/><Relationship Id="rId5" Type="http://schemas.openxmlformats.org/officeDocument/2006/relationships/hyperlink" Target="https://doi.org/10.1521/978.14625/28806" TargetMode="External"/><Relationship Id="rId4" Type="http://schemas.openxmlformats.org/officeDocument/2006/relationships/hyperlink" Target="https://doi.org/10.1108/CDI-06-2017-0110" TargetMode="Externa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916</Words>
  <Characters>6058</Characters>
  <Application>Microsoft Office Word</Application>
  <DocSecurity>0</DocSecurity>
  <Lines>102</Lines>
  <Paragraphs>20</Paragraphs>
  <ScaleCrop>false</ScaleCrop>
  <Company>UQAM</Company>
  <LinksUpToDate>false</LinksUpToDate>
  <CharactersWithSpaces>6954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Cournoyer, Louis</dc:creator>
  <cp:keywords/>
  <dc:description/>
  <cp:lastModifiedBy>Cournoyer, Louis</cp:lastModifiedBy>
  <cp:revision>2</cp:revision>
  <dcterms:created xsi:type="dcterms:W3CDTF">2026-03-25T02:22:00Z</dcterms:created>
  <dcterms:modified xsi:type="dcterms:W3CDTF">2026-03-25T02:22:00Z</dcterms:modified>
</cp:coreProperties>
</file>