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9F87EE6" wp14:paraId="5A061AD3" wp14:textId="652E327F">
      <w:pPr>
        <w:spacing w:before="0" w:beforeAutospacing="off" w:after="0" w:afterAutospacing="off" w:line="360" w:lineRule="auto"/>
        <w:ind w:left="0" w:right="0"/>
        <w:jc w:val="left"/>
        <w:rPr>
          <w:rFonts w:ascii="Calibri" w:hAnsi="Calibri" w:eastAsia="Calibri" w:cs="Calibri"/>
          <w:b w:val="1"/>
          <w:bCs w:val="1"/>
          <w:noProof w:val="0"/>
          <w:sz w:val="22"/>
          <w:szCs w:val="22"/>
          <w:lang w:val="en-NZ"/>
        </w:rPr>
      </w:pPr>
      <w:r w:rsidRPr="59F87EE6" w:rsidR="497DF66F">
        <w:rPr>
          <w:rFonts w:ascii="Calibri" w:hAnsi="Calibri" w:eastAsia="Calibri" w:cs="Calibri"/>
          <w:b w:val="1"/>
          <w:bCs w:val="1"/>
          <w:i w:val="0"/>
          <w:iCs w:val="0"/>
          <w:caps w:val="0"/>
          <w:smallCaps w:val="0"/>
          <w:noProof w:val="0"/>
          <w:color w:val="000000" w:themeColor="text1" w:themeTint="FF" w:themeShade="FF"/>
          <w:sz w:val="22"/>
          <w:szCs w:val="22"/>
          <w:lang w:val="en-NZ"/>
        </w:rPr>
        <w:t xml:space="preserve">NCEA and the Transition to University: Navigating the border </w:t>
      </w:r>
      <w:r w:rsidRPr="59F87EE6" w:rsidR="497DF66F">
        <w:rPr>
          <w:rFonts w:ascii="Calibri" w:hAnsi="Calibri" w:eastAsia="Calibri" w:cs="Calibri"/>
          <w:b w:val="1"/>
          <w:bCs w:val="1"/>
          <w:noProof w:val="0"/>
          <w:sz w:val="22"/>
          <w:szCs w:val="22"/>
          <w:lang w:val="en-NZ"/>
        </w:rPr>
        <w:t xml:space="preserve"> </w:t>
      </w:r>
    </w:p>
    <w:p xmlns:wp14="http://schemas.microsoft.com/office/word/2010/wordml" w:rsidP="59F87EE6" wp14:paraId="084237D6" wp14:textId="6D747186">
      <w:pPr>
        <w:spacing w:line="360" w:lineRule="auto"/>
        <w:rPr>
          <w:rFonts w:ascii="Calibri" w:hAnsi="Calibri" w:eastAsia="Calibri" w:cs="Calibri"/>
          <w:b w:val="1"/>
          <w:bCs w:val="1"/>
          <w:i w:val="0"/>
          <w:iCs w:val="0"/>
          <w:caps w:val="0"/>
          <w:smallCaps w:val="0"/>
          <w:noProof w:val="0"/>
          <w:color w:val="000000" w:themeColor="text1" w:themeTint="FF" w:themeShade="FF"/>
          <w:sz w:val="22"/>
          <w:szCs w:val="22"/>
          <w:lang w:val="en-NZ"/>
        </w:rPr>
      </w:pPr>
      <w:r w:rsidRPr="59F87EE6" w:rsidR="497DF66F">
        <w:rPr>
          <w:rFonts w:ascii="Calibri" w:hAnsi="Calibri" w:eastAsia="Calibri" w:cs="Calibri"/>
          <w:b w:val="1"/>
          <w:bCs w:val="1"/>
          <w:i w:val="0"/>
          <w:iCs w:val="0"/>
          <w:caps w:val="0"/>
          <w:smallCaps w:val="0"/>
          <w:noProof w:val="0"/>
          <w:color w:val="000000" w:themeColor="text1" w:themeTint="FF" w:themeShade="FF"/>
          <w:sz w:val="22"/>
          <w:szCs w:val="22"/>
          <w:lang w:val="en-NZ"/>
        </w:rPr>
        <w:t>Abstract:</w:t>
      </w:r>
    </w:p>
    <w:p xmlns:wp14="http://schemas.microsoft.com/office/word/2010/wordml" w:rsidP="59F87EE6" wp14:paraId="76279147" wp14:textId="5E7C8FB3">
      <w:pPr>
        <w:spacing w:line="36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9F87EE6" w:rsidR="497DF66F">
        <w:rPr>
          <w:rFonts w:ascii="Calibri" w:hAnsi="Calibri" w:eastAsia="Calibri" w:cs="Calibri"/>
          <w:b w:val="0"/>
          <w:bCs w:val="0"/>
          <w:i w:val="0"/>
          <w:iCs w:val="0"/>
          <w:caps w:val="0"/>
          <w:smallCaps w:val="0"/>
          <w:noProof w:val="0"/>
          <w:color w:val="000000" w:themeColor="text1" w:themeTint="FF" w:themeShade="FF"/>
          <w:sz w:val="22"/>
          <w:szCs w:val="22"/>
          <w:lang w:val="en-NZ"/>
        </w:rPr>
        <w:t>This collaborative workshop will help participants to compare and contrast New Zealand high school and university learning environments, and consider implications for induction of students into the university environment, to support their success in their first year of tertiary study. Some examples of aspects included will be teaching and learning, assessment, and staff roles. Secondary and tertiary staff will work together in this workshop to co-design a resource aimed at helping high school students gain readiness to effectively navigate the transition from school to university ,armed with knowledge and strategies relevant to university life. This resource will be made available to all delegates post-conference.</w:t>
      </w:r>
    </w:p>
    <w:p xmlns:wp14="http://schemas.microsoft.com/office/word/2010/wordml" w:rsidP="59F87EE6" wp14:paraId="35F3A5C3" wp14:textId="393CDFB6">
      <w:pPr>
        <w:spacing w:line="36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9F87EE6" w:rsidR="497DF66F">
        <w:rPr>
          <w:rFonts w:ascii="Calibri" w:hAnsi="Calibri" w:eastAsia="Calibri" w:cs="Calibri"/>
          <w:b w:val="0"/>
          <w:bCs w:val="0"/>
          <w:i w:val="0"/>
          <w:iCs w:val="0"/>
          <w:caps w:val="0"/>
          <w:smallCaps w:val="0"/>
          <w:noProof w:val="0"/>
          <w:color w:val="000000" w:themeColor="text1" w:themeTint="FF" w:themeShade="FF"/>
          <w:sz w:val="22"/>
          <w:szCs w:val="22"/>
          <w:lang w:val="en-NZ"/>
        </w:rPr>
        <w:t xml:space="preserve">This session aims to develop clearer understandings of the points of connection and difference between secondary schooling—particularly National Certificates of Educational Achievement (NCEA)—and university study in Aotearoa New Zealand. Our purpose is to share sector knowledge by comparing and contrasting NCEA and university study in action and outlining contemporary assessment practices. This session is not a critique or evaluation of either teaching practice, but rather our intention is to create a better understanding of what is involved in the transition from school to university and to facilitate ideas about how to enhance the educational experiences of first year students. </w:t>
      </w:r>
    </w:p>
    <w:p xmlns:wp14="http://schemas.microsoft.com/office/word/2010/wordml" w:rsidP="59F87EE6" wp14:paraId="01559500" wp14:textId="2C93697B">
      <w:pPr>
        <w:spacing w:line="36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9F87EE6" w:rsidR="497DF66F">
        <w:rPr>
          <w:rFonts w:ascii="Calibri" w:hAnsi="Calibri" w:eastAsia="Calibri" w:cs="Calibri"/>
          <w:b w:val="0"/>
          <w:bCs w:val="0"/>
          <w:i w:val="0"/>
          <w:iCs w:val="0"/>
          <w:caps w:val="0"/>
          <w:smallCaps w:val="0"/>
          <w:noProof w:val="0"/>
          <w:color w:val="000000" w:themeColor="text1" w:themeTint="FF" w:themeShade="FF"/>
          <w:sz w:val="22"/>
          <w:szCs w:val="22"/>
          <w:lang w:val="en-NZ"/>
        </w:rPr>
        <w:t>Our research and experience of working with first year university students, including those who did not meet the University Entrance standard, and insights from students’ questions and ideas about learning, navigating course content and assessment inform our perspectives regarding how we can prepare and induct university students.</w:t>
      </w:r>
    </w:p>
    <w:p xmlns:wp14="http://schemas.microsoft.com/office/word/2010/wordml" w:rsidP="59F87EE6" wp14:paraId="2C078E63" wp14:textId="7D3E52CD">
      <w:pPr>
        <w:pStyle w:val="Normal"/>
      </w:pPr>
      <w:r w:rsidRPr="59F87EE6" w:rsidR="497DF66F">
        <w:rPr>
          <w:rFonts w:ascii="Calibri" w:hAnsi="Calibri" w:eastAsia="Calibri" w:cs="Calibri"/>
          <w:b w:val="0"/>
          <w:bCs w:val="0"/>
          <w:i w:val="0"/>
          <w:iCs w:val="0"/>
          <w:caps w:val="0"/>
          <w:smallCaps w:val="0"/>
          <w:noProof w:val="0"/>
          <w:color w:val="000000" w:themeColor="text1" w:themeTint="FF" w:themeShade="FF"/>
          <w:sz w:val="22"/>
          <w:szCs w:val="22"/>
          <w:lang w:val="en-NZ"/>
        </w:rPr>
        <w:t>Using the funds of knowledge of everyone in the workshop, we will co-design resources to better prepare and support students for this transition to university with the aim of focussing on awareness and skill development.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C9A155"/>
    <w:rsid w:val="35C9A155"/>
    <w:rsid w:val="497DF66F"/>
    <w:rsid w:val="59F87EE6"/>
    <w:rsid w:val="7D95E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5F8AA"/>
  <w15:chartTrackingRefBased/>
  <w15:docId w15:val="{B3686458-70CD-4949-8F76-278005EED03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2026-04-16T20:26:14.7032998Z</dcterms:created>
  <dcterms:modified xsi:type="dcterms:W3CDTF">2026-04-16T20:27:34.9663418Z</dcterms:modified>
  <dc:creator>Linda Hogg</dc:creator>
  <lastModifiedBy>Linda Hogg</lastModifiedBy>
</coreProperties>
</file>