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06A98" w14:textId="3F5CE34D" w:rsidR="00144DCC" w:rsidRPr="00672D6F" w:rsidRDefault="00144DCC" w:rsidP="00F77EBF">
      <w:pPr>
        <w:spacing w:line="360" w:lineRule="auto"/>
        <w:rPr>
          <w:rFonts w:ascii="Calibri" w:hAnsi="Calibri" w:cs="Calibri"/>
          <w:b/>
          <w:bCs/>
          <w:sz w:val="22"/>
          <w:szCs w:val="22"/>
          <w:u w:val="single"/>
        </w:rPr>
      </w:pPr>
      <w:r w:rsidRPr="00672D6F">
        <w:rPr>
          <w:rFonts w:ascii="Calibri" w:hAnsi="Calibri" w:cs="Calibri"/>
          <w:b/>
          <w:bCs/>
          <w:sz w:val="22"/>
          <w:szCs w:val="22"/>
          <w:u w:val="single"/>
        </w:rPr>
        <w:t>Proposal for IAEVG 2026 Conference</w:t>
      </w:r>
      <w:r w:rsidR="00CA0FBC" w:rsidRPr="00672D6F">
        <w:rPr>
          <w:rFonts w:ascii="Calibri" w:hAnsi="Calibri" w:cs="Calibri"/>
          <w:b/>
          <w:bCs/>
          <w:sz w:val="22"/>
          <w:szCs w:val="22"/>
          <w:u w:val="single"/>
        </w:rPr>
        <w:t>: Rethinking</w:t>
      </w:r>
      <w:r w:rsidRPr="00672D6F">
        <w:rPr>
          <w:rFonts w:ascii="Calibri" w:hAnsi="Calibri" w:cs="Calibri"/>
          <w:b/>
          <w:bCs/>
          <w:sz w:val="22"/>
          <w:szCs w:val="22"/>
          <w:u w:val="single"/>
        </w:rPr>
        <w:t xml:space="preserve"> Career Readiness in the Age of AI: A Systems Approach to Education and Work</w:t>
      </w:r>
    </w:p>
    <w:p w14:paraId="42C51601" w14:textId="4DCCF20C" w:rsidR="007E1D41" w:rsidRPr="003E0CCB" w:rsidRDefault="007E1D41" w:rsidP="00F77EBF">
      <w:pPr>
        <w:spacing w:line="360" w:lineRule="auto"/>
        <w:rPr>
          <w:rFonts w:ascii="Calibri" w:hAnsi="Calibri" w:cs="Calibri"/>
          <w:sz w:val="22"/>
          <w:szCs w:val="22"/>
        </w:rPr>
      </w:pPr>
      <w:r w:rsidRPr="003E0CCB">
        <w:rPr>
          <w:rFonts w:ascii="Calibri" w:hAnsi="Calibri" w:cs="Calibri"/>
          <w:sz w:val="22"/>
          <w:szCs w:val="22"/>
        </w:rPr>
        <w:t xml:space="preserve">• </w:t>
      </w:r>
      <w:r w:rsidR="00AC5747" w:rsidRPr="003E0CCB">
        <w:rPr>
          <w:rFonts w:ascii="Calibri" w:hAnsi="Calibri" w:cs="Calibri"/>
          <w:sz w:val="22"/>
          <w:szCs w:val="22"/>
        </w:rPr>
        <w:t xml:space="preserve">Tim Felke </w:t>
      </w:r>
      <w:r w:rsidR="00144DCC" w:rsidRPr="003E0CCB">
        <w:rPr>
          <w:rFonts w:ascii="Calibri" w:hAnsi="Calibri" w:cs="Calibri"/>
          <w:sz w:val="22"/>
          <w:szCs w:val="22"/>
        </w:rPr>
        <w:t>author, Mary</w:t>
      </w:r>
      <w:r w:rsidR="00AC5747" w:rsidRPr="003E0CCB">
        <w:rPr>
          <w:rFonts w:ascii="Calibri" w:hAnsi="Calibri" w:cs="Calibri"/>
          <w:sz w:val="22"/>
          <w:szCs w:val="22"/>
        </w:rPr>
        <w:t xml:space="preserve"> Ellen Earnhardt assistant author</w:t>
      </w:r>
      <w:r w:rsidR="00AC7875" w:rsidRPr="003E0CCB">
        <w:rPr>
          <w:rFonts w:ascii="Calibri" w:hAnsi="Calibri" w:cs="Calibri"/>
          <w:sz w:val="22"/>
          <w:szCs w:val="22"/>
        </w:rPr>
        <w:t xml:space="preserve"> P1dox</w:t>
      </w:r>
    </w:p>
    <w:p w14:paraId="365F3054" w14:textId="52C0594B" w:rsidR="007E1D41" w:rsidRPr="003E0CCB" w:rsidRDefault="007E1D41" w:rsidP="00F77EBF">
      <w:pPr>
        <w:spacing w:line="360" w:lineRule="auto"/>
        <w:rPr>
          <w:rFonts w:ascii="Calibri" w:hAnsi="Calibri" w:cs="Calibri"/>
          <w:sz w:val="22"/>
          <w:szCs w:val="22"/>
        </w:rPr>
      </w:pPr>
      <w:r w:rsidRPr="003E0CCB">
        <w:rPr>
          <w:rFonts w:ascii="Calibri" w:hAnsi="Calibri" w:cs="Calibri"/>
          <w:sz w:val="22"/>
          <w:szCs w:val="22"/>
        </w:rPr>
        <w:t xml:space="preserve">• </w:t>
      </w:r>
      <w:r w:rsidR="00AC5747" w:rsidRPr="003E0CCB">
        <w:rPr>
          <w:rFonts w:ascii="Calibri" w:hAnsi="Calibri" w:cs="Calibri"/>
          <w:sz w:val="22"/>
          <w:szCs w:val="22"/>
        </w:rPr>
        <w:t>Tim Felke</w:t>
      </w:r>
      <w:r w:rsidR="00AC7875" w:rsidRPr="003E0CCB">
        <w:rPr>
          <w:rFonts w:ascii="Calibri" w:hAnsi="Calibri" w:cs="Calibri"/>
          <w:sz w:val="22"/>
          <w:szCs w:val="22"/>
        </w:rPr>
        <w:t xml:space="preserve"> </w:t>
      </w:r>
      <w:r w:rsidR="00144DCC" w:rsidRPr="003E0CCB">
        <w:rPr>
          <w:rFonts w:ascii="Calibri" w:hAnsi="Calibri" w:cs="Calibri"/>
          <w:sz w:val="22"/>
          <w:szCs w:val="22"/>
        </w:rPr>
        <w:t>Title CEO</w:t>
      </w:r>
      <w:r w:rsidR="007159D1" w:rsidRPr="003E0CCB">
        <w:rPr>
          <w:rFonts w:ascii="Calibri" w:hAnsi="Calibri" w:cs="Calibri"/>
          <w:sz w:val="22"/>
          <w:szCs w:val="22"/>
        </w:rPr>
        <w:t xml:space="preserve"> and Founder, Active Learning Labs</w:t>
      </w:r>
    </w:p>
    <w:p w14:paraId="003BFF36" w14:textId="0F386A3F" w:rsidR="007E1D41" w:rsidRPr="003E0CCB" w:rsidRDefault="007E1D41" w:rsidP="00F77EBF">
      <w:pPr>
        <w:spacing w:line="360" w:lineRule="auto"/>
        <w:rPr>
          <w:rFonts w:ascii="Calibri" w:hAnsi="Calibri" w:cs="Calibri"/>
          <w:sz w:val="22"/>
          <w:szCs w:val="22"/>
        </w:rPr>
      </w:pPr>
      <w:r w:rsidRPr="003E0CCB">
        <w:rPr>
          <w:rFonts w:ascii="Calibri" w:hAnsi="Calibri" w:cs="Calibri"/>
          <w:sz w:val="22"/>
          <w:szCs w:val="22"/>
        </w:rPr>
        <w:t xml:space="preserve">• </w:t>
      </w:r>
      <w:r w:rsidR="007159D1" w:rsidRPr="003E0CCB">
        <w:rPr>
          <w:rFonts w:ascii="Calibri" w:hAnsi="Calibri" w:cs="Calibri"/>
          <w:sz w:val="22"/>
          <w:szCs w:val="22"/>
        </w:rPr>
        <w:t>Tim@activelearninglabs.com</w:t>
      </w:r>
    </w:p>
    <w:p w14:paraId="415834D3" w14:textId="4B365011" w:rsidR="007E1D41" w:rsidRPr="003E0CCB" w:rsidRDefault="007E1D41" w:rsidP="00F77EBF">
      <w:pPr>
        <w:spacing w:line="360" w:lineRule="auto"/>
        <w:rPr>
          <w:rFonts w:ascii="Calibri" w:hAnsi="Calibri" w:cs="Calibri"/>
          <w:sz w:val="22"/>
          <w:szCs w:val="22"/>
        </w:rPr>
      </w:pPr>
      <w:r w:rsidRPr="003E0CCB">
        <w:rPr>
          <w:rFonts w:ascii="Calibri" w:hAnsi="Calibri" w:cs="Calibri"/>
          <w:sz w:val="22"/>
          <w:szCs w:val="22"/>
        </w:rPr>
        <w:t xml:space="preserve">• </w:t>
      </w:r>
      <w:r w:rsidR="007159D1" w:rsidRPr="003E0CCB">
        <w:rPr>
          <w:rFonts w:ascii="Calibri" w:hAnsi="Calibri" w:cs="Calibri"/>
          <w:sz w:val="22"/>
          <w:szCs w:val="22"/>
        </w:rPr>
        <w:t>Active Learning Labs</w:t>
      </w:r>
    </w:p>
    <w:p w14:paraId="718CB77B" w14:textId="6E9DA488" w:rsidR="00611C21" w:rsidRPr="003E0CCB" w:rsidRDefault="007E1D41" w:rsidP="00F77EBF">
      <w:pPr>
        <w:spacing w:line="360" w:lineRule="auto"/>
        <w:rPr>
          <w:rFonts w:ascii="Calibri" w:hAnsi="Calibri" w:cs="Calibri"/>
          <w:sz w:val="22"/>
          <w:szCs w:val="22"/>
        </w:rPr>
      </w:pPr>
      <w:r w:rsidRPr="003E0CCB">
        <w:rPr>
          <w:rFonts w:ascii="Calibri" w:hAnsi="Calibri" w:cs="Calibri"/>
          <w:sz w:val="22"/>
          <w:szCs w:val="22"/>
        </w:rPr>
        <w:t xml:space="preserve">• </w:t>
      </w:r>
      <w:r w:rsidR="007159D1" w:rsidRPr="003E0CCB">
        <w:rPr>
          <w:rFonts w:ascii="Calibri" w:hAnsi="Calibri" w:cs="Calibri"/>
          <w:sz w:val="22"/>
          <w:szCs w:val="22"/>
        </w:rPr>
        <w:t>Mary Ellen Earnhardt, Department of Labor, Career Lab Manager</w:t>
      </w:r>
    </w:p>
    <w:p w14:paraId="00751B15" w14:textId="5061D2FC" w:rsidR="00803979" w:rsidRPr="003E0CCB" w:rsidRDefault="007E1D41" w:rsidP="00F77EBF">
      <w:pPr>
        <w:spacing w:line="360" w:lineRule="auto"/>
        <w:rPr>
          <w:rFonts w:ascii="Calibri" w:hAnsi="Calibri" w:cs="Calibri"/>
          <w:sz w:val="22"/>
          <w:szCs w:val="22"/>
        </w:rPr>
      </w:pPr>
      <w:r w:rsidRPr="003E0CCB">
        <w:rPr>
          <w:rFonts w:ascii="Calibri" w:hAnsi="Calibri" w:cs="Calibri"/>
          <w:sz w:val="22"/>
          <w:szCs w:val="22"/>
        </w:rPr>
        <w:t>Specifications for Paper sessions</w:t>
      </w:r>
      <w:r w:rsidR="007159D1" w:rsidRPr="003E0CCB">
        <w:rPr>
          <w:rFonts w:ascii="Calibri" w:hAnsi="Calibri" w:cs="Calibri"/>
          <w:sz w:val="22"/>
          <w:szCs w:val="22"/>
        </w:rPr>
        <w:t>,</w:t>
      </w:r>
      <w:r w:rsidRPr="003E0CCB">
        <w:rPr>
          <w:rFonts w:ascii="Calibri" w:hAnsi="Calibri" w:cs="Calibri"/>
          <w:sz w:val="22"/>
          <w:szCs w:val="22"/>
        </w:rPr>
        <w:t xml:space="preserve"> </w:t>
      </w:r>
      <w:r w:rsidR="007159D1" w:rsidRPr="003E0CCB">
        <w:rPr>
          <w:rFonts w:ascii="Calibri" w:hAnsi="Calibri" w:cs="Calibri"/>
          <w:sz w:val="22"/>
          <w:szCs w:val="22"/>
          <w:u w:val="single"/>
        </w:rPr>
        <w:t>Professional Practices session</w:t>
      </w:r>
      <w:r w:rsidR="007159D1" w:rsidRPr="003E0CCB">
        <w:rPr>
          <w:rFonts w:ascii="Calibri" w:hAnsi="Calibri" w:cs="Calibri"/>
          <w:sz w:val="22"/>
          <w:szCs w:val="22"/>
        </w:rPr>
        <w:t xml:space="preserve">   </w:t>
      </w:r>
      <w:r w:rsidR="007159D1" w:rsidRPr="003E0CCB">
        <w:rPr>
          <w:rFonts w:ascii="Calibri" w:hAnsi="Calibri" w:cs="Calibri"/>
          <w:b/>
          <w:bCs/>
          <w:sz w:val="22"/>
          <w:szCs w:val="22"/>
        </w:rPr>
        <w:t>Research-Hiwa-i-</w:t>
      </w:r>
      <w:proofErr w:type="spellStart"/>
      <w:r w:rsidR="007159D1" w:rsidRPr="003E0CCB">
        <w:rPr>
          <w:rFonts w:ascii="Calibri" w:hAnsi="Calibri" w:cs="Calibri"/>
          <w:b/>
          <w:bCs/>
          <w:sz w:val="22"/>
          <w:szCs w:val="22"/>
        </w:rPr>
        <w:t>te</w:t>
      </w:r>
      <w:proofErr w:type="spellEnd"/>
      <w:r w:rsidR="007159D1" w:rsidRPr="003E0CCB">
        <w:rPr>
          <w:rFonts w:ascii="Calibri" w:hAnsi="Calibri" w:cs="Calibri"/>
          <w:b/>
          <w:bCs/>
          <w:sz w:val="22"/>
          <w:szCs w:val="22"/>
        </w:rPr>
        <w:t>-</w:t>
      </w:r>
      <w:proofErr w:type="spellStart"/>
      <w:r w:rsidR="007159D1" w:rsidRPr="003E0CCB">
        <w:rPr>
          <w:rFonts w:ascii="Calibri" w:hAnsi="Calibri" w:cs="Calibri"/>
          <w:b/>
          <w:bCs/>
          <w:sz w:val="22"/>
          <w:szCs w:val="22"/>
        </w:rPr>
        <w:t>rangi</w:t>
      </w:r>
      <w:proofErr w:type="spellEnd"/>
    </w:p>
    <w:p w14:paraId="3BAEB5AC" w14:textId="77777777" w:rsidR="00803979" w:rsidRPr="003E0CCB" w:rsidRDefault="00803979" w:rsidP="00F77EBF">
      <w:pPr>
        <w:spacing w:line="360" w:lineRule="auto"/>
        <w:rPr>
          <w:rFonts w:ascii="Calibri" w:hAnsi="Calibri" w:cs="Calibri"/>
          <w:b/>
          <w:bCs/>
          <w:i/>
          <w:iCs/>
          <w:sz w:val="22"/>
          <w:szCs w:val="22"/>
        </w:rPr>
      </w:pPr>
      <w:r w:rsidRPr="003E0CCB">
        <w:rPr>
          <w:rFonts w:ascii="Calibri" w:hAnsi="Calibri" w:cs="Calibri"/>
          <w:b/>
          <w:bCs/>
          <w:i/>
          <w:iCs/>
          <w:sz w:val="22"/>
          <w:szCs w:val="22"/>
        </w:rPr>
        <w:t>Rethinking Career Readiness in the Age of AI: A Systems Approach to Education and Work</w:t>
      </w:r>
    </w:p>
    <w:p w14:paraId="4F29BFF3" w14:textId="449AFCFF" w:rsidR="00611C21" w:rsidRPr="003E0CCB" w:rsidRDefault="007E1D41" w:rsidP="00F77EBF">
      <w:pPr>
        <w:spacing w:line="360" w:lineRule="auto"/>
        <w:rPr>
          <w:rFonts w:ascii="Calibri" w:hAnsi="Calibri" w:cs="Calibri"/>
          <w:sz w:val="22"/>
          <w:szCs w:val="22"/>
        </w:rPr>
      </w:pPr>
      <w:r w:rsidRPr="003E0CCB">
        <w:rPr>
          <w:rFonts w:ascii="Calibri" w:hAnsi="Calibri" w:cs="Calibri"/>
          <w:sz w:val="22"/>
          <w:szCs w:val="22"/>
        </w:rPr>
        <w:t xml:space="preserve">• Indicate which of the conference themes your paper is linked to (if applicable). Contributions on other topics from the field of career guidance and career development are also welcome. </w:t>
      </w:r>
      <w:r w:rsidR="00611C21" w:rsidRPr="003E0CCB">
        <w:rPr>
          <w:rFonts w:ascii="Calibri" w:hAnsi="Calibri" w:cs="Calibri"/>
          <w:sz w:val="22"/>
          <w:szCs w:val="22"/>
        </w:rPr>
        <w:t xml:space="preserve">  </w:t>
      </w:r>
      <w:r w:rsidR="00611C21" w:rsidRPr="003E0CCB">
        <w:rPr>
          <w:rFonts w:ascii="Calibri" w:hAnsi="Calibri" w:cs="Calibri"/>
          <w:b/>
          <w:bCs/>
          <w:i/>
          <w:iCs/>
          <w:sz w:val="22"/>
          <w:szCs w:val="22"/>
        </w:rPr>
        <w:t>Paper is strongly related to “Navigating the Future”</w:t>
      </w:r>
    </w:p>
    <w:p w14:paraId="360D5C3B" w14:textId="1EB21029" w:rsidR="007E1D41" w:rsidRPr="003E0CCB" w:rsidRDefault="007E1D41" w:rsidP="00F77EBF">
      <w:pPr>
        <w:spacing w:line="360" w:lineRule="auto"/>
        <w:rPr>
          <w:rFonts w:ascii="Calibri" w:hAnsi="Calibri" w:cs="Calibri"/>
          <w:sz w:val="22"/>
          <w:szCs w:val="22"/>
        </w:rPr>
      </w:pPr>
      <w:r w:rsidRPr="003E0CCB">
        <w:rPr>
          <w:rFonts w:ascii="Calibri" w:hAnsi="Calibri" w:cs="Calibri"/>
          <w:sz w:val="22"/>
          <w:szCs w:val="22"/>
        </w:rPr>
        <w:t>• Presentation language at the conference</w:t>
      </w:r>
      <w:r w:rsidR="00611C21" w:rsidRPr="003E0CCB">
        <w:rPr>
          <w:rFonts w:ascii="Calibri" w:hAnsi="Calibri" w:cs="Calibri"/>
          <w:sz w:val="22"/>
          <w:szCs w:val="22"/>
        </w:rPr>
        <w:t xml:space="preserve">: </w:t>
      </w:r>
      <w:r w:rsidR="00611C21" w:rsidRPr="003E0CCB">
        <w:rPr>
          <w:rFonts w:ascii="Calibri" w:hAnsi="Calibri" w:cs="Calibri"/>
          <w:b/>
          <w:bCs/>
          <w:i/>
          <w:iCs/>
          <w:sz w:val="22"/>
          <w:szCs w:val="22"/>
        </w:rPr>
        <w:t>English</w:t>
      </w:r>
    </w:p>
    <w:p w14:paraId="4825C0EB" w14:textId="77777777" w:rsidR="000D7269" w:rsidRPr="003E0CCB" w:rsidRDefault="000D7269" w:rsidP="00F77EBF">
      <w:pPr>
        <w:spacing w:line="360" w:lineRule="auto"/>
        <w:rPr>
          <w:rFonts w:ascii="Calibri" w:hAnsi="Calibri" w:cs="Calibri"/>
          <w:sz w:val="22"/>
          <w:szCs w:val="22"/>
        </w:rPr>
      </w:pPr>
      <w:r w:rsidRPr="003E0CCB">
        <w:rPr>
          <w:rFonts w:ascii="Calibri" w:hAnsi="Calibri" w:cs="Calibri"/>
          <w:b/>
          <w:bCs/>
          <w:sz w:val="22"/>
          <w:szCs w:val="22"/>
        </w:rPr>
        <w:t>Abstract (≈500 words):</w:t>
      </w:r>
    </w:p>
    <w:p w14:paraId="6B66CBD0" w14:textId="77777777" w:rsidR="000D7269" w:rsidRPr="003E0CCB" w:rsidRDefault="000D7269" w:rsidP="00F77EBF">
      <w:pPr>
        <w:spacing w:line="360" w:lineRule="auto"/>
        <w:rPr>
          <w:rFonts w:ascii="Calibri" w:hAnsi="Calibri" w:cs="Calibri"/>
          <w:sz w:val="22"/>
          <w:szCs w:val="22"/>
        </w:rPr>
      </w:pPr>
      <w:r w:rsidRPr="003E0CCB">
        <w:rPr>
          <w:rFonts w:ascii="Calibri" w:hAnsi="Calibri" w:cs="Calibri"/>
          <w:sz w:val="22"/>
          <w:szCs w:val="22"/>
        </w:rPr>
        <w:t>What does it truly mean to prepare students for a future shaped by artificial intelligence and automation? Current approaches often emphasize learning to use AI tools, write effective prompts, or understand how algorithms generate responses. While these skills are useful, they are not sufficient. In a world where technology evolves rapidly and becomes widely accessible, competitive advantage will not come from tool proficiency alone, but from the ability to think broadly, connect ideas across disciplines, and create value in ways that AI cannot replicate.</w:t>
      </w:r>
    </w:p>
    <w:p w14:paraId="61A5DF99" w14:textId="0B21A433" w:rsidR="000D7269" w:rsidRPr="003E0CCB" w:rsidRDefault="000D7269" w:rsidP="00F77EBF">
      <w:pPr>
        <w:spacing w:line="360" w:lineRule="auto"/>
        <w:rPr>
          <w:rFonts w:ascii="Calibri" w:hAnsi="Calibri" w:cs="Calibri"/>
          <w:sz w:val="22"/>
          <w:szCs w:val="22"/>
        </w:rPr>
      </w:pPr>
      <w:r w:rsidRPr="003E0CCB">
        <w:rPr>
          <w:rFonts w:ascii="Calibri" w:hAnsi="Calibri" w:cs="Calibri"/>
          <w:sz w:val="22"/>
          <w:szCs w:val="22"/>
        </w:rPr>
        <w:t>This presentation proposes a shift in how we prepare students for careers</w:t>
      </w:r>
      <w:r w:rsidR="004A2B5E" w:rsidRPr="003E0CCB">
        <w:rPr>
          <w:rFonts w:ascii="Calibri" w:hAnsi="Calibri" w:cs="Calibri"/>
          <w:sz w:val="22"/>
          <w:szCs w:val="22"/>
        </w:rPr>
        <w:t xml:space="preserve"> </w:t>
      </w:r>
      <w:r w:rsidRPr="003E0CCB">
        <w:rPr>
          <w:rFonts w:ascii="Calibri" w:hAnsi="Calibri" w:cs="Calibri"/>
          <w:sz w:val="22"/>
          <w:szCs w:val="22"/>
        </w:rPr>
        <w:t xml:space="preserve">from narrow specialization toward integrated, </w:t>
      </w:r>
      <w:proofErr w:type="gramStart"/>
      <w:r w:rsidRPr="003E0CCB">
        <w:rPr>
          <w:rFonts w:ascii="Calibri" w:hAnsi="Calibri" w:cs="Calibri"/>
          <w:sz w:val="22"/>
          <w:szCs w:val="22"/>
        </w:rPr>
        <w:t>systems</w:t>
      </w:r>
      <w:proofErr w:type="gramEnd"/>
      <w:r w:rsidRPr="003E0CCB">
        <w:rPr>
          <w:rFonts w:ascii="Calibri" w:hAnsi="Calibri" w:cs="Calibri"/>
          <w:sz w:val="22"/>
          <w:szCs w:val="22"/>
        </w:rPr>
        <w:t xml:space="preserve">-based understanding. It draws on the work of James Grier Miller and his Living Systems Theory (LST), which describes how all living systems, from cells to societies, are organized around flows of matter, energy, and information. While LST provides a powerful theoretical foundation, its complexity can make it difficult to apply directly in classrooms. To address this, we introduce an accessible extension: the </w:t>
      </w:r>
      <w:r w:rsidRPr="003E0CCB">
        <w:rPr>
          <w:rFonts w:ascii="Calibri" w:hAnsi="Calibri" w:cs="Calibri"/>
          <w:b/>
          <w:bCs/>
          <w:sz w:val="22"/>
          <w:szCs w:val="22"/>
        </w:rPr>
        <w:t>5-Domains Model</w:t>
      </w:r>
      <w:r w:rsidRPr="003E0CCB">
        <w:rPr>
          <w:rFonts w:ascii="Calibri" w:hAnsi="Calibri" w:cs="Calibri"/>
          <w:sz w:val="22"/>
          <w:szCs w:val="22"/>
        </w:rPr>
        <w:t>, which organizes system functions into five intuitive categories: Resource Management, Production, Improving, Teamwork, and Leadership.</w:t>
      </w:r>
    </w:p>
    <w:p w14:paraId="337FE64C" w14:textId="3F805046" w:rsidR="000D7269" w:rsidRPr="003E0CCB" w:rsidRDefault="000D7269" w:rsidP="00F77EBF">
      <w:pPr>
        <w:spacing w:line="360" w:lineRule="auto"/>
        <w:rPr>
          <w:rFonts w:ascii="Calibri" w:hAnsi="Calibri" w:cs="Calibri"/>
          <w:sz w:val="22"/>
          <w:szCs w:val="22"/>
        </w:rPr>
      </w:pPr>
      <w:r w:rsidRPr="003E0CCB">
        <w:rPr>
          <w:rFonts w:ascii="Calibri" w:hAnsi="Calibri" w:cs="Calibri"/>
          <w:sz w:val="22"/>
          <w:szCs w:val="22"/>
        </w:rPr>
        <w:t xml:space="preserve">By mapping LST’s key processes into these five domains, students gain a unified framework for understanding how biological systems, economies, and societies function. In this model, the economy can be understood as a living system in which each domain plays a critical role. </w:t>
      </w:r>
    </w:p>
    <w:p w14:paraId="4CB2B2CC" w14:textId="406A0CF8" w:rsidR="000D7269" w:rsidRPr="003E0CCB" w:rsidRDefault="000D7269" w:rsidP="00F77EBF">
      <w:pPr>
        <w:spacing w:line="360" w:lineRule="auto"/>
        <w:rPr>
          <w:rFonts w:ascii="Calibri" w:hAnsi="Calibri" w:cs="Calibri"/>
          <w:sz w:val="22"/>
          <w:szCs w:val="22"/>
        </w:rPr>
      </w:pPr>
      <w:r w:rsidRPr="003E0CCB">
        <w:rPr>
          <w:rFonts w:ascii="Calibri" w:hAnsi="Calibri" w:cs="Calibri"/>
          <w:sz w:val="22"/>
          <w:szCs w:val="22"/>
        </w:rPr>
        <w:t>This perspective helps students recognize that all careers contribute to the health and sustainability of the broader system. Just as an organism depends on the proper functioning of all its subsystems, a healthy economy depends on balanced contributions across all domains. This understanding can shift how students view career pathways, increasing respect for diverse roles while clarifying how each contributes to value creation and societal well-being.</w:t>
      </w:r>
    </w:p>
    <w:p w14:paraId="7E8216FE" w14:textId="5C23DF2B" w:rsidR="000D7269" w:rsidRPr="003E0CCB" w:rsidRDefault="000D7269" w:rsidP="00F77EBF">
      <w:pPr>
        <w:spacing w:line="360" w:lineRule="auto"/>
        <w:rPr>
          <w:rFonts w:ascii="Calibri" w:hAnsi="Calibri" w:cs="Calibri"/>
          <w:sz w:val="22"/>
          <w:szCs w:val="22"/>
        </w:rPr>
      </w:pPr>
      <w:r w:rsidRPr="003E0CCB">
        <w:rPr>
          <w:rFonts w:ascii="Calibri" w:hAnsi="Calibri" w:cs="Calibri"/>
          <w:sz w:val="22"/>
          <w:szCs w:val="22"/>
        </w:rPr>
        <w:t xml:space="preserve">The session will also explore how this integrated framework aligns with existing educational structures while addressing critical gaps. Participants will examine how the 5-Domains Model can be embedded across middle school, high school, and </w:t>
      </w:r>
      <w:r w:rsidR="00CD62BC" w:rsidRPr="003E0CCB">
        <w:rPr>
          <w:rFonts w:ascii="Calibri" w:hAnsi="Calibri" w:cs="Calibri"/>
          <w:sz w:val="22"/>
          <w:szCs w:val="22"/>
        </w:rPr>
        <w:t>post-secondary</w:t>
      </w:r>
      <w:r w:rsidRPr="003E0CCB">
        <w:rPr>
          <w:rFonts w:ascii="Calibri" w:hAnsi="Calibri" w:cs="Calibri"/>
          <w:sz w:val="22"/>
          <w:szCs w:val="22"/>
        </w:rPr>
        <w:t xml:space="preserve"> education, with particular emphasis on Career and Technical Education (CTE), STEM disciplines, and social studies. Practical examples will illustrate how students can use the model to analyze real-world systems, identify breakdowns, and propose solutions.</w:t>
      </w:r>
    </w:p>
    <w:p w14:paraId="5FB91B23" w14:textId="7431FE79" w:rsidR="000D7269" w:rsidRPr="003E0CCB" w:rsidRDefault="000D7269" w:rsidP="00F77EBF">
      <w:pPr>
        <w:spacing w:line="360" w:lineRule="auto"/>
        <w:rPr>
          <w:rFonts w:ascii="Calibri" w:hAnsi="Calibri" w:cs="Calibri"/>
          <w:sz w:val="22"/>
          <w:szCs w:val="22"/>
        </w:rPr>
      </w:pPr>
      <w:r w:rsidRPr="003E0CCB">
        <w:rPr>
          <w:rFonts w:ascii="Calibri" w:hAnsi="Calibri" w:cs="Calibri"/>
          <w:sz w:val="22"/>
          <w:szCs w:val="22"/>
        </w:rPr>
        <w:t>Ultimately, this approach emphasizes the development of durable, transferable capabilities such as systems thinking, cross-disciplinary reasoning, and the ability to evaluate trade-offs and make informed decisions. These skills are essential in an AI-driven world where knowledge is abundant, but understanding is scarce.</w:t>
      </w:r>
    </w:p>
    <w:p w14:paraId="04BE277B" w14:textId="05A8BDCE" w:rsidR="000D7269" w:rsidRPr="003E0CCB" w:rsidRDefault="000D7269" w:rsidP="00F77EBF">
      <w:pPr>
        <w:spacing w:line="360" w:lineRule="auto"/>
        <w:rPr>
          <w:rFonts w:ascii="Calibri" w:hAnsi="Calibri" w:cs="Calibri"/>
          <w:sz w:val="22"/>
          <w:szCs w:val="22"/>
        </w:rPr>
      </w:pPr>
      <w:r w:rsidRPr="003E0CCB">
        <w:rPr>
          <w:rFonts w:ascii="Calibri" w:hAnsi="Calibri" w:cs="Calibri"/>
          <w:sz w:val="22"/>
          <w:szCs w:val="22"/>
        </w:rPr>
        <w:t>Participants will leave with a clear, actionable framework for helping students move beyond isolated knowledge toward a deeper understanding of how complex systems function and how they can contribute meaningfully within them. The session concludes with a call to action for educators, administrators, and policymakers to adopt integrated approaches that better prepare students for the dynamic and interconnected future they will face.</w:t>
      </w:r>
    </w:p>
    <w:p w14:paraId="20AC2CF0" w14:textId="77777777" w:rsidR="007E1D41" w:rsidRPr="003E0CCB" w:rsidRDefault="007E1D41" w:rsidP="00F77EBF">
      <w:pPr>
        <w:spacing w:line="360" w:lineRule="auto"/>
        <w:rPr>
          <w:rFonts w:ascii="Calibri" w:hAnsi="Calibri" w:cs="Calibri"/>
          <w:sz w:val="22"/>
          <w:szCs w:val="22"/>
        </w:rPr>
      </w:pPr>
      <w:r w:rsidRPr="003E0CCB">
        <w:rPr>
          <w:rFonts w:ascii="Calibri" w:hAnsi="Calibri" w:cs="Calibri"/>
          <w:sz w:val="22"/>
          <w:szCs w:val="22"/>
        </w:rPr>
        <w:t xml:space="preserve">• Keywords: minimum of three (3) and a maximum of five (5) </w:t>
      </w:r>
    </w:p>
    <w:p w14:paraId="39C9B3FA" w14:textId="4A82317D" w:rsidR="00611C21" w:rsidRPr="003E0CCB" w:rsidRDefault="00D44045" w:rsidP="00F77EBF">
      <w:pPr>
        <w:spacing w:line="360" w:lineRule="auto"/>
        <w:rPr>
          <w:rFonts w:ascii="Calibri" w:hAnsi="Calibri" w:cs="Calibri"/>
          <w:b/>
          <w:bCs/>
          <w:i/>
          <w:iCs/>
          <w:sz w:val="22"/>
          <w:szCs w:val="22"/>
        </w:rPr>
      </w:pPr>
      <w:r w:rsidRPr="003E0CCB">
        <w:rPr>
          <w:rFonts w:ascii="Calibri" w:hAnsi="Calibri" w:cs="Calibri"/>
          <w:b/>
          <w:bCs/>
          <w:i/>
          <w:iCs/>
          <w:sz w:val="22"/>
          <w:szCs w:val="22"/>
        </w:rPr>
        <w:t xml:space="preserve"> Systems Thinking</w:t>
      </w:r>
      <w:r w:rsidR="00D02BCC" w:rsidRPr="003E0CCB">
        <w:rPr>
          <w:rFonts w:ascii="Calibri" w:hAnsi="Calibri" w:cs="Calibri"/>
          <w:b/>
          <w:bCs/>
          <w:i/>
          <w:iCs/>
          <w:sz w:val="22"/>
          <w:szCs w:val="22"/>
        </w:rPr>
        <w:t>, Career Readiness.</w:t>
      </w:r>
    </w:p>
    <w:p w14:paraId="4EB482AB" w14:textId="77777777" w:rsidR="007E1D41" w:rsidRPr="003E0CCB" w:rsidRDefault="007E1D41" w:rsidP="00F77EBF">
      <w:pPr>
        <w:spacing w:line="360" w:lineRule="auto"/>
        <w:rPr>
          <w:rFonts w:ascii="Calibri" w:hAnsi="Calibri" w:cs="Calibri"/>
          <w:sz w:val="22"/>
          <w:szCs w:val="22"/>
        </w:rPr>
      </w:pPr>
      <w:r w:rsidRPr="003E0CCB">
        <w:rPr>
          <w:rFonts w:ascii="Calibri" w:hAnsi="Calibri" w:cs="Calibri"/>
          <w:sz w:val="22"/>
          <w:szCs w:val="22"/>
        </w:rPr>
        <w:t xml:space="preserve">• The proposal should consist of introduction, objectives, theoretical basis, methodology, results, conclusions and bibliographical references. </w:t>
      </w:r>
    </w:p>
    <w:p w14:paraId="400EFE9C" w14:textId="7E65CA13" w:rsidR="00D44045" w:rsidRPr="003E0CCB" w:rsidRDefault="00D44045" w:rsidP="00F77EBF">
      <w:pPr>
        <w:spacing w:line="360" w:lineRule="auto"/>
        <w:rPr>
          <w:rFonts w:ascii="Calibri" w:hAnsi="Calibri" w:cs="Calibri"/>
          <w:b/>
          <w:bCs/>
          <w:sz w:val="22"/>
          <w:szCs w:val="22"/>
        </w:rPr>
      </w:pPr>
      <w:r w:rsidRPr="003E0CCB">
        <w:rPr>
          <w:rFonts w:ascii="Calibri" w:hAnsi="Calibri" w:cs="Calibri"/>
          <w:b/>
          <w:bCs/>
          <w:sz w:val="22"/>
          <w:szCs w:val="22"/>
        </w:rPr>
        <w:t>Introduction:</w:t>
      </w:r>
    </w:p>
    <w:p w14:paraId="106BB5F0" w14:textId="25249FA9" w:rsidR="00D44045" w:rsidRPr="003E0CCB" w:rsidRDefault="004A2B5E" w:rsidP="00F77EBF">
      <w:pPr>
        <w:spacing w:line="360" w:lineRule="auto"/>
        <w:rPr>
          <w:rFonts w:ascii="Calibri" w:hAnsi="Calibri" w:cs="Calibri"/>
          <w:sz w:val="22"/>
          <w:szCs w:val="22"/>
        </w:rPr>
      </w:pPr>
      <w:r w:rsidRPr="003E0CCB">
        <w:rPr>
          <w:rFonts w:ascii="Calibri" w:hAnsi="Calibri" w:cs="Calibri"/>
          <w:sz w:val="22"/>
          <w:szCs w:val="22"/>
        </w:rPr>
        <w:t xml:space="preserve">This presentation proposes a shift in how we prepare students for careers from narrow specialization toward integrated, </w:t>
      </w:r>
      <w:proofErr w:type="gramStart"/>
      <w:r w:rsidRPr="003E0CCB">
        <w:rPr>
          <w:rFonts w:ascii="Calibri" w:hAnsi="Calibri" w:cs="Calibri"/>
          <w:sz w:val="22"/>
          <w:szCs w:val="22"/>
        </w:rPr>
        <w:t>systems</w:t>
      </w:r>
      <w:proofErr w:type="gramEnd"/>
      <w:r w:rsidRPr="003E0CCB">
        <w:rPr>
          <w:rFonts w:ascii="Calibri" w:hAnsi="Calibri" w:cs="Calibri"/>
          <w:sz w:val="22"/>
          <w:szCs w:val="22"/>
        </w:rPr>
        <w:t xml:space="preserve">-based understanding. We introduce the </w:t>
      </w:r>
      <w:r w:rsidR="00B74004" w:rsidRPr="003E0CCB">
        <w:rPr>
          <w:rFonts w:ascii="Calibri" w:hAnsi="Calibri" w:cs="Calibri"/>
          <w:sz w:val="22"/>
          <w:szCs w:val="22"/>
        </w:rPr>
        <w:t>Living System</w:t>
      </w:r>
      <w:r w:rsidRPr="003E0CCB">
        <w:rPr>
          <w:rFonts w:ascii="Calibri" w:hAnsi="Calibri" w:cs="Calibri"/>
          <w:sz w:val="22"/>
          <w:szCs w:val="22"/>
        </w:rPr>
        <w:t xml:space="preserve"> Model consisting of five intuitive categories: Resource Management, Production, Improving, Teamwork, and Leadership. We will show that through this model students gain a unified framework for understanding how biological systems, economies, and societies function. This understanding helps them make better decisions related to career </w:t>
      </w:r>
      <w:r w:rsidR="00144DCC" w:rsidRPr="003E0CCB">
        <w:rPr>
          <w:rFonts w:ascii="Calibri" w:hAnsi="Calibri" w:cs="Calibri"/>
          <w:sz w:val="22"/>
          <w:szCs w:val="22"/>
        </w:rPr>
        <w:t>preparation</w:t>
      </w:r>
      <w:r w:rsidRPr="003E0CCB">
        <w:rPr>
          <w:rFonts w:ascii="Calibri" w:hAnsi="Calibri" w:cs="Calibri"/>
          <w:sz w:val="22"/>
          <w:szCs w:val="22"/>
        </w:rPr>
        <w:t xml:space="preserve"> and to be more effective and adaptable in their careers. </w:t>
      </w:r>
    </w:p>
    <w:p w14:paraId="5061F5A4" w14:textId="15B0BCE7" w:rsidR="00D44045" w:rsidRPr="003E0CCB" w:rsidRDefault="00D44045" w:rsidP="00F77EBF">
      <w:pPr>
        <w:spacing w:line="360" w:lineRule="auto"/>
        <w:rPr>
          <w:rFonts w:ascii="Calibri" w:hAnsi="Calibri" w:cs="Calibri"/>
          <w:b/>
          <w:bCs/>
          <w:sz w:val="22"/>
          <w:szCs w:val="22"/>
        </w:rPr>
      </w:pPr>
      <w:r w:rsidRPr="003E0CCB">
        <w:rPr>
          <w:rFonts w:ascii="Calibri" w:hAnsi="Calibri" w:cs="Calibri"/>
          <w:b/>
          <w:bCs/>
          <w:sz w:val="22"/>
          <w:szCs w:val="22"/>
        </w:rPr>
        <w:t>Objectives:</w:t>
      </w:r>
    </w:p>
    <w:p w14:paraId="6F0596E8" w14:textId="0433FB95" w:rsidR="00B74004" w:rsidRPr="003E0CCB" w:rsidRDefault="00B74004" w:rsidP="00F77EBF">
      <w:pPr>
        <w:spacing w:line="360" w:lineRule="auto"/>
        <w:rPr>
          <w:rFonts w:ascii="Calibri" w:hAnsi="Calibri" w:cs="Calibri"/>
          <w:sz w:val="22"/>
          <w:szCs w:val="22"/>
        </w:rPr>
      </w:pPr>
      <w:r w:rsidRPr="003E0CCB">
        <w:rPr>
          <w:rFonts w:ascii="Calibri" w:hAnsi="Calibri" w:cs="Calibri"/>
          <w:sz w:val="22"/>
          <w:szCs w:val="22"/>
        </w:rPr>
        <w:t xml:space="preserve">Demonstrate need for new </w:t>
      </w:r>
      <w:r w:rsidR="00144DCC" w:rsidRPr="003E0CCB">
        <w:rPr>
          <w:rFonts w:ascii="Calibri" w:hAnsi="Calibri" w:cs="Calibri"/>
          <w:sz w:val="22"/>
          <w:szCs w:val="22"/>
        </w:rPr>
        <w:t>approaches</w:t>
      </w:r>
      <w:r w:rsidRPr="003E0CCB">
        <w:rPr>
          <w:rFonts w:ascii="Calibri" w:hAnsi="Calibri" w:cs="Calibri"/>
          <w:sz w:val="22"/>
          <w:szCs w:val="22"/>
        </w:rPr>
        <w:t>, show how the Living System Model can help students understand the world, prepare for their careers and navigate their futures, show how we as educators can integrate this approach into existing educational frameworks.</w:t>
      </w:r>
    </w:p>
    <w:p w14:paraId="088F5705" w14:textId="2D6D545F" w:rsidR="00D44045" w:rsidRPr="003E0CCB" w:rsidRDefault="00D44045" w:rsidP="00F77EBF">
      <w:pPr>
        <w:spacing w:line="360" w:lineRule="auto"/>
        <w:rPr>
          <w:rFonts w:ascii="Calibri" w:hAnsi="Calibri" w:cs="Calibri"/>
          <w:b/>
          <w:bCs/>
          <w:sz w:val="22"/>
          <w:szCs w:val="22"/>
        </w:rPr>
      </w:pPr>
      <w:r w:rsidRPr="003E0CCB">
        <w:rPr>
          <w:rFonts w:ascii="Calibri" w:hAnsi="Calibri" w:cs="Calibri"/>
          <w:b/>
          <w:bCs/>
          <w:sz w:val="22"/>
          <w:szCs w:val="22"/>
        </w:rPr>
        <w:t>Theoretical Basis:</w:t>
      </w:r>
    </w:p>
    <w:p w14:paraId="211F31DC" w14:textId="5B602B0E" w:rsidR="00C527FC" w:rsidRPr="003E0CCB" w:rsidRDefault="00F6417E" w:rsidP="00F77EBF">
      <w:pPr>
        <w:spacing w:line="360" w:lineRule="auto"/>
        <w:rPr>
          <w:rFonts w:ascii="Calibri" w:hAnsi="Calibri" w:cs="Calibri"/>
          <w:b/>
          <w:bCs/>
          <w:sz w:val="22"/>
          <w:szCs w:val="22"/>
        </w:rPr>
      </w:pPr>
      <w:r w:rsidRPr="003E0CCB">
        <w:rPr>
          <w:rFonts w:ascii="Calibri" w:hAnsi="Calibri" w:cs="Calibri"/>
          <w:sz w:val="22"/>
          <w:szCs w:val="22"/>
        </w:rPr>
        <w:t>The presentation</w:t>
      </w:r>
      <w:r w:rsidR="00C527FC" w:rsidRPr="003E0CCB">
        <w:rPr>
          <w:rFonts w:ascii="Calibri" w:hAnsi="Calibri" w:cs="Calibri"/>
          <w:sz w:val="22"/>
          <w:szCs w:val="22"/>
        </w:rPr>
        <w:t xml:space="preserve"> draws on the work of James Grier Miller and his Living Systems Theory (LST) but organizes the functions into 5-Domains representing the major functions of an organism.    These domains roughly map to the 5 sectors of the economy but emphasize the contribution to the health of the whole rather tha</w:t>
      </w:r>
      <w:r w:rsidRPr="003E0CCB">
        <w:rPr>
          <w:rFonts w:ascii="Calibri" w:hAnsi="Calibri" w:cs="Calibri"/>
          <w:sz w:val="22"/>
          <w:szCs w:val="22"/>
        </w:rPr>
        <w:t>n</w:t>
      </w:r>
      <w:r w:rsidR="00C527FC" w:rsidRPr="003E0CCB">
        <w:rPr>
          <w:rFonts w:ascii="Calibri" w:hAnsi="Calibri" w:cs="Calibri"/>
          <w:sz w:val="22"/>
          <w:szCs w:val="22"/>
        </w:rPr>
        <w:t xml:space="preserve"> the type of work being perf</w:t>
      </w:r>
      <w:r w:rsidRPr="003E0CCB">
        <w:rPr>
          <w:rFonts w:ascii="Calibri" w:hAnsi="Calibri" w:cs="Calibri"/>
          <w:sz w:val="22"/>
          <w:szCs w:val="22"/>
        </w:rPr>
        <w:t>or</w:t>
      </w:r>
      <w:r w:rsidR="00C527FC" w:rsidRPr="003E0CCB">
        <w:rPr>
          <w:rFonts w:ascii="Calibri" w:hAnsi="Calibri" w:cs="Calibri"/>
          <w:sz w:val="22"/>
          <w:szCs w:val="22"/>
        </w:rPr>
        <w:t>med.</w:t>
      </w:r>
    </w:p>
    <w:p w14:paraId="05A330CC" w14:textId="43AEC80E" w:rsidR="00D44045" w:rsidRPr="003E0CCB" w:rsidRDefault="00D44045" w:rsidP="00F77EBF">
      <w:pPr>
        <w:spacing w:line="360" w:lineRule="auto"/>
        <w:rPr>
          <w:rFonts w:ascii="Calibri" w:hAnsi="Calibri" w:cs="Calibri"/>
          <w:b/>
          <w:bCs/>
          <w:sz w:val="22"/>
          <w:szCs w:val="22"/>
        </w:rPr>
      </w:pPr>
      <w:r w:rsidRPr="003E0CCB">
        <w:rPr>
          <w:rFonts w:ascii="Calibri" w:hAnsi="Calibri" w:cs="Calibri"/>
          <w:b/>
          <w:bCs/>
          <w:sz w:val="22"/>
          <w:szCs w:val="22"/>
        </w:rPr>
        <w:t>Method</w:t>
      </w:r>
      <w:r w:rsidR="004A2B5E" w:rsidRPr="003E0CCB">
        <w:rPr>
          <w:rFonts w:ascii="Calibri" w:hAnsi="Calibri" w:cs="Calibri"/>
          <w:b/>
          <w:bCs/>
          <w:sz w:val="22"/>
          <w:szCs w:val="22"/>
        </w:rPr>
        <w:t>o</w:t>
      </w:r>
      <w:r w:rsidRPr="003E0CCB">
        <w:rPr>
          <w:rFonts w:ascii="Calibri" w:hAnsi="Calibri" w:cs="Calibri"/>
          <w:b/>
          <w:bCs/>
          <w:sz w:val="22"/>
          <w:szCs w:val="22"/>
        </w:rPr>
        <w:t>logy:</w:t>
      </w:r>
    </w:p>
    <w:p w14:paraId="7EA4F668" w14:textId="72C8939F" w:rsidR="00F6417E" w:rsidRPr="003E0CCB" w:rsidRDefault="00F6417E" w:rsidP="00F77EBF">
      <w:pPr>
        <w:spacing w:line="360" w:lineRule="auto"/>
        <w:rPr>
          <w:rFonts w:ascii="Calibri" w:hAnsi="Calibri" w:cs="Calibri"/>
          <w:sz w:val="22"/>
          <w:szCs w:val="22"/>
        </w:rPr>
      </w:pPr>
      <w:r w:rsidRPr="003E0CCB">
        <w:rPr>
          <w:rFonts w:ascii="Calibri" w:hAnsi="Calibri" w:cs="Calibri"/>
          <w:sz w:val="22"/>
          <w:szCs w:val="22"/>
        </w:rPr>
        <w:t xml:space="preserve">The presentation will show the most important aspects of the Living System Model, how the model can be introduced to students, and how students can use the model to understand the world and make better decisions. </w:t>
      </w:r>
    </w:p>
    <w:p w14:paraId="2E3AB81E" w14:textId="63F6F91A" w:rsidR="00D44045" w:rsidRPr="003E0CCB" w:rsidRDefault="00D44045" w:rsidP="00F77EBF">
      <w:pPr>
        <w:spacing w:line="360" w:lineRule="auto"/>
        <w:rPr>
          <w:rFonts w:ascii="Calibri" w:hAnsi="Calibri" w:cs="Calibri"/>
          <w:b/>
          <w:bCs/>
          <w:sz w:val="22"/>
          <w:szCs w:val="22"/>
        </w:rPr>
      </w:pPr>
      <w:r w:rsidRPr="003E0CCB">
        <w:rPr>
          <w:rFonts w:ascii="Calibri" w:hAnsi="Calibri" w:cs="Calibri"/>
          <w:b/>
          <w:bCs/>
          <w:sz w:val="22"/>
          <w:szCs w:val="22"/>
        </w:rPr>
        <w:t>Results:</w:t>
      </w:r>
    </w:p>
    <w:p w14:paraId="13A3D174" w14:textId="176396AE" w:rsidR="007244FF" w:rsidRPr="003E0CCB" w:rsidRDefault="007244FF" w:rsidP="00F77EBF">
      <w:pPr>
        <w:spacing w:line="360" w:lineRule="auto"/>
        <w:rPr>
          <w:rFonts w:ascii="Calibri" w:hAnsi="Calibri" w:cs="Calibri"/>
          <w:sz w:val="22"/>
          <w:szCs w:val="22"/>
        </w:rPr>
      </w:pPr>
      <w:r w:rsidRPr="003E0CCB">
        <w:rPr>
          <w:rFonts w:ascii="Calibri" w:hAnsi="Calibri" w:cs="Calibri"/>
          <w:sz w:val="22"/>
          <w:szCs w:val="22"/>
        </w:rPr>
        <w:t xml:space="preserve">While this methodology is still </w:t>
      </w:r>
      <w:r w:rsidR="00803979" w:rsidRPr="003E0CCB">
        <w:rPr>
          <w:rFonts w:ascii="Calibri" w:hAnsi="Calibri" w:cs="Calibri"/>
          <w:sz w:val="22"/>
          <w:szCs w:val="22"/>
        </w:rPr>
        <w:t>new</w:t>
      </w:r>
      <w:r w:rsidRPr="003E0CCB">
        <w:rPr>
          <w:rFonts w:ascii="Calibri" w:hAnsi="Calibri" w:cs="Calibri"/>
          <w:sz w:val="22"/>
          <w:szCs w:val="22"/>
        </w:rPr>
        <w:t>, results with teachers and students are overwhelmingly positive.</w:t>
      </w:r>
    </w:p>
    <w:p w14:paraId="0ACEF1F3" w14:textId="33BBCB8C" w:rsidR="00D44045" w:rsidRPr="003E0CCB" w:rsidRDefault="00D44045" w:rsidP="00F77EBF">
      <w:pPr>
        <w:spacing w:line="360" w:lineRule="auto"/>
        <w:rPr>
          <w:rFonts w:ascii="Calibri" w:hAnsi="Calibri" w:cs="Calibri"/>
          <w:b/>
          <w:bCs/>
          <w:sz w:val="22"/>
          <w:szCs w:val="22"/>
        </w:rPr>
      </w:pPr>
      <w:r w:rsidRPr="003E0CCB">
        <w:rPr>
          <w:rFonts w:ascii="Calibri" w:hAnsi="Calibri" w:cs="Calibri"/>
          <w:b/>
          <w:bCs/>
          <w:sz w:val="22"/>
          <w:szCs w:val="22"/>
        </w:rPr>
        <w:t>Conclusions:</w:t>
      </w:r>
    </w:p>
    <w:p w14:paraId="7364BAA2" w14:textId="11E47092" w:rsidR="007244FF" w:rsidRPr="003E0CCB" w:rsidRDefault="007244FF" w:rsidP="00F77EBF">
      <w:pPr>
        <w:spacing w:line="360" w:lineRule="auto"/>
        <w:rPr>
          <w:rFonts w:ascii="Calibri" w:hAnsi="Calibri" w:cs="Calibri"/>
          <w:sz w:val="22"/>
          <w:szCs w:val="22"/>
        </w:rPr>
      </w:pPr>
      <w:r w:rsidRPr="003E0CCB">
        <w:rPr>
          <w:rFonts w:ascii="Calibri" w:hAnsi="Calibri" w:cs="Calibri"/>
          <w:sz w:val="22"/>
          <w:szCs w:val="22"/>
        </w:rPr>
        <w:t xml:space="preserve">Teaching students to think more broadly will help them navigate the complex world in which we live.  The Living System Model is a useful tool we can add to our programs to help students understand the world, plan for their futures, and </w:t>
      </w:r>
      <w:r w:rsidR="00144DCC" w:rsidRPr="003E0CCB">
        <w:rPr>
          <w:rFonts w:ascii="Calibri" w:hAnsi="Calibri" w:cs="Calibri"/>
          <w:sz w:val="22"/>
          <w:szCs w:val="22"/>
        </w:rPr>
        <w:t>successfully</w:t>
      </w:r>
      <w:r w:rsidRPr="003E0CCB">
        <w:rPr>
          <w:rFonts w:ascii="Calibri" w:hAnsi="Calibri" w:cs="Calibri"/>
          <w:sz w:val="22"/>
          <w:szCs w:val="22"/>
        </w:rPr>
        <w:t xml:space="preserve"> manage their lives.</w:t>
      </w:r>
    </w:p>
    <w:p w14:paraId="3C4E709C" w14:textId="5AAEB964" w:rsidR="007E1D41" w:rsidRPr="003E0CCB" w:rsidRDefault="00144DCC" w:rsidP="00F77EBF">
      <w:pPr>
        <w:spacing w:line="360" w:lineRule="auto"/>
        <w:rPr>
          <w:rFonts w:ascii="Calibri" w:hAnsi="Calibri" w:cs="Calibri"/>
          <w:b/>
          <w:bCs/>
          <w:sz w:val="22"/>
          <w:szCs w:val="22"/>
        </w:rPr>
      </w:pPr>
      <w:r w:rsidRPr="003E0CCB">
        <w:rPr>
          <w:rFonts w:ascii="Calibri" w:hAnsi="Calibri" w:cs="Calibri"/>
          <w:b/>
          <w:bCs/>
          <w:sz w:val="22"/>
          <w:szCs w:val="22"/>
        </w:rPr>
        <w:t>Bibliography</w:t>
      </w:r>
      <w:r w:rsidR="00D44045" w:rsidRPr="003E0CCB">
        <w:rPr>
          <w:rFonts w:ascii="Calibri" w:hAnsi="Calibri" w:cs="Calibri"/>
          <w:b/>
          <w:bCs/>
          <w:sz w:val="22"/>
          <w:szCs w:val="22"/>
        </w:rPr>
        <w:t>:</w:t>
      </w:r>
    </w:p>
    <w:p w14:paraId="408A3BA0" w14:textId="0CD496A2" w:rsidR="00D11753" w:rsidRPr="003E0CCB" w:rsidRDefault="00CD62BC" w:rsidP="00F77EBF">
      <w:pPr>
        <w:spacing w:line="360" w:lineRule="auto"/>
        <w:rPr>
          <w:rFonts w:ascii="Calibri" w:hAnsi="Calibri" w:cs="Calibri"/>
          <w:sz w:val="22"/>
          <w:szCs w:val="22"/>
        </w:rPr>
      </w:pPr>
      <w:r w:rsidRPr="003E0CCB">
        <w:rPr>
          <w:rFonts w:ascii="Calibri" w:hAnsi="Calibri" w:cs="Calibri"/>
          <w:sz w:val="22"/>
          <w:szCs w:val="22"/>
        </w:rPr>
        <w:t xml:space="preserve">Miller, J. G. (1978). </w:t>
      </w:r>
      <w:r w:rsidRPr="003E0CCB">
        <w:rPr>
          <w:rFonts w:ascii="Calibri" w:hAnsi="Calibri" w:cs="Calibri"/>
          <w:i/>
          <w:iCs/>
          <w:sz w:val="22"/>
          <w:szCs w:val="22"/>
        </w:rPr>
        <w:t xml:space="preserve">Living </w:t>
      </w:r>
      <w:r w:rsidR="007244FF" w:rsidRPr="003E0CCB">
        <w:rPr>
          <w:rFonts w:ascii="Calibri" w:hAnsi="Calibri" w:cs="Calibri"/>
          <w:i/>
          <w:iCs/>
          <w:sz w:val="22"/>
          <w:szCs w:val="22"/>
        </w:rPr>
        <w:t>S</w:t>
      </w:r>
      <w:r w:rsidRPr="003E0CCB">
        <w:rPr>
          <w:rFonts w:ascii="Calibri" w:hAnsi="Calibri" w:cs="Calibri"/>
          <w:i/>
          <w:iCs/>
          <w:sz w:val="22"/>
          <w:szCs w:val="22"/>
        </w:rPr>
        <w:t>ystems</w:t>
      </w:r>
      <w:r w:rsidRPr="003E0CCB">
        <w:rPr>
          <w:rFonts w:ascii="Calibri" w:hAnsi="Calibri" w:cs="Calibri"/>
          <w:sz w:val="22"/>
          <w:szCs w:val="22"/>
        </w:rPr>
        <w:t>. McGraw-Hill.</w:t>
      </w:r>
    </w:p>
    <w:sectPr w:rsidR="00D11753" w:rsidRPr="003E0C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3726EF"/>
    <w:multiLevelType w:val="hybridMultilevel"/>
    <w:tmpl w:val="C90A3568"/>
    <w:lvl w:ilvl="0" w:tplc="2C8655F0">
      <w:start w:val="1"/>
      <w:numFmt w:val="bullet"/>
      <w:lvlText w:val="•"/>
      <w:lvlJc w:val="left"/>
      <w:pPr>
        <w:tabs>
          <w:tab w:val="num" w:pos="1800"/>
        </w:tabs>
        <w:ind w:left="1800" w:hanging="360"/>
      </w:pPr>
      <w:rPr>
        <w:rFonts w:ascii="Arial" w:hAnsi="Arial" w:hint="default"/>
      </w:rPr>
    </w:lvl>
    <w:lvl w:ilvl="1" w:tplc="5A4C9FDE" w:tentative="1">
      <w:start w:val="1"/>
      <w:numFmt w:val="bullet"/>
      <w:lvlText w:val="•"/>
      <w:lvlJc w:val="left"/>
      <w:pPr>
        <w:tabs>
          <w:tab w:val="num" w:pos="2520"/>
        </w:tabs>
        <w:ind w:left="2520" w:hanging="360"/>
      </w:pPr>
      <w:rPr>
        <w:rFonts w:ascii="Arial" w:hAnsi="Arial" w:hint="default"/>
      </w:rPr>
    </w:lvl>
    <w:lvl w:ilvl="2" w:tplc="9E803538" w:tentative="1">
      <w:start w:val="1"/>
      <w:numFmt w:val="bullet"/>
      <w:lvlText w:val="•"/>
      <w:lvlJc w:val="left"/>
      <w:pPr>
        <w:tabs>
          <w:tab w:val="num" w:pos="3240"/>
        </w:tabs>
        <w:ind w:left="3240" w:hanging="360"/>
      </w:pPr>
      <w:rPr>
        <w:rFonts w:ascii="Arial" w:hAnsi="Arial" w:hint="default"/>
      </w:rPr>
    </w:lvl>
    <w:lvl w:ilvl="3" w:tplc="2746FB36" w:tentative="1">
      <w:start w:val="1"/>
      <w:numFmt w:val="bullet"/>
      <w:lvlText w:val="•"/>
      <w:lvlJc w:val="left"/>
      <w:pPr>
        <w:tabs>
          <w:tab w:val="num" w:pos="3960"/>
        </w:tabs>
        <w:ind w:left="3960" w:hanging="360"/>
      </w:pPr>
      <w:rPr>
        <w:rFonts w:ascii="Arial" w:hAnsi="Arial" w:hint="default"/>
      </w:rPr>
    </w:lvl>
    <w:lvl w:ilvl="4" w:tplc="FFAC0BFE" w:tentative="1">
      <w:start w:val="1"/>
      <w:numFmt w:val="bullet"/>
      <w:lvlText w:val="•"/>
      <w:lvlJc w:val="left"/>
      <w:pPr>
        <w:tabs>
          <w:tab w:val="num" w:pos="4680"/>
        </w:tabs>
        <w:ind w:left="4680" w:hanging="360"/>
      </w:pPr>
      <w:rPr>
        <w:rFonts w:ascii="Arial" w:hAnsi="Arial" w:hint="default"/>
      </w:rPr>
    </w:lvl>
    <w:lvl w:ilvl="5" w:tplc="953A7404" w:tentative="1">
      <w:start w:val="1"/>
      <w:numFmt w:val="bullet"/>
      <w:lvlText w:val="•"/>
      <w:lvlJc w:val="left"/>
      <w:pPr>
        <w:tabs>
          <w:tab w:val="num" w:pos="5400"/>
        </w:tabs>
        <w:ind w:left="5400" w:hanging="360"/>
      </w:pPr>
      <w:rPr>
        <w:rFonts w:ascii="Arial" w:hAnsi="Arial" w:hint="default"/>
      </w:rPr>
    </w:lvl>
    <w:lvl w:ilvl="6" w:tplc="30101E20" w:tentative="1">
      <w:start w:val="1"/>
      <w:numFmt w:val="bullet"/>
      <w:lvlText w:val="•"/>
      <w:lvlJc w:val="left"/>
      <w:pPr>
        <w:tabs>
          <w:tab w:val="num" w:pos="6120"/>
        </w:tabs>
        <w:ind w:left="6120" w:hanging="360"/>
      </w:pPr>
      <w:rPr>
        <w:rFonts w:ascii="Arial" w:hAnsi="Arial" w:hint="default"/>
      </w:rPr>
    </w:lvl>
    <w:lvl w:ilvl="7" w:tplc="F0E2B640" w:tentative="1">
      <w:start w:val="1"/>
      <w:numFmt w:val="bullet"/>
      <w:lvlText w:val="•"/>
      <w:lvlJc w:val="left"/>
      <w:pPr>
        <w:tabs>
          <w:tab w:val="num" w:pos="6840"/>
        </w:tabs>
        <w:ind w:left="6840" w:hanging="360"/>
      </w:pPr>
      <w:rPr>
        <w:rFonts w:ascii="Arial" w:hAnsi="Arial" w:hint="default"/>
      </w:rPr>
    </w:lvl>
    <w:lvl w:ilvl="8" w:tplc="6C4AC326" w:tentative="1">
      <w:start w:val="1"/>
      <w:numFmt w:val="bullet"/>
      <w:lvlText w:val="•"/>
      <w:lvlJc w:val="left"/>
      <w:pPr>
        <w:tabs>
          <w:tab w:val="num" w:pos="7560"/>
        </w:tabs>
        <w:ind w:left="7560" w:hanging="360"/>
      </w:pPr>
      <w:rPr>
        <w:rFonts w:ascii="Arial" w:hAnsi="Arial" w:hint="default"/>
      </w:rPr>
    </w:lvl>
  </w:abstractNum>
  <w:abstractNum w:abstractNumId="1" w15:restartNumberingAfterBreak="0">
    <w:nsid w:val="463F1C36"/>
    <w:multiLevelType w:val="hybridMultilevel"/>
    <w:tmpl w:val="F0AA624A"/>
    <w:lvl w:ilvl="0" w:tplc="3E665424">
      <w:start w:val="1"/>
      <w:numFmt w:val="bullet"/>
      <w:lvlText w:val="•"/>
      <w:lvlJc w:val="left"/>
      <w:pPr>
        <w:tabs>
          <w:tab w:val="num" w:pos="720"/>
        </w:tabs>
        <w:ind w:left="720" w:hanging="360"/>
      </w:pPr>
      <w:rPr>
        <w:rFonts w:ascii="Arial" w:hAnsi="Arial" w:hint="default"/>
      </w:rPr>
    </w:lvl>
    <w:lvl w:ilvl="1" w:tplc="52EA71E0" w:tentative="1">
      <w:start w:val="1"/>
      <w:numFmt w:val="bullet"/>
      <w:lvlText w:val="•"/>
      <w:lvlJc w:val="left"/>
      <w:pPr>
        <w:tabs>
          <w:tab w:val="num" w:pos="1440"/>
        </w:tabs>
        <w:ind w:left="1440" w:hanging="360"/>
      </w:pPr>
      <w:rPr>
        <w:rFonts w:ascii="Arial" w:hAnsi="Arial" w:hint="default"/>
      </w:rPr>
    </w:lvl>
    <w:lvl w:ilvl="2" w:tplc="05F619EA" w:tentative="1">
      <w:start w:val="1"/>
      <w:numFmt w:val="bullet"/>
      <w:lvlText w:val="•"/>
      <w:lvlJc w:val="left"/>
      <w:pPr>
        <w:tabs>
          <w:tab w:val="num" w:pos="2160"/>
        </w:tabs>
        <w:ind w:left="2160" w:hanging="360"/>
      </w:pPr>
      <w:rPr>
        <w:rFonts w:ascii="Arial" w:hAnsi="Arial" w:hint="default"/>
      </w:rPr>
    </w:lvl>
    <w:lvl w:ilvl="3" w:tplc="7F1AAB3A" w:tentative="1">
      <w:start w:val="1"/>
      <w:numFmt w:val="bullet"/>
      <w:lvlText w:val="•"/>
      <w:lvlJc w:val="left"/>
      <w:pPr>
        <w:tabs>
          <w:tab w:val="num" w:pos="2880"/>
        </w:tabs>
        <w:ind w:left="2880" w:hanging="360"/>
      </w:pPr>
      <w:rPr>
        <w:rFonts w:ascii="Arial" w:hAnsi="Arial" w:hint="default"/>
      </w:rPr>
    </w:lvl>
    <w:lvl w:ilvl="4" w:tplc="419C87CE" w:tentative="1">
      <w:start w:val="1"/>
      <w:numFmt w:val="bullet"/>
      <w:lvlText w:val="•"/>
      <w:lvlJc w:val="left"/>
      <w:pPr>
        <w:tabs>
          <w:tab w:val="num" w:pos="3600"/>
        </w:tabs>
        <w:ind w:left="3600" w:hanging="360"/>
      </w:pPr>
      <w:rPr>
        <w:rFonts w:ascii="Arial" w:hAnsi="Arial" w:hint="default"/>
      </w:rPr>
    </w:lvl>
    <w:lvl w:ilvl="5" w:tplc="6ABE7434" w:tentative="1">
      <w:start w:val="1"/>
      <w:numFmt w:val="bullet"/>
      <w:lvlText w:val="•"/>
      <w:lvlJc w:val="left"/>
      <w:pPr>
        <w:tabs>
          <w:tab w:val="num" w:pos="4320"/>
        </w:tabs>
        <w:ind w:left="4320" w:hanging="360"/>
      </w:pPr>
      <w:rPr>
        <w:rFonts w:ascii="Arial" w:hAnsi="Arial" w:hint="default"/>
      </w:rPr>
    </w:lvl>
    <w:lvl w:ilvl="6" w:tplc="775C7CD0" w:tentative="1">
      <w:start w:val="1"/>
      <w:numFmt w:val="bullet"/>
      <w:lvlText w:val="•"/>
      <w:lvlJc w:val="left"/>
      <w:pPr>
        <w:tabs>
          <w:tab w:val="num" w:pos="5040"/>
        </w:tabs>
        <w:ind w:left="5040" w:hanging="360"/>
      </w:pPr>
      <w:rPr>
        <w:rFonts w:ascii="Arial" w:hAnsi="Arial" w:hint="default"/>
      </w:rPr>
    </w:lvl>
    <w:lvl w:ilvl="7" w:tplc="C05C070C" w:tentative="1">
      <w:start w:val="1"/>
      <w:numFmt w:val="bullet"/>
      <w:lvlText w:val="•"/>
      <w:lvlJc w:val="left"/>
      <w:pPr>
        <w:tabs>
          <w:tab w:val="num" w:pos="5760"/>
        </w:tabs>
        <w:ind w:left="5760" w:hanging="360"/>
      </w:pPr>
      <w:rPr>
        <w:rFonts w:ascii="Arial" w:hAnsi="Arial" w:hint="default"/>
      </w:rPr>
    </w:lvl>
    <w:lvl w:ilvl="8" w:tplc="9E3839E2" w:tentative="1">
      <w:start w:val="1"/>
      <w:numFmt w:val="bullet"/>
      <w:lvlText w:val="•"/>
      <w:lvlJc w:val="left"/>
      <w:pPr>
        <w:tabs>
          <w:tab w:val="num" w:pos="6480"/>
        </w:tabs>
        <w:ind w:left="6480" w:hanging="360"/>
      </w:pPr>
      <w:rPr>
        <w:rFonts w:ascii="Arial" w:hAnsi="Arial" w:hint="default"/>
      </w:rPr>
    </w:lvl>
  </w:abstractNum>
  <w:num w:numId="1" w16cid:durableId="404882544">
    <w:abstractNumId w:val="0"/>
  </w:num>
  <w:num w:numId="2" w16cid:durableId="2129084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D41"/>
    <w:rsid w:val="0000569D"/>
    <w:rsid w:val="000D7269"/>
    <w:rsid w:val="000F523A"/>
    <w:rsid w:val="00144DCC"/>
    <w:rsid w:val="001C3F66"/>
    <w:rsid w:val="002F7A3B"/>
    <w:rsid w:val="0030446E"/>
    <w:rsid w:val="003E0CCB"/>
    <w:rsid w:val="003E75E6"/>
    <w:rsid w:val="004143EE"/>
    <w:rsid w:val="004A2B5E"/>
    <w:rsid w:val="00590468"/>
    <w:rsid w:val="005C1EE0"/>
    <w:rsid w:val="005D014B"/>
    <w:rsid w:val="00611C21"/>
    <w:rsid w:val="00667336"/>
    <w:rsid w:val="00672D6F"/>
    <w:rsid w:val="006E3E46"/>
    <w:rsid w:val="007159D1"/>
    <w:rsid w:val="007244FF"/>
    <w:rsid w:val="007E1D41"/>
    <w:rsid w:val="00803979"/>
    <w:rsid w:val="009210BC"/>
    <w:rsid w:val="0094163D"/>
    <w:rsid w:val="009879CB"/>
    <w:rsid w:val="00AC5747"/>
    <w:rsid w:val="00AC7875"/>
    <w:rsid w:val="00B74004"/>
    <w:rsid w:val="00BB2431"/>
    <w:rsid w:val="00C527FC"/>
    <w:rsid w:val="00CA0FBC"/>
    <w:rsid w:val="00CD62BC"/>
    <w:rsid w:val="00D02BCC"/>
    <w:rsid w:val="00D11753"/>
    <w:rsid w:val="00D44045"/>
    <w:rsid w:val="00E754A8"/>
    <w:rsid w:val="00F6417E"/>
    <w:rsid w:val="00F77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7FCCD"/>
  <w15:chartTrackingRefBased/>
  <w15:docId w15:val="{3DE1C50A-F1C5-42C2-825C-7C42AD36E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D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D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D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D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D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D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D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D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D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D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D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D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D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D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D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D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D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D41"/>
    <w:rPr>
      <w:rFonts w:eastAsiaTheme="majorEastAsia" w:cstheme="majorBidi"/>
      <w:color w:val="272727" w:themeColor="text1" w:themeTint="D8"/>
    </w:rPr>
  </w:style>
  <w:style w:type="paragraph" w:styleId="Title">
    <w:name w:val="Title"/>
    <w:basedOn w:val="Normal"/>
    <w:next w:val="Normal"/>
    <w:link w:val="TitleChar"/>
    <w:uiPriority w:val="10"/>
    <w:qFormat/>
    <w:rsid w:val="007E1D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D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D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D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D41"/>
    <w:pPr>
      <w:spacing w:before="160"/>
      <w:jc w:val="center"/>
    </w:pPr>
    <w:rPr>
      <w:i/>
      <w:iCs/>
      <w:color w:val="404040" w:themeColor="text1" w:themeTint="BF"/>
    </w:rPr>
  </w:style>
  <w:style w:type="character" w:customStyle="1" w:styleId="QuoteChar">
    <w:name w:val="Quote Char"/>
    <w:basedOn w:val="DefaultParagraphFont"/>
    <w:link w:val="Quote"/>
    <w:uiPriority w:val="29"/>
    <w:rsid w:val="007E1D41"/>
    <w:rPr>
      <w:i/>
      <w:iCs/>
      <w:color w:val="404040" w:themeColor="text1" w:themeTint="BF"/>
    </w:rPr>
  </w:style>
  <w:style w:type="paragraph" w:styleId="ListParagraph">
    <w:name w:val="List Paragraph"/>
    <w:basedOn w:val="Normal"/>
    <w:uiPriority w:val="34"/>
    <w:qFormat/>
    <w:rsid w:val="007E1D41"/>
    <w:pPr>
      <w:ind w:left="720"/>
      <w:contextualSpacing/>
    </w:pPr>
  </w:style>
  <w:style w:type="character" w:styleId="IntenseEmphasis">
    <w:name w:val="Intense Emphasis"/>
    <w:basedOn w:val="DefaultParagraphFont"/>
    <w:uiPriority w:val="21"/>
    <w:qFormat/>
    <w:rsid w:val="007E1D41"/>
    <w:rPr>
      <w:i/>
      <w:iCs/>
      <w:color w:val="0F4761" w:themeColor="accent1" w:themeShade="BF"/>
    </w:rPr>
  </w:style>
  <w:style w:type="paragraph" w:styleId="IntenseQuote">
    <w:name w:val="Intense Quote"/>
    <w:basedOn w:val="Normal"/>
    <w:next w:val="Normal"/>
    <w:link w:val="IntenseQuoteChar"/>
    <w:uiPriority w:val="30"/>
    <w:qFormat/>
    <w:rsid w:val="007E1D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D41"/>
    <w:rPr>
      <w:i/>
      <w:iCs/>
      <w:color w:val="0F4761" w:themeColor="accent1" w:themeShade="BF"/>
    </w:rPr>
  </w:style>
  <w:style w:type="character" w:styleId="IntenseReference">
    <w:name w:val="Intense Reference"/>
    <w:basedOn w:val="DefaultParagraphFont"/>
    <w:uiPriority w:val="32"/>
    <w:qFormat/>
    <w:rsid w:val="007E1D41"/>
    <w:rPr>
      <w:b/>
      <w:bCs/>
      <w:smallCaps/>
      <w:color w:val="0F4761" w:themeColor="accent1" w:themeShade="BF"/>
      <w:spacing w:val="5"/>
    </w:rPr>
  </w:style>
  <w:style w:type="character" w:styleId="Hyperlink">
    <w:name w:val="Hyperlink"/>
    <w:basedOn w:val="DefaultParagraphFont"/>
    <w:uiPriority w:val="99"/>
    <w:unhideWhenUsed/>
    <w:rsid w:val="007E1D41"/>
    <w:rPr>
      <w:color w:val="467886" w:themeColor="hyperlink"/>
      <w:u w:val="single"/>
    </w:rPr>
  </w:style>
  <w:style w:type="character" w:styleId="UnresolvedMention">
    <w:name w:val="Unresolved Mention"/>
    <w:basedOn w:val="DefaultParagraphFont"/>
    <w:uiPriority w:val="99"/>
    <w:semiHidden/>
    <w:unhideWhenUsed/>
    <w:rsid w:val="007E1D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904</Words>
  <Characters>5371</Characters>
  <Application>Microsoft Office Word</Application>
  <DocSecurity>0</DocSecurity>
  <Lines>101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Felke</dc:creator>
  <cp:keywords/>
  <dc:description/>
  <cp:lastModifiedBy>Earnhardt, Mary Ellen</cp:lastModifiedBy>
  <cp:revision>6</cp:revision>
  <dcterms:created xsi:type="dcterms:W3CDTF">2026-04-16T19:31:00Z</dcterms:created>
  <dcterms:modified xsi:type="dcterms:W3CDTF">2026-04-16T19:40:00Z</dcterms:modified>
</cp:coreProperties>
</file>