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654D0" w14:textId="65FB0B3D" w:rsidR="00062007" w:rsidRPr="00062007" w:rsidRDefault="00062007" w:rsidP="00062007">
      <w:pPr>
        <w:spacing w:line="360" w:lineRule="auto"/>
        <w:jc w:val="both"/>
        <w:rPr>
          <w:rFonts w:ascii="Calibri" w:hAnsi="Calibri" w:cs="Calibri"/>
          <w:b/>
          <w:bCs/>
          <w:sz w:val="22"/>
          <w:szCs w:val="22"/>
        </w:rPr>
      </w:pPr>
      <w:r w:rsidRPr="00062007">
        <w:rPr>
          <w:rFonts w:ascii="Calibri" w:hAnsi="Calibri" w:cs="Calibri"/>
          <w:b/>
          <w:bCs/>
          <w:sz w:val="22"/>
          <w:szCs w:val="22"/>
        </w:rPr>
        <w:t>Contributor</w:t>
      </w:r>
      <w:r>
        <w:rPr>
          <w:rFonts w:ascii="Calibri" w:hAnsi="Calibri" w:cs="Calibri"/>
          <w:b/>
          <w:bCs/>
          <w:sz w:val="22"/>
          <w:szCs w:val="22"/>
        </w:rPr>
        <w:t>/Presenter</w:t>
      </w:r>
      <w:r w:rsidRPr="00062007">
        <w:rPr>
          <w:rFonts w:ascii="Calibri" w:hAnsi="Calibri" w:cs="Calibri"/>
          <w:b/>
          <w:bCs/>
          <w:sz w:val="22"/>
          <w:szCs w:val="22"/>
        </w:rPr>
        <w:t xml:space="preserve"> Details</w:t>
      </w:r>
    </w:p>
    <w:p w14:paraId="6EF8BD99"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Musson, Ian</w:t>
      </w:r>
    </w:p>
    <w:p w14:paraId="695C2C5B" w14:textId="1EA02D23"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Head of Young Enterprise Scheme (YES) and Co-Chief Executive</w:t>
      </w:r>
    </w:p>
    <w:p w14:paraId="24602480" w14:textId="15E19E4D"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ian.musson@youngenterprise.org.nz</w:t>
      </w:r>
    </w:p>
    <w:p w14:paraId="0ED8162E"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Young Enterprise Trust, Aotearoa New Zealand</w:t>
      </w:r>
    </w:p>
    <w:p w14:paraId="6DC7A185" w14:textId="4AE47ED6"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 xml:space="preserve">Musson, Ian </w:t>
      </w:r>
      <w:r w:rsidRPr="00062007">
        <w:rPr>
          <w:rFonts w:ascii="Calibri" w:hAnsi="Calibri" w:cs="Calibri"/>
          <w:sz w:val="22"/>
          <w:szCs w:val="22"/>
        </w:rPr>
        <w:t>-</w:t>
      </w:r>
      <w:r w:rsidRPr="00062007">
        <w:rPr>
          <w:rFonts w:ascii="Calibri" w:hAnsi="Calibri" w:cs="Calibri"/>
          <w:sz w:val="22"/>
          <w:szCs w:val="22"/>
        </w:rPr>
        <w:t xml:space="preserve"> Head of Young Enterprise Scheme (YES) and Co-Chief Executive, Young Enterprise Trust, Aotearoa New Zealand</w:t>
      </w:r>
    </w:p>
    <w:p w14:paraId="1E8C6920" w14:textId="77777777" w:rsidR="00062007" w:rsidRPr="00062007" w:rsidRDefault="00062007" w:rsidP="00062007">
      <w:pPr>
        <w:spacing w:line="360" w:lineRule="auto"/>
        <w:jc w:val="both"/>
        <w:rPr>
          <w:rFonts w:ascii="Calibri" w:hAnsi="Calibri" w:cs="Calibri"/>
          <w:sz w:val="22"/>
          <w:szCs w:val="22"/>
        </w:rPr>
      </w:pPr>
    </w:p>
    <w:p w14:paraId="0246A09B" w14:textId="7F3F659C" w:rsidR="00062007" w:rsidRPr="00062007" w:rsidRDefault="00062007" w:rsidP="00062007">
      <w:pPr>
        <w:spacing w:line="360" w:lineRule="auto"/>
        <w:jc w:val="both"/>
        <w:rPr>
          <w:rFonts w:ascii="Calibri" w:hAnsi="Calibri" w:cs="Calibri"/>
          <w:sz w:val="22"/>
          <w:szCs w:val="22"/>
        </w:rPr>
      </w:pPr>
      <w:r w:rsidRPr="00062007">
        <w:rPr>
          <w:rFonts w:ascii="Calibri" w:hAnsi="Calibri" w:cs="Calibri"/>
          <w:b/>
          <w:bCs/>
          <w:sz w:val="22"/>
          <w:szCs w:val="22"/>
        </w:rPr>
        <w:t>Title of Paper:</w:t>
      </w:r>
      <w:r>
        <w:rPr>
          <w:rFonts w:ascii="Calibri" w:hAnsi="Calibri" w:cs="Calibri"/>
          <w:sz w:val="22"/>
          <w:szCs w:val="22"/>
        </w:rPr>
        <w:t xml:space="preserve"> </w:t>
      </w:r>
      <w:r w:rsidRPr="00062007">
        <w:rPr>
          <w:rFonts w:ascii="Calibri" w:hAnsi="Calibri" w:cs="Calibri"/>
          <w:sz w:val="22"/>
          <w:szCs w:val="22"/>
        </w:rPr>
        <w:t>Navigating Futures Through Whakapapa: Reframing Pathways for Rangatahi Māori and Indigenous Youth</w:t>
      </w:r>
    </w:p>
    <w:p w14:paraId="5CB4A53A" w14:textId="11266F3D" w:rsidR="00062007" w:rsidRPr="00062007" w:rsidRDefault="00062007" w:rsidP="00062007">
      <w:pPr>
        <w:spacing w:line="360" w:lineRule="auto"/>
        <w:jc w:val="both"/>
        <w:rPr>
          <w:rFonts w:ascii="Calibri" w:hAnsi="Calibri" w:cs="Calibri"/>
          <w:sz w:val="22"/>
          <w:szCs w:val="22"/>
        </w:rPr>
      </w:pPr>
      <w:r w:rsidRPr="00062007">
        <w:rPr>
          <w:rFonts w:ascii="Calibri" w:hAnsi="Calibri" w:cs="Calibri"/>
          <w:b/>
          <w:bCs/>
          <w:sz w:val="22"/>
          <w:szCs w:val="22"/>
        </w:rPr>
        <w:t>Conference Theme</w:t>
      </w:r>
      <w:r w:rsidRPr="00062007">
        <w:rPr>
          <w:rFonts w:ascii="Calibri" w:hAnsi="Calibri" w:cs="Calibri"/>
          <w:b/>
          <w:bCs/>
          <w:sz w:val="22"/>
          <w:szCs w:val="22"/>
        </w:rPr>
        <w:t>(s):</w:t>
      </w:r>
      <w:r>
        <w:rPr>
          <w:rFonts w:ascii="Calibri" w:hAnsi="Calibri" w:cs="Calibri"/>
          <w:sz w:val="22"/>
          <w:szCs w:val="22"/>
        </w:rPr>
        <w:t xml:space="preserve"> </w:t>
      </w:r>
      <w:r w:rsidRPr="00062007">
        <w:rPr>
          <w:rFonts w:ascii="Calibri" w:hAnsi="Calibri" w:cs="Calibri"/>
          <w:sz w:val="22"/>
          <w:szCs w:val="22"/>
        </w:rPr>
        <w:t>Indigenous Knowledge (Pōhutukawa); Best Practice (</w:t>
      </w:r>
      <w:proofErr w:type="spellStart"/>
      <w:r w:rsidRPr="00062007">
        <w:rPr>
          <w:rFonts w:ascii="Calibri" w:hAnsi="Calibri" w:cs="Calibri"/>
          <w:sz w:val="22"/>
          <w:szCs w:val="22"/>
        </w:rPr>
        <w:t>Tupuānuku</w:t>
      </w:r>
      <w:proofErr w:type="spellEnd"/>
      <w:r w:rsidRPr="00062007">
        <w:rPr>
          <w:rFonts w:ascii="Calibri" w:hAnsi="Calibri" w:cs="Calibri"/>
          <w:sz w:val="22"/>
          <w:szCs w:val="22"/>
        </w:rPr>
        <w:t>)</w:t>
      </w:r>
    </w:p>
    <w:p w14:paraId="2DA657B5" w14:textId="2BC5C3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b/>
          <w:bCs/>
          <w:sz w:val="22"/>
          <w:szCs w:val="22"/>
        </w:rPr>
        <w:t>Presentation Language</w:t>
      </w:r>
      <w:r w:rsidRPr="00062007">
        <w:rPr>
          <w:rFonts w:ascii="Calibri" w:hAnsi="Calibri" w:cs="Calibri"/>
          <w:b/>
          <w:bCs/>
          <w:sz w:val="22"/>
          <w:szCs w:val="22"/>
        </w:rPr>
        <w:t>:</w:t>
      </w:r>
      <w:r>
        <w:rPr>
          <w:rFonts w:ascii="Calibri" w:hAnsi="Calibri" w:cs="Calibri"/>
          <w:sz w:val="22"/>
          <w:szCs w:val="22"/>
        </w:rPr>
        <w:t xml:space="preserve"> </w:t>
      </w:r>
      <w:r w:rsidRPr="00062007">
        <w:rPr>
          <w:rFonts w:ascii="Calibri" w:hAnsi="Calibri" w:cs="Calibri"/>
          <w:sz w:val="22"/>
          <w:szCs w:val="22"/>
        </w:rPr>
        <w:t>English</w:t>
      </w:r>
    </w:p>
    <w:p w14:paraId="617F78B8" w14:textId="77777777" w:rsidR="00062007" w:rsidRPr="00062007" w:rsidRDefault="00062007" w:rsidP="00062007">
      <w:pPr>
        <w:spacing w:line="360" w:lineRule="auto"/>
        <w:jc w:val="both"/>
        <w:rPr>
          <w:rFonts w:ascii="Calibri" w:hAnsi="Calibri" w:cs="Calibri"/>
          <w:sz w:val="22"/>
          <w:szCs w:val="22"/>
        </w:rPr>
      </w:pPr>
    </w:p>
    <w:p w14:paraId="0F057452" w14:textId="77777777" w:rsidR="00062007" w:rsidRDefault="00062007">
      <w:pPr>
        <w:rPr>
          <w:rFonts w:ascii="Calibri" w:hAnsi="Calibri" w:cs="Calibri"/>
          <w:b/>
          <w:bCs/>
          <w:sz w:val="22"/>
          <w:szCs w:val="22"/>
        </w:rPr>
      </w:pPr>
      <w:r>
        <w:rPr>
          <w:rFonts w:ascii="Calibri" w:hAnsi="Calibri" w:cs="Calibri"/>
          <w:b/>
          <w:bCs/>
          <w:sz w:val="22"/>
          <w:szCs w:val="22"/>
        </w:rPr>
        <w:br w:type="page"/>
      </w:r>
    </w:p>
    <w:p w14:paraId="2ACA90E4" w14:textId="4B838155" w:rsidR="00062007" w:rsidRPr="00062007" w:rsidRDefault="00062007" w:rsidP="00062007">
      <w:pPr>
        <w:spacing w:line="360" w:lineRule="auto"/>
        <w:jc w:val="both"/>
        <w:rPr>
          <w:rFonts w:ascii="Calibri" w:hAnsi="Calibri" w:cs="Calibri"/>
          <w:b/>
          <w:bCs/>
          <w:sz w:val="22"/>
          <w:szCs w:val="22"/>
        </w:rPr>
      </w:pPr>
      <w:r w:rsidRPr="00062007">
        <w:rPr>
          <w:rFonts w:ascii="Calibri" w:hAnsi="Calibri" w:cs="Calibri"/>
          <w:b/>
          <w:bCs/>
          <w:sz w:val="22"/>
          <w:szCs w:val="22"/>
        </w:rPr>
        <w:lastRenderedPageBreak/>
        <w:t>Abstract</w:t>
      </w:r>
      <w:r w:rsidRPr="00062007">
        <w:rPr>
          <w:rFonts w:ascii="Calibri" w:hAnsi="Calibri" w:cs="Calibri"/>
          <w:b/>
          <w:bCs/>
          <w:sz w:val="22"/>
          <w:szCs w:val="22"/>
        </w:rPr>
        <w:t>:</w:t>
      </w:r>
    </w:p>
    <w:p w14:paraId="38255737" w14:textId="77777777" w:rsidR="00062007" w:rsidRPr="00062007" w:rsidRDefault="00062007" w:rsidP="00062007">
      <w:pPr>
        <w:spacing w:line="360" w:lineRule="auto"/>
        <w:jc w:val="both"/>
        <w:rPr>
          <w:rFonts w:ascii="Calibri" w:hAnsi="Calibri" w:cs="Calibri"/>
          <w:b/>
          <w:bCs/>
          <w:sz w:val="22"/>
          <w:szCs w:val="22"/>
        </w:rPr>
      </w:pPr>
      <w:r w:rsidRPr="00062007">
        <w:rPr>
          <w:rFonts w:ascii="Calibri" w:hAnsi="Calibri" w:cs="Calibri"/>
          <w:b/>
          <w:bCs/>
          <w:sz w:val="22"/>
          <w:szCs w:val="22"/>
        </w:rPr>
        <w:t>Introduction</w:t>
      </w:r>
    </w:p>
    <w:p w14:paraId="0B8FB166"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Traditional career development models have largely been shaped by Western assumptions of linear progression, individual success, and predefined pathways. While these models remain dominant, they often fail to reflect the lived realities of rangatahi Māori and many indigenous young people globally, where identity, relationality, and collective wellbeing are central to how futures are understood. This paper explores how entrepreneurship education, grounded in indigenous perspectives, can reframe how young people navigate their futures.</w:t>
      </w:r>
    </w:p>
    <w:p w14:paraId="562121D5" w14:textId="77777777" w:rsidR="00062007" w:rsidRPr="00062007" w:rsidRDefault="00062007" w:rsidP="00062007">
      <w:pPr>
        <w:spacing w:line="360" w:lineRule="auto"/>
        <w:jc w:val="both"/>
        <w:rPr>
          <w:rFonts w:ascii="Calibri" w:hAnsi="Calibri" w:cs="Calibri"/>
          <w:b/>
          <w:bCs/>
          <w:sz w:val="22"/>
          <w:szCs w:val="22"/>
        </w:rPr>
      </w:pPr>
      <w:r w:rsidRPr="00062007">
        <w:rPr>
          <w:rFonts w:ascii="Calibri" w:hAnsi="Calibri" w:cs="Calibri"/>
          <w:b/>
          <w:bCs/>
          <w:sz w:val="22"/>
          <w:szCs w:val="22"/>
        </w:rPr>
        <w:t>Objectives</w:t>
      </w:r>
    </w:p>
    <w:p w14:paraId="501BD5D9"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This paper aims to:</w:t>
      </w:r>
    </w:p>
    <w:p w14:paraId="15DBC233" w14:textId="77777777" w:rsidR="00062007" w:rsidRPr="00062007" w:rsidRDefault="00062007" w:rsidP="00062007">
      <w:pPr>
        <w:pStyle w:val="ListParagraph"/>
        <w:numPr>
          <w:ilvl w:val="0"/>
          <w:numId w:val="1"/>
        </w:numPr>
        <w:spacing w:line="360" w:lineRule="auto"/>
        <w:jc w:val="both"/>
        <w:rPr>
          <w:rFonts w:ascii="Calibri" w:hAnsi="Calibri" w:cs="Calibri"/>
          <w:sz w:val="22"/>
          <w:szCs w:val="22"/>
        </w:rPr>
      </w:pPr>
      <w:r w:rsidRPr="00062007">
        <w:rPr>
          <w:rFonts w:ascii="Calibri" w:hAnsi="Calibri" w:cs="Calibri"/>
          <w:sz w:val="22"/>
          <w:szCs w:val="22"/>
        </w:rPr>
        <w:t>Reframe career development from fixed pathways to dynamic navigation grounded in identity (whakapapa).</w:t>
      </w:r>
    </w:p>
    <w:p w14:paraId="2AB5DBD2" w14:textId="77777777" w:rsidR="00062007" w:rsidRPr="00062007" w:rsidRDefault="00062007" w:rsidP="00062007">
      <w:pPr>
        <w:pStyle w:val="ListParagraph"/>
        <w:numPr>
          <w:ilvl w:val="0"/>
          <w:numId w:val="1"/>
        </w:numPr>
        <w:spacing w:line="360" w:lineRule="auto"/>
        <w:jc w:val="both"/>
        <w:rPr>
          <w:rFonts w:ascii="Calibri" w:hAnsi="Calibri" w:cs="Calibri"/>
          <w:sz w:val="22"/>
          <w:szCs w:val="22"/>
        </w:rPr>
      </w:pPr>
      <w:r w:rsidRPr="00062007">
        <w:rPr>
          <w:rFonts w:ascii="Calibri" w:hAnsi="Calibri" w:cs="Calibri"/>
          <w:sz w:val="22"/>
          <w:szCs w:val="22"/>
        </w:rPr>
        <w:t xml:space="preserve">Explore how entrepreneurship education can support rangatahi and indigenous youth to exercise agency and develop mana </w:t>
      </w:r>
      <w:proofErr w:type="spellStart"/>
      <w:r w:rsidRPr="00062007">
        <w:rPr>
          <w:rFonts w:ascii="Calibri" w:hAnsi="Calibri" w:cs="Calibri"/>
          <w:sz w:val="22"/>
          <w:szCs w:val="22"/>
        </w:rPr>
        <w:t>motuhake</w:t>
      </w:r>
      <w:proofErr w:type="spellEnd"/>
      <w:r w:rsidRPr="00062007">
        <w:rPr>
          <w:rFonts w:ascii="Calibri" w:hAnsi="Calibri" w:cs="Calibri"/>
          <w:sz w:val="22"/>
          <w:szCs w:val="22"/>
        </w:rPr>
        <w:t>.</w:t>
      </w:r>
    </w:p>
    <w:p w14:paraId="1DBED119" w14:textId="77777777" w:rsidR="00062007" w:rsidRPr="00062007" w:rsidRDefault="00062007" w:rsidP="00062007">
      <w:pPr>
        <w:pStyle w:val="ListParagraph"/>
        <w:numPr>
          <w:ilvl w:val="0"/>
          <w:numId w:val="1"/>
        </w:numPr>
        <w:spacing w:line="360" w:lineRule="auto"/>
        <w:jc w:val="both"/>
        <w:rPr>
          <w:rFonts w:ascii="Calibri" w:hAnsi="Calibri" w:cs="Calibri"/>
          <w:sz w:val="22"/>
          <w:szCs w:val="22"/>
        </w:rPr>
      </w:pPr>
      <w:r w:rsidRPr="00062007">
        <w:rPr>
          <w:rFonts w:ascii="Calibri" w:hAnsi="Calibri" w:cs="Calibri"/>
          <w:sz w:val="22"/>
          <w:szCs w:val="22"/>
        </w:rPr>
        <w:t>Share practice-based insights from Aotearoa that may be relevant across indigenous and global contexts.</w:t>
      </w:r>
    </w:p>
    <w:p w14:paraId="0AAB2830" w14:textId="77777777" w:rsidR="00062007" w:rsidRPr="00062007" w:rsidRDefault="00062007" w:rsidP="00062007">
      <w:pPr>
        <w:spacing w:line="360" w:lineRule="auto"/>
        <w:jc w:val="both"/>
        <w:rPr>
          <w:rFonts w:ascii="Calibri" w:hAnsi="Calibri" w:cs="Calibri"/>
          <w:b/>
          <w:bCs/>
          <w:sz w:val="22"/>
          <w:szCs w:val="22"/>
        </w:rPr>
      </w:pPr>
      <w:r w:rsidRPr="00062007">
        <w:rPr>
          <w:rFonts w:ascii="Calibri" w:hAnsi="Calibri" w:cs="Calibri"/>
          <w:b/>
          <w:bCs/>
          <w:sz w:val="22"/>
          <w:szCs w:val="22"/>
        </w:rPr>
        <w:t>Theoretical Basis</w:t>
      </w:r>
    </w:p>
    <w:p w14:paraId="63315DDA"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This work draws on kaupapa Māori frameworks that centre identity, relationality, and collective wellbeing (Durie, 2001; Smith, 2012). It aligns with indigenous scholarship that positions knowledge and development as interconnected with culture, place, and community (Nakata, 2007).</w:t>
      </w:r>
    </w:p>
    <w:p w14:paraId="7458AE93"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 xml:space="preserve">In the field of career development, there is increasing recognition of the need for more holistic and socially just approaches (Hooley et al., 2020; Sultana, 2022), alongside constructivist perspectives that emphasise </w:t>
      </w:r>
      <w:proofErr w:type="gramStart"/>
      <w:r w:rsidRPr="00062007">
        <w:rPr>
          <w:rFonts w:ascii="Calibri" w:hAnsi="Calibri" w:cs="Calibri"/>
          <w:sz w:val="22"/>
          <w:szCs w:val="22"/>
        </w:rPr>
        <w:t>meaning-making</w:t>
      </w:r>
      <w:proofErr w:type="gramEnd"/>
      <w:r w:rsidRPr="00062007">
        <w:rPr>
          <w:rFonts w:ascii="Calibri" w:hAnsi="Calibri" w:cs="Calibri"/>
          <w:sz w:val="22"/>
          <w:szCs w:val="22"/>
        </w:rPr>
        <w:t xml:space="preserve"> and narrative in career construction (Savickas, 2013).</w:t>
      </w:r>
    </w:p>
    <w:p w14:paraId="4C7746A5"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Emerging research in indigenous entrepreneurship further supports the integration of cultural values, community outcomes, and identity into enterprise activity (Hindle &amp; Lansdowne, 2005; Mika et al., 2017). Together, these perspectives provide a foundation for rethinking career development as a culturally grounded, relational, and future-oriented process.</w:t>
      </w:r>
    </w:p>
    <w:p w14:paraId="2193CB56" w14:textId="77777777" w:rsidR="00062007" w:rsidRDefault="00062007" w:rsidP="00062007">
      <w:pPr>
        <w:spacing w:line="360" w:lineRule="auto"/>
        <w:jc w:val="both"/>
        <w:rPr>
          <w:rFonts w:ascii="Calibri" w:hAnsi="Calibri" w:cs="Calibri"/>
          <w:b/>
          <w:bCs/>
          <w:sz w:val="22"/>
          <w:szCs w:val="22"/>
        </w:rPr>
      </w:pPr>
    </w:p>
    <w:p w14:paraId="5D0BC67B" w14:textId="77777777" w:rsidR="00062007" w:rsidRDefault="00062007" w:rsidP="00062007">
      <w:pPr>
        <w:spacing w:line="360" w:lineRule="auto"/>
        <w:jc w:val="both"/>
        <w:rPr>
          <w:rFonts w:ascii="Calibri" w:hAnsi="Calibri" w:cs="Calibri"/>
          <w:b/>
          <w:bCs/>
          <w:sz w:val="22"/>
          <w:szCs w:val="22"/>
        </w:rPr>
      </w:pPr>
    </w:p>
    <w:p w14:paraId="7CADE7CE" w14:textId="77777777" w:rsidR="00062007" w:rsidRDefault="00062007" w:rsidP="00062007">
      <w:pPr>
        <w:spacing w:line="360" w:lineRule="auto"/>
        <w:jc w:val="both"/>
        <w:rPr>
          <w:rFonts w:ascii="Calibri" w:hAnsi="Calibri" w:cs="Calibri"/>
          <w:b/>
          <w:bCs/>
          <w:sz w:val="22"/>
          <w:szCs w:val="22"/>
        </w:rPr>
      </w:pPr>
    </w:p>
    <w:p w14:paraId="3B130ABD" w14:textId="4DFCF773" w:rsidR="00062007" w:rsidRDefault="00062007" w:rsidP="00062007">
      <w:pPr>
        <w:spacing w:line="360" w:lineRule="auto"/>
        <w:jc w:val="both"/>
        <w:rPr>
          <w:rFonts w:ascii="Calibri" w:hAnsi="Calibri" w:cs="Calibri"/>
          <w:b/>
          <w:bCs/>
          <w:sz w:val="22"/>
          <w:szCs w:val="22"/>
        </w:rPr>
      </w:pPr>
      <w:r w:rsidRPr="00062007">
        <w:rPr>
          <w:rFonts w:ascii="Calibri" w:hAnsi="Calibri" w:cs="Calibri"/>
          <w:b/>
          <w:bCs/>
          <w:sz w:val="22"/>
          <w:szCs w:val="22"/>
        </w:rPr>
        <w:lastRenderedPageBreak/>
        <w:t>Methodology</w:t>
      </w:r>
    </w:p>
    <w:p w14:paraId="4097DD43" w14:textId="06385B4B"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This paper is grounded in reflective practice, drawing on programme design and delivery across multiple initiatives in Aotearoa New Zealand. These include the Young Enterprise Scheme (YES), Kōkiri (a Māori business accelerator), its evolution Tupu, and Young Navigators.</w:t>
      </w:r>
    </w:p>
    <w:p w14:paraId="0E4C2A49"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Using a practice-based, qualitative approach, insights are drawn from participant experiences, programme observations, and iterative development over time. The methodology is informed by kaupapa Māori principles, privileging lived experience, relational engagement, and the voices of rangatahi.</w:t>
      </w:r>
    </w:p>
    <w:p w14:paraId="41B2E353" w14:textId="77777777" w:rsidR="00062007" w:rsidRPr="00062007" w:rsidRDefault="00062007" w:rsidP="00062007">
      <w:pPr>
        <w:spacing w:line="360" w:lineRule="auto"/>
        <w:jc w:val="both"/>
        <w:rPr>
          <w:rFonts w:ascii="Calibri" w:hAnsi="Calibri" w:cs="Calibri"/>
          <w:b/>
          <w:bCs/>
          <w:sz w:val="22"/>
          <w:szCs w:val="22"/>
        </w:rPr>
      </w:pPr>
      <w:r w:rsidRPr="00062007">
        <w:rPr>
          <w:rFonts w:ascii="Calibri" w:hAnsi="Calibri" w:cs="Calibri"/>
          <w:b/>
          <w:bCs/>
          <w:sz w:val="22"/>
          <w:szCs w:val="22"/>
        </w:rPr>
        <w:t>Results</w:t>
      </w:r>
    </w:p>
    <w:p w14:paraId="06C7B681"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Findings from this work suggest that when entrepreneurship education is grounded in identity and local context, rangatahi are more likely to:</w:t>
      </w:r>
    </w:p>
    <w:p w14:paraId="4726B19C" w14:textId="77777777" w:rsidR="00062007" w:rsidRPr="00062007" w:rsidRDefault="00062007" w:rsidP="00062007">
      <w:pPr>
        <w:pStyle w:val="ListParagraph"/>
        <w:numPr>
          <w:ilvl w:val="0"/>
          <w:numId w:val="2"/>
        </w:numPr>
        <w:spacing w:line="360" w:lineRule="auto"/>
        <w:jc w:val="both"/>
        <w:rPr>
          <w:rFonts w:ascii="Calibri" w:hAnsi="Calibri" w:cs="Calibri"/>
          <w:sz w:val="22"/>
          <w:szCs w:val="22"/>
        </w:rPr>
      </w:pPr>
      <w:r w:rsidRPr="00062007">
        <w:rPr>
          <w:rFonts w:ascii="Calibri" w:hAnsi="Calibri" w:cs="Calibri"/>
          <w:sz w:val="22"/>
          <w:szCs w:val="22"/>
        </w:rPr>
        <w:t>Develop a stronger sense of self and connection to their culture and community.</w:t>
      </w:r>
    </w:p>
    <w:p w14:paraId="3278942D" w14:textId="77777777" w:rsidR="00062007" w:rsidRPr="00062007" w:rsidRDefault="00062007" w:rsidP="00062007">
      <w:pPr>
        <w:pStyle w:val="ListParagraph"/>
        <w:numPr>
          <w:ilvl w:val="0"/>
          <w:numId w:val="2"/>
        </w:numPr>
        <w:spacing w:line="360" w:lineRule="auto"/>
        <w:jc w:val="both"/>
        <w:rPr>
          <w:rFonts w:ascii="Calibri" w:hAnsi="Calibri" w:cs="Calibri"/>
          <w:sz w:val="22"/>
          <w:szCs w:val="22"/>
        </w:rPr>
      </w:pPr>
      <w:r w:rsidRPr="00062007">
        <w:rPr>
          <w:rFonts w:ascii="Calibri" w:hAnsi="Calibri" w:cs="Calibri"/>
          <w:sz w:val="22"/>
          <w:szCs w:val="22"/>
        </w:rPr>
        <w:t>Engage more deeply in learning through relevance and real-world application.</w:t>
      </w:r>
    </w:p>
    <w:p w14:paraId="56D94868" w14:textId="77777777" w:rsidR="00062007" w:rsidRPr="00062007" w:rsidRDefault="00062007" w:rsidP="00062007">
      <w:pPr>
        <w:pStyle w:val="ListParagraph"/>
        <w:numPr>
          <w:ilvl w:val="0"/>
          <w:numId w:val="2"/>
        </w:numPr>
        <w:spacing w:line="360" w:lineRule="auto"/>
        <w:jc w:val="both"/>
        <w:rPr>
          <w:rFonts w:ascii="Calibri" w:hAnsi="Calibri" w:cs="Calibri"/>
          <w:sz w:val="22"/>
          <w:szCs w:val="22"/>
        </w:rPr>
      </w:pPr>
      <w:r w:rsidRPr="00062007">
        <w:rPr>
          <w:rFonts w:ascii="Calibri" w:hAnsi="Calibri" w:cs="Calibri"/>
          <w:sz w:val="22"/>
          <w:szCs w:val="22"/>
        </w:rPr>
        <w:t>Demonstrate increased confidence, adaptability, and willingness to take risks.</w:t>
      </w:r>
    </w:p>
    <w:p w14:paraId="68BB9140" w14:textId="77777777" w:rsidR="00062007" w:rsidRPr="00062007" w:rsidRDefault="00062007" w:rsidP="00062007">
      <w:pPr>
        <w:pStyle w:val="ListParagraph"/>
        <w:numPr>
          <w:ilvl w:val="0"/>
          <w:numId w:val="2"/>
        </w:numPr>
        <w:spacing w:line="360" w:lineRule="auto"/>
        <w:jc w:val="both"/>
        <w:rPr>
          <w:rFonts w:ascii="Calibri" w:hAnsi="Calibri" w:cs="Calibri"/>
          <w:sz w:val="22"/>
          <w:szCs w:val="22"/>
        </w:rPr>
      </w:pPr>
      <w:r w:rsidRPr="00062007">
        <w:rPr>
          <w:rFonts w:ascii="Calibri" w:hAnsi="Calibri" w:cs="Calibri"/>
          <w:sz w:val="22"/>
          <w:szCs w:val="22"/>
        </w:rPr>
        <w:t>View their futures as something they can actively shape, rather than something to fit into.</w:t>
      </w:r>
    </w:p>
    <w:p w14:paraId="2D4ED302"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Importantly, this approach shifts the focus from “choosing a career” to building the capability to navigate uncertainty.</w:t>
      </w:r>
    </w:p>
    <w:p w14:paraId="13748E25" w14:textId="77777777" w:rsidR="00062007" w:rsidRPr="00062007" w:rsidRDefault="00062007" w:rsidP="00062007">
      <w:pPr>
        <w:spacing w:line="360" w:lineRule="auto"/>
        <w:jc w:val="both"/>
        <w:rPr>
          <w:rFonts w:ascii="Calibri" w:hAnsi="Calibri" w:cs="Calibri"/>
          <w:b/>
          <w:bCs/>
          <w:sz w:val="22"/>
          <w:szCs w:val="22"/>
        </w:rPr>
      </w:pPr>
      <w:r w:rsidRPr="00062007">
        <w:rPr>
          <w:rFonts w:ascii="Calibri" w:hAnsi="Calibri" w:cs="Calibri"/>
          <w:b/>
          <w:bCs/>
          <w:sz w:val="22"/>
          <w:szCs w:val="22"/>
        </w:rPr>
        <w:t>Conclusions</w:t>
      </w:r>
    </w:p>
    <w:p w14:paraId="797DE027"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This paper argues for a shift from traditional career pathways toward a navigation-based model grounded in identity, relationality, and agency. Entrepreneurship education, when delivered through an indigenous lens, offers a powerful platform for enabling this shift.</w:t>
      </w:r>
    </w:p>
    <w:p w14:paraId="2F6943FD"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While grounded in Aotearoa New Zealand, these insights have broader relevance. Indigenous approaches to knowledge and development provide important contributions to global conversations about the future of career guidance.</w:t>
      </w:r>
    </w:p>
    <w:p w14:paraId="6DDAC0C5"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Reframing career development in this way invites educators, practitioners, and policymakers to move beyond prescribing futures, toward creating environments where young people can define and navigate their own.</w:t>
      </w:r>
    </w:p>
    <w:p w14:paraId="49AD6A62" w14:textId="77777777" w:rsidR="00062007" w:rsidRPr="00062007" w:rsidRDefault="00062007" w:rsidP="00062007">
      <w:pPr>
        <w:spacing w:line="360" w:lineRule="auto"/>
        <w:jc w:val="both"/>
        <w:rPr>
          <w:rFonts w:ascii="Calibri" w:hAnsi="Calibri" w:cs="Calibri"/>
          <w:b/>
          <w:bCs/>
          <w:sz w:val="22"/>
          <w:szCs w:val="22"/>
        </w:rPr>
      </w:pPr>
      <w:r w:rsidRPr="00062007">
        <w:rPr>
          <w:rFonts w:ascii="Calibri" w:hAnsi="Calibri" w:cs="Calibri"/>
          <w:b/>
          <w:bCs/>
          <w:sz w:val="22"/>
          <w:szCs w:val="22"/>
        </w:rPr>
        <w:t>Keywords</w:t>
      </w:r>
    </w:p>
    <w:p w14:paraId="003DC6F8"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Indigenous education; entrepreneurship education; career development; rangatahi; identity</w:t>
      </w:r>
    </w:p>
    <w:p w14:paraId="68C23174" w14:textId="1F51C1D3" w:rsidR="00062007" w:rsidRPr="00062007" w:rsidRDefault="00062007" w:rsidP="00062007">
      <w:pPr>
        <w:spacing w:line="360" w:lineRule="auto"/>
        <w:jc w:val="both"/>
        <w:rPr>
          <w:rFonts w:ascii="Calibri" w:hAnsi="Calibri" w:cs="Calibri"/>
          <w:b/>
          <w:bCs/>
          <w:sz w:val="22"/>
          <w:szCs w:val="22"/>
        </w:rPr>
      </w:pPr>
      <w:r w:rsidRPr="00062007">
        <w:rPr>
          <w:rFonts w:ascii="Calibri" w:hAnsi="Calibri" w:cs="Calibri"/>
          <w:b/>
          <w:bCs/>
          <w:sz w:val="22"/>
          <w:szCs w:val="22"/>
        </w:rPr>
        <w:lastRenderedPageBreak/>
        <w:t>References</w:t>
      </w:r>
    </w:p>
    <w:p w14:paraId="206FCD07"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Durie, M. (2001). Mauri ora: The dynamics of Māori health. Oxford University Press.</w:t>
      </w:r>
    </w:p>
    <w:p w14:paraId="73700FA7" w14:textId="612F76CA"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Hindle, K., &amp; Lansdowne, M. (2005). Brave spirits on new paths: Toward a globally relevant paradigm of indigenous entrepreneurship research. Journal of Small Business &amp; Entrepreneurship, 18(2), 131</w:t>
      </w:r>
      <w:r>
        <w:rPr>
          <w:rFonts w:ascii="Calibri" w:hAnsi="Calibri" w:cs="Calibri"/>
          <w:sz w:val="22"/>
          <w:szCs w:val="22"/>
        </w:rPr>
        <w:t>-</w:t>
      </w:r>
      <w:r w:rsidRPr="00062007">
        <w:rPr>
          <w:rFonts w:ascii="Calibri" w:hAnsi="Calibri" w:cs="Calibri"/>
          <w:sz w:val="22"/>
          <w:szCs w:val="22"/>
        </w:rPr>
        <w:t>141.</w:t>
      </w:r>
    </w:p>
    <w:p w14:paraId="28C0D67D"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Hooley, T., Sultana, R. G., &amp; Thomsen, R. (2020). Career guidance for social justice: Contesting neoliberalism. Routledge.</w:t>
      </w:r>
    </w:p>
    <w:p w14:paraId="2B394543" w14:textId="3B03192B"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Mika, J. P., Warren, J., Foley, D., &amp; Palmer, F. R. (2017). The role of culture in Māori entrepreneurship. International Journal of Entrepreneurship and Small Business, 31(3), 394</w:t>
      </w:r>
      <w:r>
        <w:rPr>
          <w:rFonts w:ascii="Calibri" w:hAnsi="Calibri" w:cs="Calibri"/>
          <w:sz w:val="22"/>
          <w:szCs w:val="22"/>
        </w:rPr>
        <w:t>-</w:t>
      </w:r>
      <w:r w:rsidRPr="00062007">
        <w:rPr>
          <w:rFonts w:ascii="Calibri" w:hAnsi="Calibri" w:cs="Calibri"/>
          <w:sz w:val="22"/>
          <w:szCs w:val="22"/>
        </w:rPr>
        <w:t>410.</w:t>
      </w:r>
    </w:p>
    <w:p w14:paraId="097E2A66"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Nakata, M. (2007). Disciplining the savages, savaging the disciplines. Aboriginal Studies Press.</w:t>
      </w:r>
    </w:p>
    <w:p w14:paraId="097FE7B2" w14:textId="2B4D27DF"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 xml:space="preserve">Savickas, M. L. (2013). Career construction theory and practice. In S. D. Brown &amp; R. W. Lent (Eds.), Career development and </w:t>
      </w:r>
      <w:proofErr w:type="spellStart"/>
      <w:r w:rsidRPr="00062007">
        <w:rPr>
          <w:rFonts w:ascii="Calibri" w:hAnsi="Calibri" w:cs="Calibri"/>
          <w:sz w:val="22"/>
          <w:szCs w:val="22"/>
        </w:rPr>
        <w:t>counseling</w:t>
      </w:r>
      <w:proofErr w:type="spellEnd"/>
      <w:r w:rsidRPr="00062007">
        <w:rPr>
          <w:rFonts w:ascii="Calibri" w:hAnsi="Calibri" w:cs="Calibri"/>
          <w:sz w:val="22"/>
          <w:szCs w:val="22"/>
        </w:rPr>
        <w:t xml:space="preserve"> (2nd ed., pp. 147</w:t>
      </w:r>
      <w:r>
        <w:rPr>
          <w:rFonts w:ascii="Calibri" w:hAnsi="Calibri" w:cs="Calibri"/>
          <w:sz w:val="22"/>
          <w:szCs w:val="22"/>
        </w:rPr>
        <w:t>-</w:t>
      </w:r>
      <w:r w:rsidRPr="00062007">
        <w:rPr>
          <w:rFonts w:ascii="Calibri" w:hAnsi="Calibri" w:cs="Calibri"/>
          <w:sz w:val="22"/>
          <w:szCs w:val="22"/>
        </w:rPr>
        <w:t>183). Wiley.</w:t>
      </w:r>
    </w:p>
    <w:p w14:paraId="0D524D59" w14:textId="77777777"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Smith, L. T. (2012). Decolonizing methodologies: Research and indigenous peoples (2nd ed.). Zed Books.</w:t>
      </w:r>
    </w:p>
    <w:p w14:paraId="6B96B2AB" w14:textId="7C77307B" w:rsidR="00062007" w:rsidRPr="00062007" w:rsidRDefault="00062007" w:rsidP="00062007">
      <w:pPr>
        <w:spacing w:line="360" w:lineRule="auto"/>
        <w:jc w:val="both"/>
        <w:rPr>
          <w:rFonts w:ascii="Calibri" w:hAnsi="Calibri" w:cs="Calibri"/>
          <w:sz w:val="22"/>
          <w:szCs w:val="22"/>
        </w:rPr>
      </w:pPr>
      <w:r w:rsidRPr="00062007">
        <w:rPr>
          <w:rFonts w:ascii="Calibri" w:hAnsi="Calibri" w:cs="Calibri"/>
          <w:sz w:val="22"/>
          <w:szCs w:val="22"/>
        </w:rPr>
        <w:t>Sultana, R. G. (2022). Career guidance and livelihood planning across the Mediterranean. Sense Publishers.</w:t>
      </w:r>
    </w:p>
    <w:sectPr w:rsidR="00062007" w:rsidRPr="000620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13D0A"/>
    <w:multiLevelType w:val="hybridMultilevel"/>
    <w:tmpl w:val="DEC82E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470F5CBC"/>
    <w:multiLevelType w:val="hybridMultilevel"/>
    <w:tmpl w:val="D95E879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493691517">
    <w:abstractNumId w:val="1"/>
  </w:num>
  <w:num w:numId="2" w16cid:durableId="1510364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007"/>
    <w:rsid w:val="00062007"/>
    <w:rsid w:val="008F1EE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9FDD2"/>
  <w15:chartTrackingRefBased/>
  <w15:docId w15:val="{B93885B5-F849-4775-8824-F8EC1AEC9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20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20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20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20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20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20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20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20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20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0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20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20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20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20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2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2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2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2007"/>
    <w:rPr>
      <w:rFonts w:eastAsiaTheme="majorEastAsia" w:cstheme="majorBidi"/>
      <w:color w:val="272727" w:themeColor="text1" w:themeTint="D8"/>
    </w:rPr>
  </w:style>
  <w:style w:type="paragraph" w:styleId="Title">
    <w:name w:val="Title"/>
    <w:basedOn w:val="Normal"/>
    <w:next w:val="Normal"/>
    <w:link w:val="TitleChar"/>
    <w:uiPriority w:val="10"/>
    <w:qFormat/>
    <w:rsid w:val="00062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2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2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2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2007"/>
    <w:pPr>
      <w:spacing w:before="160"/>
      <w:jc w:val="center"/>
    </w:pPr>
    <w:rPr>
      <w:i/>
      <w:iCs/>
      <w:color w:val="404040" w:themeColor="text1" w:themeTint="BF"/>
    </w:rPr>
  </w:style>
  <w:style w:type="character" w:customStyle="1" w:styleId="QuoteChar">
    <w:name w:val="Quote Char"/>
    <w:basedOn w:val="DefaultParagraphFont"/>
    <w:link w:val="Quote"/>
    <w:uiPriority w:val="29"/>
    <w:rsid w:val="00062007"/>
    <w:rPr>
      <w:i/>
      <w:iCs/>
      <w:color w:val="404040" w:themeColor="text1" w:themeTint="BF"/>
    </w:rPr>
  </w:style>
  <w:style w:type="paragraph" w:styleId="ListParagraph">
    <w:name w:val="List Paragraph"/>
    <w:basedOn w:val="Normal"/>
    <w:uiPriority w:val="34"/>
    <w:qFormat/>
    <w:rsid w:val="00062007"/>
    <w:pPr>
      <w:ind w:left="720"/>
      <w:contextualSpacing/>
    </w:pPr>
  </w:style>
  <w:style w:type="character" w:styleId="IntenseEmphasis">
    <w:name w:val="Intense Emphasis"/>
    <w:basedOn w:val="DefaultParagraphFont"/>
    <w:uiPriority w:val="21"/>
    <w:qFormat/>
    <w:rsid w:val="00062007"/>
    <w:rPr>
      <w:i/>
      <w:iCs/>
      <w:color w:val="0F4761" w:themeColor="accent1" w:themeShade="BF"/>
    </w:rPr>
  </w:style>
  <w:style w:type="paragraph" w:styleId="IntenseQuote">
    <w:name w:val="Intense Quote"/>
    <w:basedOn w:val="Normal"/>
    <w:next w:val="Normal"/>
    <w:link w:val="IntenseQuoteChar"/>
    <w:uiPriority w:val="30"/>
    <w:qFormat/>
    <w:rsid w:val="000620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2007"/>
    <w:rPr>
      <w:i/>
      <w:iCs/>
      <w:color w:val="0F4761" w:themeColor="accent1" w:themeShade="BF"/>
    </w:rPr>
  </w:style>
  <w:style w:type="character" w:styleId="IntenseReference">
    <w:name w:val="Intense Reference"/>
    <w:basedOn w:val="DefaultParagraphFont"/>
    <w:uiPriority w:val="32"/>
    <w:qFormat/>
    <w:rsid w:val="000620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817</Words>
  <Characters>4663</Characters>
  <Application>Microsoft Office Word</Application>
  <DocSecurity>0</DocSecurity>
  <Lines>38</Lines>
  <Paragraphs>10</Paragraphs>
  <ScaleCrop>false</ScaleCrop>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Musson</dc:creator>
  <cp:keywords/>
  <dc:description/>
  <cp:lastModifiedBy>Ian Musson</cp:lastModifiedBy>
  <cp:revision>1</cp:revision>
  <dcterms:created xsi:type="dcterms:W3CDTF">2026-04-17T08:14:00Z</dcterms:created>
  <dcterms:modified xsi:type="dcterms:W3CDTF">2026-04-17T08:25:00Z</dcterms:modified>
</cp:coreProperties>
</file>