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2B7F7" w14:textId="77777777" w:rsidR="007F3FFF" w:rsidRPr="00656465" w:rsidRDefault="007F3FFF" w:rsidP="00656465">
      <w:pPr>
        <w:spacing w:line="360" w:lineRule="auto"/>
        <w:rPr>
          <w:rFonts w:ascii="Calibri" w:hAnsi="Calibri" w:cs="Calibri"/>
          <w:b/>
          <w:bCs/>
          <w:sz w:val="22"/>
          <w:szCs w:val="22"/>
        </w:rPr>
      </w:pPr>
      <w:r w:rsidRPr="00656465">
        <w:rPr>
          <w:rFonts w:ascii="Calibri" w:hAnsi="Calibri" w:cs="Calibri"/>
          <w:b/>
          <w:bCs/>
          <w:sz w:val="22"/>
          <w:szCs w:val="22"/>
        </w:rPr>
        <w:t>Title</w:t>
      </w:r>
    </w:p>
    <w:p w14:paraId="3EC98231" w14:textId="64DD21B7" w:rsidR="007F3FFF" w:rsidRDefault="00C16395" w:rsidP="00656465">
      <w:pPr>
        <w:spacing w:line="360" w:lineRule="auto"/>
        <w:rPr>
          <w:rFonts w:ascii="Calibri" w:hAnsi="Calibri" w:cs="Calibri"/>
          <w:sz w:val="22"/>
          <w:szCs w:val="22"/>
        </w:rPr>
      </w:pPr>
      <w:r w:rsidRPr="00656465">
        <w:rPr>
          <w:rFonts w:ascii="Calibri" w:hAnsi="Calibri" w:cs="Calibri"/>
          <w:sz w:val="22"/>
          <w:szCs w:val="22"/>
        </w:rPr>
        <w:t>Embedding Career Learning in the Curriculum: A Forestry-Based Model for Engagement and Pathways</w:t>
      </w:r>
    </w:p>
    <w:p w14:paraId="51D77C6F" w14:textId="06644985" w:rsidR="00656465" w:rsidRPr="00656465" w:rsidRDefault="00656465" w:rsidP="00656465">
      <w:pPr>
        <w:spacing w:line="360" w:lineRule="auto"/>
        <w:rPr>
          <w:rFonts w:ascii="Calibri" w:hAnsi="Calibri" w:cs="Calibri"/>
          <w:b/>
          <w:bCs/>
          <w:sz w:val="22"/>
          <w:szCs w:val="22"/>
        </w:rPr>
      </w:pPr>
      <w:r w:rsidRPr="00656465">
        <w:rPr>
          <w:rFonts w:ascii="Calibri" w:hAnsi="Calibri" w:cs="Calibri"/>
          <w:b/>
          <w:bCs/>
          <w:sz w:val="22"/>
          <w:szCs w:val="22"/>
        </w:rPr>
        <w:t>Theme:</w:t>
      </w:r>
    </w:p>
    <w:p w14:paraId="5401063E" w14:textId="14810962" w:rsidR="00656465" w:rsidRDefault="00656465" w:rsidP="00656465">
      <w:pPr>
        <w:spacing w:line="360" w:lineRule="auto"/>
        <w:rPr>
          <w:rFonts w:ascii="Calibri" w:hAnsi="Calibri" w:cs="Calibri"/>
          <w:sz w:val="22"/>
          <w:szCs w:val="22"/>
        </w:rPr>
      </w:pPr>
      <w:r w:rsidRPr="00656465">
        <w:rPr>
          <w:rFonts w:ascii="Calibri" w:hAnsi="Calibri" w:cs="Calibri"/>
          <w:b/>
          <w:bCs/>
          <w:sz w:val="22"/>
          <w:szCs w:val="22"/>
        </w:rPr>
        <w:t xml:space="preserve">Presentation language: </w:t>
      </w:r>
      <w:proofErr w:type="spellStart"/>
      <w:r>
        <w:rPr>
          <w:rFonts w:ascii="Calibri" w:hAnsi="Calibri" w:cs="Calibri"/>
          <w:sz w:val="22"/>
          <w:szCs w:val="22"/>
        </w:rPr>
        <w:t>Engligh</w:t>
      </w:r>
      <w:proofErr w:type="spellEnd"/>
    </w:p>
    <w:p w14:paraId="6E9CA5E3" w14:textId="77777777" w:rsidR="00656465" w:rsidRPr="00656465" w:rsidRDefault="00656465" w:rsidP="00656465">
      <w:pPr>
        <w:spacing w:line="360" w:lineRule="auto"/>
        <w:rPr>
          <w:rFonts w:ascii="Calibri" w:hAnsi="Calibri" w:cs="Calibri"/>
          <w:b/>
          <w:bCs/>
          <w:sz w:val="22"/>
          <w:szCs w:val="22"/>
        </w:rPr>
      </w:pPr>
      <w:r w:rsidRPr="00656465">
        <w:rPr>
          <w:rFonts w:ascii="Calibri" w:hAnsi="Calibri" w:cs="Calibri"/>
          <w:b/>
          <w:bCs/>
          <w:sz w:val="22"/>
          <w:szCs w:val="22"/>
        </w:rPr>
        <w:t>Keywords</w:t>
      </w:r>
    </w:p>
    <w:p w14:paraId="709DBE5B" w14:textId="3551AA1A" w:rsidR="00656465" w:rsidRPr="00656465" w:rsidRDefault="00656465" w:rsidP="00656465">
      <w:pPr>
        <w:spacing w:line="360" w:lineRule="auto"/>
        <w:rPr>
          <w:rFonts w:ascii="Calibri" w:hAnsi="Calibri" w:cs="Calibri"/>
          <w:sz w:val="22"/>
          <w:szCs w:val="22"/>
        </w:rPr>
      </w:pPr>
      <w:r w:rsidRPr="00656465">
        <w:rPr>
          <w:rFonts w:ascii="Calibri" w:hAnsi="Calibri" w:cs="Calibri"/>
          <w:sz w:val="22"/>
          <w:szCs w:val="22"/>
        </w:rPr>
        <w:t>Career education; curriculum integration; industry partnership; STEM engagement; forestry pathways</w:t>
      </w:r>
    </w:p>
    <w:p w14:paraId="53946E69" w14:textId="77777777" w:rsidR="007F3FFF" w:rsidRPr="00656465" w:rsidRDefault="007F3FFF" w:rsidP="00656465">
      <w:pPr>
        <w:spacing w:line="360" w:lineRule="auto"/>
        <w:rPr>
          <w:rFonts w:ascii="Calibri" w:hAnsi="Calibri" w:cs="Calibri"/>
          <w:b/>
          <w:bCs/>
          <w:sz w:val="22"/>
          <w:szCs w:val="22"/>
        </w:rPr>
      </w:pPr>
      <w:r w:rsidRPr="00656465">
        <w:rPr>
          <w:rFonts w:ascii="Calibri" w:hAnsi="Calibri" w:cs="Calibri"/>
          <w:b/>
          <w:bCs/>
          <w:sz w:val="22"/>
          <w:szCs w:val="22"/>
        </w:rPr>
        <w:t>Abstract</w:t>
      </w:r>
    </w:p>
    <w:p w14:paraId="005C9F78" w14:textId="77777777" w:rsidR="007F3FFF" w:rsidRPr="00656465" w:rsidRDefault="007F3FFF" w:rsidP="00656465">
      <w:pPr>
        <w:spacing w:line="360" w:lineRule="auto"/>
        <w:rPr>
          <w:rFonts w:ascii="Calibri" w:hAnsi="Calibri" w:cs="Calibri"/>
          <w:sz w:val="22"/>
          <w:szCs w:val="22"/>
        </w:rPr>
      </w:pPr>
      <w:r w:rsidRPr="00656465">
        <w:rPr>
          <w:rFonts w:ascii="Calibri" w:hAnsi="Calibri" w:cs="Calibri"/>
          <w:b/>
          <w:bCs/>
          <w:sz w:val="22"/>
          <w:szCs w:val="22"/>
        </w:rPr>
        <w:t>Introduction</w:t>
      </w:r>
      <w:r w:rsidRPr="00656465">
        <w:rPr>
          <w:rFonts w:ascii="Calibri" w:hAnsi="Calibri" w:cs="Calibri"/>
          <w:sz w:val="22"/>
          <w:szCs w:val="22"/>
        </w:rPr>
        <w:br/>
        <w:t>Career education in schools is often constrained by limited curriculum time and weak connections to real-world contexts. This poster presents an innovative Forestry Education Pilot Programme implemented at Marlborough Boys’ College (Aotearoa New Zealand), designed to embed career learning within Science and Mathematics through an authentic, industry-connected context. The programme responds to both curriculum refresh priorities and regional workforce needs, positioning career education as an integrated, rather than additional, component of learning.</w:t>
      </w:r>
    </w:p>
    <w:p w14:paraId="7C5E7297" w14:textId="77777777" w:rsidR="007F3FFF" w:rsidRPr="00656465" w:rsidRDefault="007F3FFF" w:rsidP="00656465">
      <w:pPr>
        <w:spacing w:line="360" w:lineRule="auto"/>
        <w:rPr>
          <w:rFonts w:ascii="Calibri" w:hAnsi="Calibri" w:cs="Calibri"/>
          <w:sz w:val="22"/>
          <w:szCs w:val="22"/>
        </w:rPr>
      </w:pPr>
      <w:r w:rsidRPr="00656465">
        <w:rPr>
          <w:rFonts w:ascii="Calibri" w:hAnsi="Calibri" w:cs="Calibri"/>
          <w:b/>
          <w:bCs/>
          <w:sz w:val="22"/>
          <w:szCs w:val="22"/>
        </w:rPr>
        <w:t>Objectives</w:t>
      </w:r>
      <w:r w:rsidRPr="00656465">
        <w:rPr>
          <w:rFonts w:ascii="Calibri" w:hAnsi="Calibri" w:cs="Calibri"/>
          <w:sz w:val="22"/>
          <w:szCs w:val="22"/>
        </w:rPr>
        <w:br/>
        <w:t>The pilot aimed to:</w:t>
      </w:r>
    </w:p>
    <w:p w14:paraId="4E5F0D4E" w14:textId="1C90E5F7" w:rsidR="007F3FFF" w:rsidRPr="00656465" w:rsidRDefault="007F3FFF" w:rsidP="00656465">
      <w:pPr>
        <w:numPr>
          <w:ilvl w:val="0"/>
          <w:numId w:val="1"/>
        </w:numPr>
        <w:spacing w:line="360" w:lineRule="auto"/>
        <w:rPr>
          <w:rFonts w:ascii="Calibri" w:hAnsi="Calibri" w:cs="Calibri"/>
          <w:sz w:val="22"/>
          <w:szCs w:val="22"/>
        </w:rPr>
      </w:pPr>
      <w:r w:rsidRPr="00656465">
        <w:rPr>
          <w:rFonts w:ascii="Calibri" w:hAnsi="Calibri" w:cs="Calibri"/>
          <w:sz w:val="22"/>
          <w:szCs w:val="22"/>
        </w:rPr>
        <w:t xml:space="preserve">Increase student engagement in STEM subjects through applied, contextualised </w:t>
      </w:r>
      <w:r w:rsidR="00C16395" w:rsidRPr="00656465">
        <w:rPr>
          <w:rFonts w:ascii="Calibri" w:hAnsi="Calibri" w:cs="Calibri"/>
          <w:sz w:val="22"/>
          <w:szCs w:val="22"/>
        </w:rPr>
        <w:t>learning.</w:t>
      </w:r>
      <w:r w:rsidRPr="00656465">
        <w:rPr>
          <w:rFonts w:ascii="Calibri" w:hAnsi="Calibri" w:cs="Calibri"/>
          <w:sz w:val="22"/>
          <w:szCs w:val="22"/>
        </w:rPr>
        <w:t xml:space="preserve"> </w:t>
      </w:r>
    </w:p>
    <w:p w14:paraId="2F8E5AB4" w14:textId="22228866" w:rsidR="007F3FFF" w:rsidRPr="00656465" w:rsidRDefault="007F3FFF" w:rsidP="00656465">
      <w:pPr>
        <w:numPr>
          <w:ilvl w:val="0"/>
          <w:numId w:val="1"/>
        </w:numPr>
        <w:spacing w:line="360" w:lineRule="auto"/>
        <w:rPr>
          <w:rFonts w:ascii="Calibri" w:hAnsi="Calibri" w:cs="Calibri"/>
          <w:sz w:val="22"/>
          <w:szCs w:val="22"/>
        </w:rPr>
      </w:pPr>
      <w:r w:rsidRPr="00656465">
        <w:rPr>
          <w:rFonts w:ascii="Calibri" w:hAnsi="Calibri" w:cs="Calibri"/>
          <w:sz w:val="22"/>
          <w:szCs w:val="22"/>
        </w:rPr>
        <w:t>Build awareness of forestry as a diverse and skilled career pathway</w:t>
      </w:r>
      <w:r w:rsidR="00C16395" w:rsidRPr="00656465">
        <w:rPr>
          <w:rFonts w:ascii="Calibri" w:hAnsi="Calibri" w:cs="Calibri"/>
          <w:sz w:val="22"/>
          <w:szCs w:val="22"/>
        </w:rPr>
        <w:t>.</w:t>
      </w:r>
      <w:r w:rsidRPr="00656465">
        <w:rPr>
          <w:rFonts w:ascii="Calibri" w:hAnsi="Calibri" w:cs="Calibri"/>
          <w:sz w:val="22"/>
          <w:szCs w:val="22"/>
        </w:rPr>
        <w:t xml:space="preserve"> </w:t>
      </w:r>
    </w:p>
    <w:p w14:paraId="033A7E6A" w14:textId="26183E62" w:rsidR="007F3FFF" w:rsidRPr="00656465" w:rsidRDefault="007F3FFF" w:rsidP="00656465">
      <w:pPr>
        <w:numPr>
          <w:ilvl w:val="0"/>
          <w:numId w:val="1"/>
        </w:numPr>
        <w:spacing w:line="360" w:lineRule="auto"/>
        <w:rPr>
          <w:rFonts w:ascii="Calibri" w:hAnsi="Calibri" w:cs="Calibri"/>
          <w:sz w:val="22"/>
          <w:szCs w:val="22"/>
        </w:rPr>
      </w:pPr>
      <w:r w:rsidRPr="00656465">
        <w:rPr>
          <w:rFonts w:ascii="Calibri" w:hAnsi="Calibri" w:cs="Calibri"/>
          <w:sz w:val="22"/>
          <w:szCs w:val="22"/>
        </w:rPr>
        <w:t>Strengthen connections between school curriculum and local industry</w:t>
      </w:r>
      <w:r w:rsidR="00C16395" w:rsidRPr="00656465">
        <w:rPr>
          <w:rFonts w:ascii="Calibri" w:hAnsi="Calibri" w:cs="Calibri"/>
          <w:sz w:val="22"/>
          <w:szCs w:val="22"/>
        </w:rPr>
        <w:t>.</w:t>
      </w:r>
    </w:p>
    <w:p w14:paraId="761065DF" w14:textId="77777777" w:rsidR="007F3FFF" w:rsidRPr="00656465" w:rsidRDefault="007F3FFF" w:rsidP="00656465">
      <w:pPr>
        <w:numPr>
          <w:ilvl w:val="0"/>
          <w:numId w:val="1"/>
        </w:numPr>
        <w:spacing w:line="360" w:lineRule="auto"/>
        <w:rPr>
          <w:rFonts w:ascii="Calibri" w:hAnsi="Calibri" w:cs="Calibri"/>
          <w:sz w:val="22"/>
          <w:szCs w:val="22"/>
        </w:rPr>
      </w:pPr>
      <w:r w:rsidRPr="00656465">
        <w:rPr>
          <w:rFonts w:ascii="Calibri" w:hAnsi="Calibri" w:cs="Calibri"/>
          <w:sz w:val="22"/>
          <w:szCs w:val="22"/>
        </w:rPr>
        <w:t xml:space="preserve">Develop a scalable model for integrated career education. </w:t>
      </w:r>
    </w:p>
    <w:p w14:paraId="6E211326" w14:textId="77777777" w:rsidR="007F3FFF" w:rsidRPr="00656465" w:rsidRDefault="007F3FFF" w:rsidP="00656465">
      <w:pPr>
        <w:spacing w:line="360" w:lineRule="auto"/>
        <w:rPr>
          <w:rFonts w:ascii="Calibri" w:hAnsi="Calibri" w:cs="Calibri"/>
          <w:sz w:val="22"/>
          <w:szCs w:val="22"/>
        </w:rPr>
      </w:pPr>
      <w:r w:rsidRPr="00656465">
        <w:rPr>
          <w:rFonts w:ascii="Calibri" w:hAnsi="Calibri" w:cs="Calibri"/>
          <w:b/>
          <w:bCs/>
          <w:sz w:val="22"/>
          <w:szCs w:val="22"/>
        </w:rPr>
        <w:t>Theoretical Basis</w:t>
      </w:r>
      <w:r w:rsidRPr="00656465">
        <w:rPr>
          <w:rFonts w:ascii="Calibri" w:hAnsi="Calibri" w:cs="Calibri"/>
          <w:sz w:val="22"/>
          <w:szCs w:val="22"/>
        </w:rPr>
        <w:br/>
        <w:t>The programme is grounded in experiential learning theory (Kolb, 1984) and career development research emphasising the importance of embedding career learning across the curriculum (Hooley et al., 2015). It also aligns with international evidence highlighting that early, meaningful exposure to careers supports improved transitions and student motivation (OECD, 2021). These approaches position career education as a whole-school responsibility rather than a standalone function.</w:t>
      </w:r>
    </w:p>
    <w:p w14:paraId="05E88262" w14:textId="357FCDAB" w:rsidR="007F3FFF" w:rsidRPr="00656465" w:rsidRDefault="007F3FFF" w:rsidP="00656465">
      <w:pPr>
        <w:spacing w:line="360" w:lineRule="auto"/>
        <w:rPr>
          <w:rFonts w:ascii="Calibri" w:hAnsi="Calibri" w:cs="Calibri"/>
          <w:sz w:val="22"/>
          <w:szCs w:val="22"/>
        </w:rPr>
      </w:pPr>
      <w:r w:rsidRPr="00656465">
        <w:rPr>
          <w:rFonts w:ascii="Calibri" w:hAnsi="Calibri" w:cs="Calibri"/>
          <w:b/>
          <w:bCs/>
          <w:sz w:val="22"/>
          <w:szCs w:val="22"/>
        </w:rPr>
        <w:lastRenderedPageBreak/>
        <w:t>Methodology</w:t>
      </w:r>
      <w:r w:rsidRPr="00656465">
        <w:rPr>
          <w:rFonts w:ascii="Calibri" w:hAnsi="Calibri" w:cs="Calibri"/>
          <w:sz w:val="22"/>
          <w:szCs w:val="22"/>
        </w:rPr>
        <w:br/>
        <w:t>A practice-based, mixed-method evaluation was undertaken. The pilot involved 67 Year 9 students across three classes over a three-week interdisciplinary unit integrating Science (</w:t>
      </w:r>
      <w:r w:rsidR="00C16395" w:rsidRPr="00656465">
        <w:rPr>
          <w:rFonts w:ascii="Calibri" w:hAnsi="Calibri" w:cs="Calibri"/>
          <w:sz w:val="22"/>
          <w:szCs w:val="22"/>
        </w:rPr>
        <w:t>E</w:t>
      </w:r>
      <w:r w:rsidRPr="00656465">
        <w:rPr>
          <w:rFonts w:ascii="Calibri" w:hAnsi="Calibri" w:cs="Calibri"/>
          <w:sz w:val="22"/>
          <w:szCs w:val="22"/>
        </w:rPr>
        <w:t>cology) and Mathematics (</w:t>
      </w:r>
      <w:r w:rsidR="00C16395" w:rsidRPr="00656465">
        <w:rPr>
          <w:rFonts w:ascii="Calibri" w:hAnsi="Calibri" w:cs="Calibri"/>
          <w:sz w:val="22"/>
          <w:szCs w:val="22"/>
        </w:rPr>
        <w:t>S</w:t>
      </w:r>
      <w:r w:rsidRPr="00656465">
        <w:rPr>
          <w:rFonts w:ascii="Calibri" w:hAnsi="Calibri" w:cs="Calibri"/>
          <w:sz w:val="22"/>
          <w:szCs w:val="22"/>
        </w:rPr>
        <w:t>tatistics). Data sources included student feedback, teacher reflections, industry partner feedback, and observations of classroom and experiential activities. Key programme components included contextualised lessons using local forestry data and a capstone “Forestry Speed Meet” event connecting students with industry professionals.</w:t>
      </w:r>
    </w:p>
    <w:p w14:paraId="43DE9A88" w14:textId="1CCAE6EE" w:rsidR="007F3FFF" w:rsidRPr="00656465" w:rsidRDefault="007F3FFF" w:rsidP="00656465">
      <w:pPr>
        <w:spacing w:line="360" w:lineRule="auto"/>
        <w:rPr>
          <w:rFonts w:ascii="Calibri" w:hAnsi="Calibri" w:cs="Calibri"/>
          <w:sz w:val="22"/>
          <w:szCs w:val="22"/>
        </w:rPr>
      </w:pPr>
      <w:r w:rsidRPr="00656465">
        <w:rPr>
          <w:rFonts w:ascii="Calibri" w:hAnsi="Calibri" w:cs="Calibri"/>
          <w:b/>
          <w:bCs/>
          <w:sz w:val="22"/>
          <w:szCs w:val="22"/>
        </w:rPr>
        <w:t>Results</w:t>
      </w:r>
      <w:r w:rsidRPr="00656465">
        <w:rPr>
          <w:rFonts w:ascii="Calibri" w:hAnsi="Calibri" w:cs="Calibri"/>
          <w:sz w:val="22"/>
          <w:szCs w:val="22"/>
        </w:rPr>
        <w:br/>
        <w:t>The pilot demonstrated strong outcomes across engagement, learning, and career awareness. Students reported high levels of interest, with an average event rating of 4.5/5, and described the learning as “interesting,” “fun,” and “eye-opening</w:t>
      </w:r>
      <w:r w:rsidR="00C16395" w:rsidRPr="00656465">
        <w:rPr>
          <w:rFonts w:ascii="Calibri" w:hAnsi="Calibri" w:cs="Calibri"/>
          <w:sz w:val="22"/>
          <w:szCs w:val="22"/>
        </w:rPr>
        <w:t>”.</w:t>
      </w:r>
      <w:r w:rsidRPr="00656465">
        <w:rPr>
          <w:rFonts w:ascii="Calibri" w:hAnsi="Calibri" w:cs="Calibri"/>
          <w:sz w:val="22"/>
          <w:szCs w:val="22"/>
        </w:rPr>
        <w:t xml:space="preserve"> They showed increased understanding of the breadth of forestry careers, including roles in engineering, environmental science, logistics, and machinery design.</w:t>
      </w:r>
    </w:p>
    <w:p w14:paraId="4DDB1E56" w14:textId="3FB6997C" w:rsidR="007F3FFF" w:rsidRPr="00656465" w:rsidRDefault="007F3FFF" w:rsidP="00656465">
      <w:pPr>
        <w:spacing w:line="360" w:lineRule="auto"/>
        <w:rPr>
          <w:rFonts w:ascii="Calibri" w:hAnsi="Calibri" w:cs="Calibri"/>
          <w:sz w:val="22"/>
          <w:szCs w:val="22"/>
        </w:rPr>
      </w:pPr>
      <w:r w:rsidRPr="00656465">
        <w:rPr>
          <w:rFonts w:ascii="Calibri" w:hAnsi="Calibri" w:cs="Calibri"/>
          <w:sz w:val="22"/>
          <w:szCs w:val="22"/>
        </w:rPr>
        <w:t xml:space="preserve">Teachers reported that the integration of real-world data made Mathematics “far more engaging than traditional workbook tasks” and enhanced the relevance of </w:t>
      </w:r>
      <w:proofErr w:type="gramStart"/>
      <w:r w:rsidRPr="00656465">
        <w:rPr>
          <w:rFonts w:ascii="Calibri" w:hAnsi="Calibri" w:cs="Calibri"/>
          <w:sz w:val="22"/>
          <w:szCs w:val="22"/>
        </w:rPr>
        <w:t>Science</w:t>
      </w:r>
      <w:proofErr w:type="gramEnd"/>
      <w:r w:rsidRPr="00656465">
        <w:rPr>
          <w:rFonts w:ascii="Calibri" w:hAnsi="Calibri" w:cs="Calibri"/>
          <w:sz w:val="22"/>
          <w:szCs w:val="22"/>
        </w:rPr>
        <w:t>. Industry partners rated the experience highly (4.7/5) and highlighted the quality of student engagement and questioning.</w:t>
      </w:r>
    </w:p>
    <w:p w14:paraId="6A27954B" w14:textId="77777777" w:rsidR="007F3FFF" w:rsidRPr="00656465" w:rsidRDefault="007F3FFF" w:rsidP="00656465">
      <w:pPr>
        <w:spacing w:line="360" w:lineRule="auto"/>
        <w:rPr>
          <w:rFonts w:ascii="Calibri" w:hAnsi="Calibri" w:cs="Calibri"/>
          <w:sz w:val="22"/>
          <w:szCs w:val="22"/>
        </w:rPr>
      </w:pPr>
      <w:r w:rsidRPr="00656465">
        <w:rPr>
          <w:rFonts w:ascii="Calibri" w:hAnsi="Calibri" w:cs="Calibri"/>
          <w:sz w:val="22"/>
          <w:szCs w:val="22"/>
        </w:rPr>
        <w:t>A key success factor was the Forestry Speed Meet, where students rotated through small-group interactions with industry experts, providing personalised, hands-on insights into career pathways. The final “Stumpage Plan Challenge” further reinforced applied learning through real-world problem-solving involving costs, revenue, and decision-making.</w:t>
      </w:r>
    </w:p>
    <w:p w14:paraId="0B97461A" w14:textId="77777777" w:rsidR="007F3FFF" w:rsidRPr="00656465" w:rsidRDefault="007F3FFF" w:rsidP="00656465">
      <w:pPr>
        <w:spacing w:line="360" w:lineRule="auto"/>
        <w:rPr>
          <w:rFonts w:ascii="Calibri" w:hAnsi="Calibri" w:cs="Calibri"/>
          <w:sz w:val="22"/>
          <w:szCs w:val="22"/>
        </w:rPr>
      </w:pPr>
      <w:r w:rsidRPr="00656465">
        <w:rPr>
          <w:rFonts w:ascii="Calibri" w:hAnsi="Calibri" w:cs="Calibri"/>
          <w:b/>
          <w:bCs/>
          <w:sz w:val="22"/>
          <w:szCs w:val="22"/>
        </w:rPr>
        <w:t>Conclusions</w:t>
      </w:r>
      <w:r w:rsidRPr="00656465">
        <w:rPr>
          <w:rFonts w:ascii="Calibri" w:hAnsi="Calibri" w:cs="Calibri"/>
          <w:sz w:val="22"/>
          <w:szCs w:val="22"/>
        </w:rPr>
        <w:br/>
        <w:t>The Forestry Pilot demonstrates the potential of integrated, industry-connected curriculum design to enhance both academic engagement and career development. By embedding career learning within existing subjects, the programme overcomes common barriers related to time and curriculum overcrowding.</w:t>
      </w:r>
    </w:p>
    <w:p w14:paraId="4568FD7B" w14:textId="77777777" w:rsidR="007F3FFF" w:rsidRPr="00656465" w:rsidRDefault="007F3FFF" w:rsidP="00656465">
      <w:pPr>
        <w:spacing w:line="360" w:lineRule="auto"/>
        <w:rPr>
          <w:rFonts w:ascii="Calibri" w:hAnsi="Calibri" w:cs="Calibri"/>
          <w:sz w:val="22"/>
          <w:szCs w:val="22"/>
        </w:rPr>
      </w:pPr>
      <w:r w:rsidRPr="00656465">
        <w:rPr>
          <w:rFonts w:ascii="Calibri" w:hAnsi="Calibri" w:cs="Calibri"/>
          <w:sz w:val="22"/>
          <w:szCs w:val="22"/>
        </w:rPr>
        <w:t>Embedding career learning within curriculum improves engagement, strengthens career readiness, and supports students to navigate their futures with confidence</w:t>
      </w:r>
      <w:r w:rsidRPr="00656465">
        <w:rPr>
          <w:rFonts w:ascii="Calibri" w:hAnsi="Calibri" w:cs="Calibri"/>
          <w:b/>
          <w:bCs/>
          <w:sz w:val="22"/>
          <w:szCs w:val="22"/>
        </w:rPr>
        <w:t xml:space="preserve"> (OECD, 2021; Hooley et al., 2015).</w:t>
      </w:r>
    </w:p>
    <w:p w14:paraId="67D12DB3" w14:textId="540555DE" w:rsidR="007F3FFF" w:rsidRPr="00656465" w:rsidRDefault="007F3FFF" w:rsidP="00656465">
      <w:pPr>
        <w:spacing w:line="360" w:lineRule="auto"/>
        <w:rPr>
          <w:rFonts w:ascii="Calibri" w:hAnsi="Calibri" w:cs="Calibri"/>
          <w:sz w:val="22"/>
          <w:szCs w:val="22"/>
        </w:rPr>
      </w:pPr>
      <w:r w:rsidRPr="00656465">
        <w:rPr>
          <w:rFonts w:ascii="Calibri" w:hAnsi="Calibri" w:cs="Calibri"/>
          <w:sz w:val="22"/>
          <w:szCs w:val="22"/>
        </w:rPr>
        <w:t xml:space="preserve">This model offers a scalable approach for schools seeking to strengthen career education while meeting curriculum goals. It aligns with the conference theme of </w:t>
      </w:r>
      <w:r w:rsidRPr="00656465">
        <w:rPr>
          <w:rFonts w:ascii="Calibri" w:hAnsi="Calibri" w:cs="Calibri"/>
          <w:b/>
          <w:bCs/>
          <w:sz w:val="22"/>
          <w:szCs w:val="22"/>
        </w:rPr>
        <w:t xml:space="preserve">Best Practice – </w:t>
      </w:r>
      <w:proofErr w:type="spellStart"/>
      <w:r w:rsidRPr="00656465">
        <w:rPr>
          <w:rFonts w:ascii="Calibri" w:hAnsi="Calibri" w:cs="Calibri"/>
          <w:b/>
          <w:bCs/>
          <w:sz w:val="22"/>
          <w:szCs w:val="22"/>
        </w:rPr>
        <w:t>Tupuānuku</w:t>
      </w:r>
      <w:proofErr w:type="spellEnd"/>
      <w:r w:rsidRPr="00656465">
        <w:rPr>
          <w:rFonts w:ascii="Calibri" w:hAnsi="Calibri" w:cs="Calibri"/>
          <w:sz w:val="22"/>
          <w:szCs w:val="22"/>
        </w:rPr>
        <w:t xml:space="preserve">, showcasing how sustainable systems and partnerships can cultivate meaningful, future-focused </w:t>
      </w:r>
      <w:r w:rsidR="00C16395" w:rsidRPr="00656465">
        <w:rPr>
          <w:rFonts w:ascii="Calibri" w:hAnsi="Calibri" w:cs="Calibri"/>
          <w:sz w:val="22"/>
          <w:szCs w:val="22"/>
        </w:rPr>
        <w:t>learning.</w:t>
      </w:r>
    </w:p>
    <w:p w14:paraId="6861739F" w14:textId="77777777" w:rsidR="00656465" w:rsidRDefault="00656465" w:rsidP="00656465">
      <w:pPr>
        <w:spacing w:line="360" w:lineRule="auto"/>
        <w:rPr>
          <w:rFonts w:ascii="Calibri" w:hAnsi="Calibri" w:cs="Calibri"/>
          <w:b/>
          <w:bCs/>
          <w:sz w:val="22"/>
          <w:szCs w:val="22"/>
        </w:rPr>
      </w:pPr>
    </w:p>
    <w:p w14:paraId="5D19E1D4" w14:textId="18F77573" w:rsidR="007F3FFF" w:rsidRPr="00656465" w:rsidRDefault="007F3FFF" w:rsidP="00656465">
      <w:pPr>
        <w:spacing w:line="360" w:lineRule="auto"/>
        <w:rPr>
          <w:rFonts w:ascii="Calibri" w:hAnsi="Calibri" w:cs="Calibri"/>
          <w:b/>
          <w:bCs/>
          <w:sz w:val="22"/>
          <w:szCs w:val="22"/>
        </w:rPr>
      </w:pPr>
      <w:r w:rsidRPr="00656465">
        <w:rPr>
          <w:rFonts w:ascii="Calibri" w:hAnsi="Calibri" w:cs="Calibri"/>
          <w:b/>
          <w:bCs/>
          <w:sz w:val="22"/>
          <w:szCs w:val="22"/>
        </w:rPr>
        <w:lastRenderedPageBreak/>
        <w:t>References (APA 7)</w:t>
      </w:r>
    </w:p>
    <w:p w14:paraId="44F97674" w14:textId="77777777" w:rsidR="007F3FFF" w:rsidRPr="00656465" w:rsidRDefault="007F3FFF" w:rsidP="00656465">
      <w:pPr>
        <w:spacing w:line="360" w:lineRule="auto"/>
        <w:rPr>
          <w:rFonts w:ascii="Calibri" w:hAnsi="Calibri" w:cs="Calibri"/>
          <w:sz w:val="22"/>
          <w:szCs w:val="22"/>
        </w:rPr>
      </w:pPr>
      <w:r w:rsidRPr="00656465">
        <w:rPr>
          <w:rFonts w:ascii="Calibri" w:hAnsi="Calibri" w:cs="Calibri"/>
          <w:sz w:val="22"/>
          <w:szCs w:val="22"/>
        </w:rPr>
        <w:t xml:space="preserve">Careers New Zealand. (2019). </w:t>
      </w:r>
      <w:r w:rsidRPr="00656465">
        <w:rPr>
          <w:rFonts w:ascii="Calibri" w:hAnsi="Calibri" w:cs="Calibri"/>
          <w:i/>
          <w:iCs/>
          <w:sz w:val="22"/>
          <w:szCs w:val="22"/>
        </w:rPr>
        <w:t>Career education and guidance in New Zealand schools.</w:t>
      </w:r>
    </w:p>
    <w:p w14:paraId="31422452" w14:textId="5BC80F45" w:rsidR="007F3FFF" w:rsidRPr="00656465" w:rsidRDefault="007F3FFF" w:rsidP="00656465">
      <w:pPr>
        <w:spacing w:line="360" w:lineRule="auto"/>
        <w:rPr>
          <w:rFonts w:ascii="Calibri" w:hAnsi="Calibri" w:cs="Calibri"/>
          <w:sz w:val="22"/>
          <w:szCs w:val="22"/>
        </w:rPr>
      </w:pPr>
      <w:r w:rsidRPr="00656465">
        <w:rPr>
          <w:rFonts w:ascii="Calibri" w:hAnsi="Calibri" w:cs="Calibri"/>
          <w:sz w:val="22"/>
          <w:szCs w:val="22"/>
        </w:rPr>
        <w:t xml:space="preserve">Hooley, T., Watts, A. G., &amp; Andrews, D. (2015). </w:t>
      </w:r>
      <w:r w:rsidRPr="00656465">
        <w:rPr>
          <w:rFonts w:ascii="Calibri" w:hAnsi="Calibri" w:cs="Calibri"/>
          <w:i/>
          <w:iCs/>
          <w:sz w:val="22"/>
          <w:szCs w:val="22"/>
        </w:rPr>
        <w:t xml:space="preserve">Teachers and careers: The role of </w:t>
      </w:r>
      <w:proofErr w:type="gramStart"/>
      <w:r w:rsidRPr="00656465">
        <w:rPr>
          <w:rFonts w:ascii="Calibri" w:hAnsi="Calibri" w:cs="Calibri"/>
          <w:i/>
          <w:iCs/>
          <w:sz w:val="22"/>
          <w:szCs w:val="22"/>
        </w:rPr>
        <w:t>school teachers</w:t>
      </w:r>
      <w:proofErr w:type="gramEnd"/>
      <w:r w:rsidRPr="00656465">
        <w:rPr>
          <w:rFonts w:ascii="Calibri" w:hAnsi="Calibri" w:cs="Calibri"/>
          <w:i/>
          <w:iCs/>
          <w:sz w:val="22"/>
          <w:szCs w:val="22"/>
        </w:rPr>
        <w:t xml:space="preserve"> in delivering career and employability learning.</w:t>
      </w:r>
      <w:r w:rsidRPr="00656465">
        <w:rPr>
          <w:rFonts w:ascii="Calibri" w:hAnsi="Calibri" w:cs="Calibri"/>
          <w:sz w:val="22"/>
          <w:szCs w:val="22"/>
        </w:rPr>
        <w:t xml:space="preserve"> International Centre for Guidance Studies.</w:t>
      </w:r>
    </w:p>
    <w:p w14:paraId="51783202" w14:textId="77777777" w:rsidR="007F3FFF" w:rsidRPr="00656465" w:rsidRDefault="007F3FFF" w:rsidP="00656465">
      <w:pPr>
        <w:spacing w:line="360" w:lineRule="auto"/>
        <w:rPr>
          <w:rFonts w:ascii="Calibri" w:hAnsi="Calibri" w:cs="Calibri"/>
          <w:sz w:val="22"/>
          <w:szCs w:val="22"/>
        </w:rPr>
      </w:pPr>
      <w:r w:rsidRPr="00656465">
        <w:rPr>
          <w:rFonts w:ascii="Calibri" w:hAnsi="Calibri" w:cs="Calibri"/>
          <w:sz w:val="22"/>
          <w:szCs w:val="22"/>
        </w:rPr>
        <w:t xml:space="preserve">Kolb, D. A. (1984). </w:t>
      </w:r>
      <w:r w:rsidRPr="00656465">
        <w:rPr>
          <w:rFonts w:ascii="Calibri" w:hAnsi="Calibri" w:cs="Calibri"/>
          <w:i/>
          <w:iCs/>
          <w:sz w:val="22"/>
          <w:szCs w:val="22"/>
        </w:rPr>
        <w:t>Experiential learning: Experience as the source of learning and development.</w:t>
      </w:r>
      <w:r w:rsidRPr="00656465">
        <w:rPr>
          <w:rFonts w:ascii="Calibri" w:hAnsi="Calibri" w:cs="Calibri"/>
          <w:sz w:val="22"/>
          <w:szCs w:val="22"/>
        </w:rPr>
        <w:t xml:space="preserve"> Prentice Hall.</w:t>
      </w:r>
    </w:p>
    <w:p w14:paraId="0B2356DD" w14:textId="77777777" w:rsidR="007F3FFF" w:rsidRPr="00656465" w:rsidRDefault="007F3FFF" w:rsidP="00656465">
      <w:pPr>
        <w:spacing w:line="360" w:lineRule="auto"/>
        <w:rPr>
          <w:rFonts w:ascii="Calibri" w:hAnsi="Calibri" w:cs="Calibri"/>
          <w:sz w:val="22"/>
          <w:szCs w:val="22"/>
        </w:rPr>
      </w:pPr>
      <w:r w:rsidRPr="00656465">
        <w:rPr>
          <w:rFonts w:ascii="Calibri" w:hAnsi="Calibri" w:cs="Calibri"/>
          <w:sz w:val="22"/>
          <w:szCs w:val="22"/>
        </w:rPr>
        <w:t xml:space="preserve">OECD. (2021). </w:t>
      </w:r>
      <w:r w:rsidRPr="00656465">
        <w:rPr>
          <w:rFonts w:ascii="Calibri" w:hAnsi="Calibri" w:cs="Calibri"/>
          <w:i/>
          <w:iCs/>
          <w:sz w:val="22"/>
          <w:szCs w:val="22"/>
        </w:rPr>
        <w:t>Career readiness in the 21st century: Insights from PISA.</w:t>
      </w:r>
      <w:r w:rsidRPr="00656465">
        <w:rPr>
          <w:rFonts w:ascii="Calibri" w:hAnsi="Calibri" w:cs="Calibri"/>
          <w:sz w:val="22"/>
          <w:szCs w:val="22"/>
        </w:rPr>
        <w:t xml:space="preserve"> OECD Publishing.</w:t>
      </w:r>
    </w:p>
    <w:p w14:paraId="6B5E1043" w14:textId="77777777" w:rsidR="007F3FFF" w:rsidRPr="00656465" w:rsidRDefault="007F3FFF" w:rsidP="00656465">
      <w:pPr>
        <w:spacing w:line="360" w:lineRule="auto"/>
        <w:rPr>
          <w:rFonts w:ascii="Calibri" w:hAnsi="Calibri" w:cs="Calibri"/>
          <w:sz w:val="22"/>
          <w:szCs w:val="22"/>
        </w:rPr>
      </w:pPr>
    </w:p>
    <w:p w14:paraId="43D656F8" w14:textId="77777777" w:rsidR="00C00289" w:rsidRPr="00656465" w:rsidRDefault="00C00289" w:rsidP="00656465">
      <w:pPr>
        <w:spacing w:line="360" w:lineRule="auto"/>
        <w:rPr>
          <w:rFonts w:ascii="Calibri" w:hAnsi="Calibri" w:cs="Calibri"/>
          <w:sz w:val="22"/>
          <w:szCs w:val="22"/>
        </w:rPr>
      </w:pPr>
    </w:p>
    <w:p w14:paraId="12B7E975" w14:textId="77777777" w:rsidR="00C00289" w:rsidRPr="00656465" w:rsidRDefault="00C00289" w:rsidP="00656465">
      <w:pPr>
        <w:spacing w:line="360" w:lineRule="auto"/>
        <w:rPr>
          <w:rFonts w:ascii="Calibri" w:hAnsi="Calibri" w:cs="Calibri"/>
          <w:sz w:val="22"/>
          <w:szCs w:val="22"/>
        </w:rPr>
      </w:pPr>
    </w:p>
    <w:sectPr w:rsidR="00C00289" w:rsidRPr="0065646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FE7787"/>
    <w:multiLevelType w:val="multilevel"/>
    <w:tmpl w:val="7E0271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0298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FFF"/>
    <w:rsid w:val="00244513"/>
    <w:rsid w:val="00524FCA"/>
    <w:rsid w:val="00525558"/>
    <w:rsid w:val="00656465"/>
    <w:rsid w:val="00741F2E"/>
    <w:rsid w:val="007F3FFF"/>
    <w:rsid w:val="00851A45"/>
    <w:rsid w:val="009F73C4"/>
    <w:rsid w:val="00C00289"/>
    <w:rsid w:val="00C0092E"/>
    <w:rsid w:val="00C16395"/>
    <w:rsid w:val="00DC6CC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C6EEE"/>
  <w15:chartTrackingRefBased/>
  <w15:docId w15:val="{DE60A8CF-B862-4D3E-892C-04F14EFE6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3F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3F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3F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3F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3F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3F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3F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3F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3F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3F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3F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3F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3F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3F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3F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3F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3F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3FFF"/>
    <w:rPr>
      <w:rFonts w:eastAsiaTheme="majorEastAsia" w:cstheme="majorBidi"/>
      <w:color w:val="272727" w:themeColor="text1" w:themeTint="D8"/>
    </w:rPr>
  </w:style>
  <w:style w:type="paragraph" w:styleId="Title">
    <w:name w:val="Title"/>
    <w:basedOn w:val="Normal"/>
    <w:next w:val="Normal"/>
    <w:link w:val="TitleChar"/>
    <w:uiPriority w:val="10"/>
    <w:qFormat/>
    <w:rsid w:val="007F3F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3F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3F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3F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3FFF"/>
    <w:pPr>
      <w:spacing w:before="160"/>
      <w:jc w:val="center"/>
    </w:pPr>
    <w:rPr>
      <w:i/>
      <w:iCs/>
      <w:color w:val="404040" w:themeColor="text1" w:themeTint="BF"/>
    </w:rPr>
  </w:style>
  <w:style w:type="character" w:customStyle="1" w:styleId="QuoteChar">
    <w:name w:val="Quote Char"/>
    <w:basedOn w:val="DefaultParagraphFont"/>
    <w:link w:val="Quote"/>
    <w:uiPriority w:val="29"/>
    <w:rsid w:val="007F3FFF"/>
    <w:rPr>
      <w:i/>
      <w:iCs/>
      <w:color w:val="404040" w:themeColor="text1" w:themeTint="BF"/>
    </w:rPr>
  </w:style>
  <w:style w:type="paragraph" w:styleId="ListParagraph">
    <w:name w:val="List Paragraph"/>
    <w:basedOn w:val="Normal"/>
    <w:uiPriority w:val="34"/>
    <w:qFormat/>
    <w:rsid w:val="007F3FFF"/>
    <w:pPr>
      <w:ind w:left="720"/>
      <w:contextualSpacing/>
    </w:pPr>
  </w:style>
  <w:style w:type="character" w:styleId="IntenseEmphasis">
    <w:name w:val="Intense Emphasis"/>
    <w:basedOn w:val="DefaultParagraphFont"/>
    <w:uiPriority w:val="21"/>
    <w:qFormat/>
    <w:rsid w:val="007F3FFF"/>
    <w:rPr>
      <w:i/>
      <w:iCs/>
      <w:color w:val="0F4761" w:themeColor="accent1" w:themeShade="BF"/>
    </w:rPr>
  </w:style>
  <w:style w:type="paragraph" w:styleId="IntenseQuote">
    <w:name w:val="Intense Quote"/>
    <w:basedOn w:val="Normal"/>
    <w:next w:val="Normal"/>
    <w:link w:val="IntenseQuoteChar"/>
    <w:uiPriority w:val="30"/>
    <w:qFormat/>
    <w:rsid w:val="007F3F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3FFF"/>
    <w:rPr>
      <w:i/>
      <w:iCs/>
      <w:color w:val="0F4761" w:themeColor="accent1" w:themeShade="BF"/>
    </w:rPr>
  </w:style>
  <w:style w:type="character" w:styleId="IntenseReference">
    <w:name w:val="Intense Reference"/>
    <w:basedOn w:val="DefaultParagraphFont"/>
    <w:uiPriority w:val="32"/>
    <w:qFormat/>
    <w:rsid w:val="007F3FF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676</Words>
  <Characters>3854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 Gray</dc:creator>
  <cp:keywords/>
  <dc:description/>
  <cp:lastModifiedBy>Leigh | Strategic Growth Partners</cp:lastModifiedBy>
  <cp:revision>2</cp:revision>
  <dcterms:created xsi:type="dcterms:W3CDTF">2026-04-17T02:03:00Z</dcterms:created>
  <dcterms:modified xsi:type="dcterms:W3CDTF">2026-04-17T02:03:00Z</dcterms:modified>
</cp:coreProperties>
</file>