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C3EB8" w14:textId="033ACBB3" w:rsidR="00562779" w:rsidRPr="00562779" w:rsidRDefault="00562779" w:rsidP="008F0392">
      <w:pPr>
        <w:adjustRightInd w:val="0"/>
        <w:spacing w:after="0" w:line="360" w:lineRule="auto"/>
        <w:contextualSpacing/>
        <w:jc w:val="both"/>
        <w:rPr>
          <w:rFonts w:ascii="Calibri" w:hAnsi="Calibri" w:cs="Calibri"/>
          <w:sz w:val="22"/>
          <w:szCs w:val="22"/>
        </w:rPr>
      </w:pPr>
      <w:r w:rsidRPr="00562779">
        <w:rPr>
          <w:rFonts w:ascii="Calibri" w:hAnsi="Calibri" w:cs="Calibri"/>
          <w:b/>
          <w:bCs/>
          <w:sz w:val="22"/>
          <w:szCs w:val="22"/>
        </w:rPr>
        <w:t>Title</w:t>
      </w:r>
      <w:r w:rsidRPr="00562779">
        <w:rPr>
          <w:rFonts w:ascii="Calibri" w:hAnsi="Calibri" w:cs="Calibri"/>
          <w:sz w:val="22"/>
          <w:szCs w:val="22"/>
        </w:rPr>
        <w:t>: Mosaic of Inclusive Belonging: Scaling Lifelong Career Ecosystems for Culturally Diverse Communities and Age-Diverse Groups</w:t>
      </w:r>
    </w:p>
    <w:p w14:paraId="0D3F12C1" w14:textId="77777777" w:rsidR="00562779" w:rsidRPr="00562779" w:rsidRDefault="00562779" w:rsidP="008F0392">
      <w:pPr>
        <w:adjustRightInd w:val="0"/>
        <w:spacing w:after="0" w:line="360" w:lineRule="auto"/>
        <w:contextualSpacing/>
        <w:jc w:val="both"/>
        <w:rPr>
          <w:rFonts w:ascii="Calibri" w:hAnsi="Calibri" w:cs="Calibri"/>
          <w:sz w:val="22"/>
          <w:szCs w:val="22"/>
        </w:rPr>
      </w:pPr>
      <w:r w:rsidRPr="00562779">
        <w:rPr>
          <w:rFonts w:ascii="Calibri" w:hAnsi="Calibri" w:cs="Calibri"/>
          <w:b/>
          <w:bCs/>
          <w:sz w:val="22"/>
          <w:szCs w:val="22"/>
        </w:rPr>
        <w:t>Theme</w:t>
      </w:r>
      <w:r w:rsidRPr="00562779">
        <w:rPr>
          <w:rFonts w:ascii="Calibri" w:hAnsi="Calibri" w:cs="Calibri"/>
          <w:sz w:val="22"/>
          <w:szCs w:val="22"/>
        </w:rPr>
        <w:t xml:space="preserve">: Best Practice – </w:t>
      </w:r>
      <w:proofErr w:type="spellStart"/>
      <w:r w:rsidRPr="00562779">
        <w:rPr>
          <w:rFonts w:ascii="Calibri" w:hAnsi="Calibri" w:cs="Calibri"/>
          <w:sz w:val="22"/>
          <w:szCs w:val="22"/>
        </w:rPr>
        <w:t>Tupuānuku</w:t>
      </w:r>
      <w:proofErr w:type="spellEnd"/>
    </w:p>
    <w:p w14:paraId="47BF3DE5" w14:textId="77777777" w:rsidR="00562779" w:rsidRPr="00562779" w:rsidRDefault="00562779" w:rsidP="008F0392">
      <w:pPr>
        <w:adjustRightInd w:val="0"/>
        <w:spacing w:after="0" w:line="360" w:lineRule="auto"/>
        <w:contextualSpacing/>
        <w:jc w:val="both"/>
        <w:rPr>
          <w:rFonts w:ascii="Calibri" w:hAnsi="Calibri" w:cs="Calibri"/>
          <w:sz w:val="22"/>
          <w:szCs w:val="22"/>
        </w:rPr>
      </w:pPr>
      <w:r w:rsidRPr="00562779">
        <w:rPr>
          <w:rFonts w:ascii="Calibri" w:hAnsi="Calibri" w:cs="Calibri"/>
          <w:b/>
          <w:bCs/>
          <w:sz w:val="22"/>
          <w:szCs w:val="22"/>
        </w:rPr>
        <w:t>Keywords</w:t>
      </w:r>
      <w:r w:rsidRPr="00562779">
        <w:rPr>
          <w:rFonts w:ascii="Calibri" w:hAnsi="Calibri" w:cs="Calibri"/>
          <w:sz w:val="22"/>
          <w:szCs w:val="22"/>
        </w:rPr>
        <w:t>: lifelong career development, inclusive ecosystem, micro-interventions, lived experience, cross-generational belonging</w:t>
      </w:r>
    </w:p>
    <w:p w14:paraId="0EB6547C" w14:textId="7928078E" w:rsidR="00562779" w:rsidRPr="00562779" w:rsidRDefault="00562779" w:rsidP="008F0392">
      <w:pPr>
        <w:adjustRightInd w:val="0"/>
        <w:spacing w:after="0" w:line="360" w:lineRule="auto"/>
        <w:contextualSpacing/>
        <w:jc w:val="both"/>
        <w:rPr>
          <w:rFonts w:ascii="Calibri" w:hAnsi="Calibri" w:cs="Calibri" w:hint="eastAsia"/>
          <w:sz w:val="22"/>
          <w:szCs w:val="22"/>
        </w:rPr>
      </w:pPr>
      <w:r w:rsidRPr="00562779">
        <w:rPr>
          <w:rFonts w:ascii="Calibri" w:hAnsi="Calibri" w:cs="Calibri"/>
          <w:b/>
          <w:bCs/>
          <w:sz w:val="22"/>
          <w:szCs w:val="22"/>
        </w:rPr>
        <w:t>Abstract</w:t>
      </w:r>
      <w:r w:rsidR="00A70339">
        <w:rPr>
          <w:rFonts w:ascii="Calibri" w:hAnsi="Calibri" w:cs="Calibri" w:hint="eastAsia"/>
          <w:b/>
          <w:bCs/>
          <w:sz w:val="22"/>
          <w:szCs w:val="22"/>
        </w:rPr>
        <w:t>:</w:t>
      </w:r>
    </w:p>
    <w:p w14:paraId="54A692E3" w14:textId="77777777" w:rsidR="00626F47" w:rsidRDefault="00626F47" w:rsidP="008F0392">
      <w:pPr>
        <w:adjustRightInd w:val="0"/>
        <w:spacing w:after="0" w:line="360" w:lineRule="auto"/>
        <w:contextualSpacing/>
        <w:jc w:val="both"/>
        <w:rPr>
          <w:rFonts w:ascii="Calibri" w:hAnsi="Calibri" w:cs="Calibri"/>
          <w:b/>
          <w:bCs/>
          <w:sz w:val="22"/>
          <w:szCs w:val="22"/>
        </w:rPr>
      </w:pPr>
      <w:r w:rsidRPr="00626F47">
        <w:rPr>
          <w:rFonts w:ascii="Calibri" w:hAnsi="Calibri" w:cs="Calibri"/>
          <w:b/>
          <w:bCs/>
          <w:sz w:val="22"/>
          <w:szCs w:val="22"/>
        </w:rPr>
        <w:t xml:space="preserve">Introduction: </w:t>
      </w:r>
      <w:r w:rsidRPr="00626F47">
        <w:rPr>
          <w:rFonts w:ascii="Calibri" w:hAnsi="Calibri" w:cs="Calibri"/>
          <w:sz w:val="22"/>
          <w:szCs w:val="22"/>
        </w:rPr>
        <w:t>In an era of rapid global transitions—such as aging societies, migration, and automation—career development must evolve into sustainable, interconnected systems. The Life Development Institute (LDI) and Hong Kong Life Planning Association (LPAHK) have successfully cultivated a macro-level "Lifelong Career Ecosystem." This model is driven by the strategic “Three Expansions” framework—expanding the macro ecosystem, professional capacity, and inclusive access. To support this framework, a “Train the Trainer” closed-loop approach (integrating training, fieldwork, feedback, and refinement) is deployed to build a robust community of capable practitioners and inject continuous momentum. Supported by extensive cross-sector partnerships, this workshop showcases how this network deploys targeted micro-interventions to serve culturally diverse youth and age-diverse groups.</w:t>
      </w:r>
    </w:p>
    <w:p w14:paraId="6EA4EA7F" w14:textId="382C4D7D" w:rsidR="00562779" w:rsidRPr="00562779" w:rsidRDefault="008F0392" w:rsidP="008F0392">
      <w:pPr>
        <w:adjustRightInd w:val="0"/>
        <w:spacing w:after="0" w:line="360" w:lineRule="auto"/>
        <w:contextualSpacing/>
        <w:jc w:val="both"/>
        <w:rPr>
          <w:rFonts w:ascii="Calibri" w:hAnsi="Calibri" w:cs="Calibri"/>
          <w:sz w:val="22"/>
          <w:szCs w:val="22"/>
        </w:rPr>
      </w:pPr>
      <w:r w:rsidRPr="008F0392">
        <w:rPr>
          <w:rFonts w:ascii="Calibri" w:hAnsi="Calibri" w:cs="Calibri"/>
          <w:b/>
          <w:bCs/>
          <w:sz w:val="22"/>
          <w:szCs w:val="22"/>
        </w:rPr>
        <w:t xml:space="preserve">Objectives: </w:t>
      </w:r>
      <w:r w:rsidR="00626F47" w:rsidRPr="00626F47">
        <w:rPr>
          <w:rFonts w:ascii="Calibri" w:hAnsi="Calibri" w:cs="Calibri"/>
          <w:sz w:val="22"/>
          <w:szCs w:val="22"/>
        </w:rPr>
        <w:t xml:space="preserve">The objectives are: (1) to illustrate how a macro-ecosystem can support tailored, evidence-based practices for transitioning cohorts; (2) to equip participants with an actionable, highly visual toolkit (the </w:t>
      </w:r>
      <w:r w:rsidR="00626F47" w:rsidRPr="00626F47">
        <w:rPr>
          <w:rFonts w:ascii="Calibri" w:hAnsi="Calibri" w:cs="Calibri"/>
          <w:i/>
          <w:iCs/>
          <w:sz w:val="22"/>
          <w:szCs w:val="22"/>
        </w:rPr>
        <w:t>Cross-Generational Career Mapping Canvas</w:t>
      </w:r>
      <w:r w:rsidR="00626F47" w:rsidRPr="00626F47">
        <w:rPr>
          <w:rFonts w:ascii="Calibri" w:hAnsi="Calibri" w:cs="Calibri"/>
          <w:sz w:val="22"/>
          <w:szCs w:val="22"/>
        </w:rPr>
        <w:t xml:space="preserve">); and (3) to stimulate dialogue on nurturing </w:t>
      </w:r>
      <w:proofErr w:type="spellStart"/>
      <w:r w:rsidR="00626F47" w:rsidRPr="00626F47">
        <w:rPr>
          <w:rFonts w:ascii="Calibri" w:hAnsi="Calibri" w:cs="Calibri"/>
          <w:sz w:val="22"/>
          <w:szCs w:val="22"/>
        </w:rPr>
        <w:t>localised</w:t>
      </w:r>
      <w:proofErr w:type="spellEnd"/>
      <w:r w:rsidR="00626F47" w:rsidRPr="00626F47">
        <w:rPr>
          <w:rFonts w:ascii="Calibri" w:hAnsi="Calibri" w:cs="Calibri"/>
          <w:sz w:val="22"/>
          <w:szCs w:val="22"/>
        </w:rPr>
        <w:t>, inclusive best practices (</w:t>
      </w:r>
      <w:proofErr w:type="spellStart"/>
      <w:r w:rsidR="00626F47" w:rsidRPr="00626F47">
        <w:rPr>
          <w:rFonts w:ascii="Calibri" w:hAnsi="Calibri" w:cs="Calibri"/>
          <w:i/>
          <w:iCs/>
          <w:sz w:val="22"/>
          <w:szCs w:val="22"/>
        </w:rPr>
        <w:t>Tupuānuku</w:t>
      </w:r>
      <w:proofErr w:type="spellEnd"/>
      <w:r w:rsidR="00626F47" w:rsidRPr="00626F47">
        <w:rPr>
          <w:rFonts w:ascii="Calibri" w:hAnsi="Calibri" w:cs="Calibri"/>
          <w:sz w:val="22"/>
          <w:szCs w:val="22"/>
        </w:rPr>
        <w:t>) for lifelong career development.</w:t>
      </w:r>
    </w:p>
    <w:p w14:paraId="4589F746" w14:textId="77777777" w:rsidR="00626F47" w:rsidRDefault="008F0392" w:rsidP="008F0392">
      <w:pPr>
        <w:adjustRightInd w:val="0"/>
        <w:spacing w:after="0" w:line="360" w:lineRule="auto"/>
        <w:contextualSpacing/>
        <w:jc w:val="both"/>
        <w:rPr>
          <w:rFonts w:ascii="Calibri" w:hAnsi="Calibri" w:cs="Calibri"/>
          <w:sz w:val="22"/>
          <w:szCs w:val="22"/>
        </w:rPr>
      </w:pPr>
      <w:r w:rsidRPr="008F0392">
        <w:rPr>
          <w:rFonts w:ascii="Calibri" w:hAnsi="Calibri" w:cs="Calibri"/>
          <w:b/>
          <w:bCs/>
          <w:sz w:val="22"/>
          <w:szCs w:val="22"/>
        </w:rPr>
        <w:t>Theoretical basis:</w:t>
      </w:r>
      <w:r w:rsidRPr="008F0392">
        <w:rPr>
          <w:rFonts w:ascii="Calibri" w:hAnsi="Calibri" w:cs="Calibri"/>
          <w:sz w:val="22"/>
          <w:szCs w:val="22"/>
        </w:rPr>
        <w:t xml:space="preserve"> </w:t>
      </w:r>
      <w:r w:rsidR="00626F47" w:rsidRPr="00626F47">
        <w:rPr>
          <w:rFonts w:ascii="Calibri" w:hAnsi="Calibri" w:cs="Calibri"/>
          <w:sz w:val="22"/>
          <w:szCs w:val="22"/>
        </w:rPr>
        <w:t xml:space="preserve">The model is underpinned by four key theoretical and conceptual frameworks: </w:t>
      </w:r>
      <w:r w:rsidR="00626F47" w:rsidRPr="00626F47">
        <w:rPr>
          <w:rFonts w:ascii="Calibri" w:hAnsi="Calibri" w:cs="Calibri"/>
          <w:b/>
          <w:bCs/>
          <w:sz w:val="22"/>
          <w:szCs w:val="22"/>
        </w:rPr>
        <w:t>(1) Life-Course Theory (Elder, 1998) f</w:t>
      </w:r>
      <w:r w:rsidR="00626F47" w:rsidRPr="00626F47">
        <w:rPr>
          <w:rFonts w:ascii="Calibri" w:hAnsi="Calibri" w:cs="Calibri"/>
          <w:sz w:val="22"/>
          <w:szCs w:val="22"/>
        </w:rPr>
        <w:t>orms the structural basis of the lifelong ecosystem;</w:t>
      </w:r>
      <w:r w:rsidR="00626F47" w:rsidRPr="00626F47">
        <w:rPr>
          <w:rFonts w:ascii="Calibri" w:hAnsi="Calibri" w:cs="Calibri"/>
          <w:b/>
          <w:bCs/>
          <w:sz w:val="22"/>
          <w:szCs w:val="22"/>
        </w:rPr>
        <w:t xml:space="preserve"> (2) Career Construction Theory (Savickas, 2013) </w:t>
      </w:r>
      <w:r w:rsidR="00626F47" w:rsidRPr="00626F47">
        <w:rPr>
          <w:rFonts w:ascii="Calibri" w:hAnsi="Calibri" w:cs="Calibri"/>
          <w:sz w:val="22"/>
          <w:szCs w:val="22"/>
        </w:rPr>
        <w:t xml:space="preserve">drives narrative meaning-making interventions; (3) The construct of </w:t>
      </w:r>
      <w:r w:rsidR="00626F47" w:rsidRPr="00626F47">
        <w:rPr>
          <w:rFonts w:ascii="Calibri" w:hAnsi="Calibri" w:cs="Calibri"/>
          <w:b/>
          <w:bCs/>
          <w:sz w:val="22"/>
          <w:szCs w:val="22"/>
        </w:rPr>
        <w:t>Work Volition</w:t>
      </w:r>
      <w:r w:rsidR="00626F47" w:rsidRPr="00626F47">
        <w:rPr>
          <w:rFonts w:ascii="Calibri" w:hAnsi="Calibri" w:cs="Calibri"/>
          <w:sz w:val="22"/>
          <w:szCs w:val="22"/>
        </w:rPr>
        <w:t xml:space="preserve"> (Duffy et al., 2012; Cheung et al., 2020) addresses systemic barriers faced by culturally diverse youth, fostering agency; and (4) The </w:t>
      </w:r>
      <w:r w:rsidR="00626F47" w:rsidRPr="00626F47">
        <w:rPr>
          <w:rFonts w:ascii="Calibri" w:hAnsi="Calibri" w:cs="Calibri"/>
          <w:b/>
          <w:bCs/>
          <w:sz w:val="22"/>
          <w:szCs w:val="22"/>
        </w:rPr>
        <w:lastRenderedPageBreak/>
        <w:t>Continuum Perspective of Career and Retirement</w:t>
      </w:r>
      <w:r w:rsidR="00626F47" w:rsidRPr="00626F47">
        <w:rPr>
          <w:rFonts w:ascii="Calibri" w:hAnsi="Calibri" w:cs="Calibri"/>
          <w:sz w:val="22"/>
          <w:szCs w:val="22"/>
        </w:rPr>
        <w:t xml:space="preserve"> (Lytle et al., 2015) provides the rationale for later-life transitions. </w:t>
      </w:r>
    </w:p>
    <w:p w14:paraId="36C6564D" w14:textId="77777777" w:rsidR="00A33A95" w:rsidRDefault="008F0392" w:rsidP="008F0392">
      <w:pPr>
        <w:adjustRightInd w:val="0"/>
        <w:spacing w:after="0" w:line="360" w:lineRule="auto"/>
        <w:contextualSpacing/>
        <w:jc w:val="both"/>
        <w:rPr>
          <w:rFonts w:ascii="Calibri" w:hAnsi="Calibri" w:cs="Calibri"/>
          <w:sz w:val="22"/>
          <w:szCs w:val="22"/>
        </w:rPr>
      </w:pPr>
      <w:r w:rsidRPr="008F0392">
        <w:rPr>
          <w:rFonts w:ascii="Calibri" w:hAnsi="Calibri" w:cs="Calibri"/>
          <w:b/>
          <w:bCs/>
          <w:sz w:val="22"/>
          <w:szCs w:val="22"/>
        </w:rPr>
        <w:t>Methodology:</w:t>
      </w:r>
      <w:r w:rsidRPr="008F0392">
        <w:rPr>
          <w:rFonts w:ascii="Calibri" w:hAnsi="Calibri" w:cs="Calibri"/>
          <w:sz w:val="22"/>
          <w:szCs w:val="22"/>
        </w:rPr>
        <w:t xml:space="preserve"> </w:t>
      </w:r>
      <w:r w:rsidR="00A76FA5" w:rsidRPr="00A76FA5">
        <w:rPr>
          <w:rFonts w:ascii="Calibri" w:hAnsi="Calibri" w:cs="Calibri"/>
          <w:sz w:val="22"/>
          <w:szCs w:val="22"/>
        </w:rPr>
        <w:t xml:space="preserve">Designed for career practitioners, educators, and community leaders, the Content dissects two mechanisms within the ecosystem: (A) A 6-week Design Thinking-based Ambassador Program where culturally diverse youth utilize empathy mapping and prototyping to overcome structural barriers; and (B) "Human Library" sessions facilitating narrative reconstruction for age-diverse adults. Crucially, these sessions empower older adults to re-author their identities and transition into active contributors (e.g., mentors) who sustain the ecosystem’s “Train the Trainer” loop. The Format is highly experiential: participants will engage in Role-Play Stations, Co-Design Labs </w:t>
      </w:r>
      <w:proofErr w:type="spellStart"/>
      <w:r w:rsidR="00A76FA5" w:rsidRPr="00A76FA5">
        <w:rPr>
          <w:rFonts w:ascii="Calibri" w:hAnsi="Calibri" w:cs="Calibri"/>
          <w:sz w:val="22"/>
          <w:szCs w:val="22"/>
        </w:rPr>
        <w:t>utilising</w:t>
      </w:r>
      <w:proofErr w:type="spellEnd"/>
      <w:r w:rsidR="00A76FA5" w:rsidRPr="00A76FA5">
        <w:rPr>
          <w:rFonts w:ascii="Calibri" w:hAnsi="Calibri" w:cs="Calibri"/>
          <w:sz w:val="22"/>
          <w:szCs w:val="22"/>
        </w:rPr>
        <w:t xml:space="preserve"> the Career Mapping Canvas, and a Gallery Walk for structured peer feedback.</w:t>
      </w:r>
    </w:p>
    <w:p w14:paraId="006A8EBB" w14:textId="25E75576" w:rsidR="009F7E9F" w:rsidRPr="00A33A95" w:rsidRDefault="008F0392" w:rsidP="008F0392">
      <w:pPr>
        <w:adjustRightInd w:val="0"/>
        <w:spacing w:after="0" w:line="360" w:lineRule="auto"/>
        <w:contextualSpacing/>
        <w:jc w:val="both"/>
        <w:rPr>
          <w:rFonts w:ascii="Calibri" w:hAnsi="Calibri" w:cs="Calibri"/>
          <w:sz w:val="22"/>
          <w:szCs w:val="22"/>
        </w:rPr>
      </w:pPr>
      <w:r w:rsidRPr="008F0392">
        <w:rPr>
          <w:rFonts w:ascii="Calibri" w:hAnsi="Calibri" w:cs="Calibri"/>
          <w:b/>
          <w:bCs/>
          <w:sz w:val="22"/>
          <w:szCs w:val="22"/>
        </w:rPr>
        <w:t>Results:</w:t>
      </w:r>
      <w:r w:rsidRPr="008F0392">
        <w:rPr>
          <w:rFonts w:ascii="Calibri" w:hAnsi="Calibri" w:cs="Calibri"/>
          <w:sz w:val="22"/>
          <w:szCs w:val="22"/>
        </w:rPr>
        <w:t xml:space="preserve"> </w:t>
      </w:r>
      <w:r w:rsidR="00A76FA5" w:rsidRPr="00A76FA5">
        <w:rPr>
          <w:rFonts w:ascii="Calibri" w:hAnsi="Calibri" w:cs="Calibri"/>
          <w:sz w:val="22"/>
          <w:szCs w:val="22"/>
        </w:rPr>
        <w:t xml:space="preserve">While the broader LDI and LPAHK ecosystem encompasses 700+ cross-sector partners and reaches over 100,000 individuals region-wide, evaluation of these specific targeted </w:t>
      </w:r>
      <w:proofErr w:type="spellStart"/>
      <w:r w:rsidR="00A76FA5" w:rsidRPr="00A76FA5">
        <w:rPr>
          <w:rFonts w:ascii="Calibri" w:hAnsi="Calibri" w:cs="Calibri"/>
          <w:sz w:val="22"/>
          <w:szCs w:val="22"/>
        </w:rPr>
        <w:t>programmes</w:t>
      </w:r>
      <w:proofErr w:type="spellEnd"/>
      <w:r w:rsidR="00A76FA5" w:rsidRPr="00A76FA5">
        <w:rPr>
          <w:rFonts w:ascii="Calibri" w:hAnsi="Calibri" w:cs="Calibri"/>
          <w:sz w:val="22"/>
          <w:szCs w:val="22"/>
        </w:rPr>
        <w:t xml:space="preserve"> demonstrated measurable gains in resilience, work volition, and social belonging, validated via pre/post surveys. Authentic participant voices highlight the efficacy of these ecosystem-backed interventions in fostering meaningful engagement across life stages.</w:t>
      </w:r>
    </w:p>
    <w:p w14:paraId="309C8FC5" w14:textId="77777777" w:rsidR="00A33A95" w:rsidRDefault="008F0392" w:rsidP="008F0392">
      <w:pPr>
        <w:adjustRightInd w:val="0"/>
        <w:spacing w:after="0" w:line="360" w:lineRule="auto"/>
        <w:contextualSpacing/>
        <w:jc w:val="both"/>
        <w:rPr>
          <w:rFonts w:ascii="Calibri" w:hAnsi="Calibri" w:cs="Calibri"/>
          <w:b/>
          <w:bCs/>
          <w:sz w:val="22"/>
          <w:szCs w:val="22"/>
        </w:rPr>
      </w:pPr>
      <w:r w:rsidRPr="008F0392">
        <w:rPr>
          <w:rFonts w:ascii="Calibri" w:hAnsi="Calibri" w:cs="Calibri"/>
          <w:b/>
          <w:bCs/>
          <w:sz w:val="22"/>
          <w:szCs w:val="22"/>
        </w:rPr>
        <w:t>Conclusions:</w:t>
      </w:r>
      <w:r w:rsidRPr="008F0392">
        <w:rPr>
          <w:rFonts w:ascii="Calibri" w:hAnsi="Calibri" w:cs="Calibri"/>
          <w:sz w:val="22"/>
          <w:szCs w:val="22"/>
        </w:rPr>
        <w:t xml:space="preserve"> </w:t>
      </w:r>
      <w:r w:rsidR="00A76FA5" w:rsidRPr="00A76FA5">
        <w:rPr>
          <w:rFonts w:ascii="Calibri" w:hAnsi="Calibri" w:cs="Calibri"/>
          <w:sz w:val="22"/>
          <w:szCs w:val="22"/>
        </w:rPr>
        <w:t xml:space="preserve">Hong Kong’s approach demonstrates that a lifelong career ecosystem is an actionable, scalable network. Embodying the spirit of </w:t>
      </w:r>
      <w:proofErr w:type="spellStart"/>
      <w:r w:rsidR="00A76FA5" w:rsidRPr="00A76FA5">
        <w:rPr>
          <w:rFonts w:ascii="Calibri" w:hAnsi="Calibri" w:cs="Calibri"/>
          <w:i/>
          <w:iCs/>
          <w:sz w:val="22"/>
          <w:szCs w:val="22"/>
        </w:rPr>
        <w:t>Tupuānuku</w:t>
      </w:r>
      <w:proofErr w:type="spellEnd"/>
      <w:r w:rsidR="00A76FA5" w:rsidRPr="00A76FA5">
        <w:rPr>
          <w:rFonts w:ascii="Calibri" w:hAnsi="Calibri" w:cs="Calibri"/>
          <w:sz w:val="22"/>
          <w:szCs w:val="22"/>
        </w:rPr>
        <w:t>, it shows how locally grounded ecosystems and closed-loop strategies can be adapted to nourish career development globally, transforming cultural wisdom into transnational, inclusive solutions.</w:t>
      </w:r>
    </w:p>
    <w:p w14:paraId="39986C02" w14:textId="29760B4F" w:rsidR="008F0392" w:rsidRPr="008F0392" w:rsidRDefault="00562779" w:rsidP="008F0392">
      <w:pPr>
        <w:adjustRightInd w:val="0"/>
        <w:spacing w:after="0" w:line="360" w:lineRule="auto"/>
        <w:contextualSpacing/>
        <w:jc w:val="both"/>
        <w:rPr>
          <w:rFonts w:ascii="Calibri" w:hAnsi="Calibri" w:cs="Calibri"/>
          <w:sz w:val="22"/>
          <w:szCs w:val="22"/>
        </w:rPr>
      </w:pPr>
      <w:r w:rsidRPr="00562779">
        <w:rPr>
          <w:rFonts w:ascii="Calibri" w:hAnsi="Calibri" w:cs="Calibri"/>
          <w:b/>
          <w:bCs/>
          <w:sz w:val="22"/>
          <w:szCs w:val="22"/>
        </w:rPr>
        <w:t>Bibliographical References</w:t>
      </w:r>
      <w:r w:rsidR="008F0392" w:rsidRPr="008F0392">
        <w:rPr>
          <w:rFonts w:ascii="Calibri" w:hAnsi="Calibri" w:cs="Calibri"/>
          <w:b/>
          <w:bCs/>
          <w:sz w:val="22"/>
          <w:szCs w:val="22"/>
        </w:rPr>
        <w:t>:</w:t>
      </w:r>
      <w:r w:rsidRPr="00562779">
        <w:rPr>
          <w:rFonts w:ascii="Calibri" w:hAnsi="Calibri" w:cs="Calibri"/>
          <w:sz w:val="22"/>
          <w:szCs w:val="22"/>
        </w:rPr>
        <w:t xml:space="preserve"> (APA 7) </w:t>
      </w:r>
    </w:p>
    <w:p w14:paraId="77E93173" w14:textId="3E01528D" w:rsidR="00A8403C" w:rsidRPr="00A8403C" w:rsidRDefault="00A8403C" w:rsidP="00A8403C">
      <w:pPr>
        <w:adjustRightInd w:val="0"/>
        <w:spacing w:after="0" w:line="360" w:lineRule="auto"/>
        <w:contextualSpacing/>
        <w:jc w:val="both"/>
        <w:rPr>
          <w:rFonts w:ascii="Calibri" w:hAnsi="Calibri" w:cs="Calibri"/>
          <w:sz w:val="22"/>
          <w:szCs w:val="22"/>
        </w:rPr>
      </w:pPr>
      <w:r w:rsidRPr="00A8403C">
        <w:rPr>
          <w:rFonts w:ascii="Calibri" w:hAnsi="Calibri" w:cs="Calibri"/>
          <w:sz w:val="22"/>
          <w:szCs w:val="22"/>
        </w:rPr>
        <w:t xml:space="preserve">Cheung, F., Ngo, H. Y., &amp; Leung, A. (2020). Predicting work volition among undergraduate students in the United States and Hong Kong. </w:t>
      </w:r>
      <w:r w:rsidRPr="00A8403C">
        <w:rPr>
          <w:rFonts w:ascii="Calibri" w:hAnsi="Calibri" w:cs="Calibri"/>
          <w:i/>
          <w:iCs/>
          <w:sz w:val="22"/>
          <w:szCs w:val="22"/>
        </w:rPr>
        <w:t>Journal of Career Development, 47</w:t>
      </w:r>
      <w:r w:rsidRPr="00A8403C">
        <w:rPr>
          <w:rFonts w:ascii="Calibri" w:hAnsi="Calibri" w:cs="Calibri"/>
          <w:sz w:val="22"/>
          <w:szCs w:val="22"/>
        </w:rPr>
        <w:t>(5), 565-578.</w:t>
      </w:r>
    </w:p>
    <w:p w14:paraId="481AEE9B" w14:textId="62C69826" w:rsidR="00A8403C" w:rsidRPr="00A8403C" w:rsidRDefault="00A8403C" w:rsidP="00A8403C">
      <w:pPr>
        <w:adjustRightInd w:val="0"/>
        <w:spacing w:after="0" w:line="360" w:lineRule="auto"/>
        <w:contextualSpacing/>
        <w:jc w:val="both"/>
        <w:rPr>
          <w:rFonts w:ascii="Calibri" w:hAnsi="Calibri" w:cs="Calibri"/>
          <w:sz w:val="22"/>
          <w:szCs w:val="22"/>
        </w:rPr>
      </w:pPr>
      <w:r>
        <w:rPr>
          <w:rFonts w:ascii="Calibri" w:hAnsi="Calibri" w:cs="Calibri" w:hint="eastAsia"/>
          <w:sz w:val="22"/>
          <w:szCs w:val="22"/>
        </w:rPr>
        <w:t>D</w:t>
      </w:r>
      <w:r w:rsidRPr="00A8403C">
        <w:rPr>
          <w:rFonts w:ascii="Calibri" w:hAnsi="Calibri" w:cs="Calibri"/>
          <w:sz w:val="22"/>
          <w:szCs w:val="22"/>
        </w:rPr>
        <w:t xml:space="preserve">uffy, R. D., Diemer, M. A., &amp; </w:t>
      </w:r>
      <w:proofErr w:type="spellStart"/>
      <w:r w:rsidRPr="00A8403C">
        <w:rPr>
          <w:rFonts w:ascii="Calibri" w:hAnsi="Calibri" w:cs="Calibri"/>
          <w:sz w:val="22"/>
          <w:szCs w:val="22"/>
        </w:rPr>
        <w:t>Jadidian</w:t>
      </w:r>
      <w:proofErr w:type="spellEnd"/>
      <w:r w:rsidRPr="00A8403C">
        <w:rPr>
          <w:rFonts w:ascii="Calibri" w:hAnsi="Calibri" w:cs="Calibri"/>
          <w:sz w:val="22"/>
          <w:szCs w:val="22"/>
        </w:rPr>
        <w:t xml:space="preserve">, A. (2012). The development and initial validation of the Work Volition Scale–Student Version. </w:t>
      </w:r>
      <w:r w:rsidRPr="00A8403C">
        <w:rPr>
          <w:rFonts w:ascii="Calibri" w:hAnsi="Calibri" w:cs="Calibri"/>
          <w:i/>
          <w:iCs/>
          <w:sz w:val="22"/>
          <w:szCs w:val="22"/>
        </w:rPr>
        <w:t>The Counseling Psychologist, 40</w:t>
      </w:r>
      <w:r w:rsidRPr="00A8403C">
        <w:rPr>
          <w:rFonts w:ascii="Calibri" w:hAnsi="Calibri" w:cs="Calibri"/>
          <w:sz w:val="22"/>
          <w:szCs w:val="22"/>
        </w:rPr>
        <w:t>(2), 291-319.</w:t>
      </w:r>
    </w:p>
    <w:p w14:paraId="4C408474" w14:textId="5630B63A" w:rsidR="00A8403C" w:rsidRPr="00A8403C" w:rsidRDefault="00A8403C" w:rsidP="00A8403C">
      <w:pPr>
        <w:adjustRightInd w:val="0"/>
        <w:spacing w:after="0" w:line="360" w:lineRule="auto"/>
        <w:contextualSpacing/>
        <w:jc w:val="both"/>
        <w:rPr>
          <w:rFonts w:ascii="Calibri" w:hAnsi="Calibri" w:cs="Calibri"/>
          <w:sz w:val="22"/>
          <w:szCs w:val="22"/>
        </w:rPr>
      </w:pPr>
      <w:r>
        <w:rPr>
          <w:rFonts w:ascii="Calibri" w:hAnsi="Calibri" w:cs="Calibri" w:hint="eastAsia"/>
          <w:sz w:val="22"/>
          <w:szCs w:val="22"/>
        </w:rPr>
        <w:t>E</w:t>
      </w:r>
      <w:r w:rsidRPr="00A8403C">
        <w:rPr>
          <w:rFonts w:ascii="Calibri" w:hAnsi="Calibri" w:cs="Calibri"/>
          <w:sz w:val="22"/>
          <w:szCs w:val="22"/>
        </w:rPr>
        <w:t xml:space="preserve">lder, G. H., Jr. (1998). The life course as developmental theory. </w:t>
      </w:r>
      <w:r w:rsidRPr="00A8403C">
        <w:rPr>
          <w:rFonts w:ascii="Calibri" w:hAnsi="Calibri" w:cs="Calibri"/>
          <w:i/>
          <w:iCs/>
          <w:sz w:val="22"/>
          <w:szCs w:val="22"/>
        </w:rPr>
        <w:t>Child Development, 69</w:t>
      </w:r>
      <w:r w:rsidRPr="00A8403C">
        <w:rPr>
          <w:rFonts w:ascii="Calibri" w:hAnsi="Calibri" w:cs="Calibri"/>
          <w:sz w:val="22"/>
          <w:szCs w:val="22"/>
        </w:rPr>
        <w:t>(1), 1–</w:t>
      </w:r>
      <w:r w:rsidRPr="00A8403C">
        <w:rPr>
          <w:rFonts w:ascii="Calibri" w:hAnsi="Calibri" w:cs="Calibri"/>
          <w:sz w:val="22"/>
          <w:szCs w:val="22"/>
        </w:rPr>
        <w:lastRenderedPageBreak/>
        <w:t>12.</w:t>
      </w:r>
    </w:p>
    <w:p w14:paraId="62262F4E" w14:textId="726BE277" w:rsidR="00A8403C" w:rsidRPr="00A8403C" w:rsidRDefault="00A8403C" w:rsidP="00A8403C">
      <w:pPr>
        <w:adjustRightInd w:val="0"/>
        <w:spacing w:after="0" w:line="360" w:lineRule="auto"/>
        <w:contextualSpacing/>
        <w:jc w:val="both"/>
        <w:rPr>
          <w:rFonts w:ascii="Calibri" w:hAnsi="Calibri" w:cs="Calibri"/>
          <w:sz w:val="22"/>
          <w:szCs w:val="22"/>
        </w:rPr>
      </w:pPr>
      <w:r w:rsidRPr="00A8403C">
        <w:rPr>
          <w:rFonts w:ascii="Calibri" w:hAnsi="Calibri" w:cs="Calibri"/>
          <w:sz w:val="22"/>
          <w:szCs w:val="22"/>
        </w:rPr>
        <w:t xml:space="preserve">Lytle, M. C., Foley, P. F., &amp; Cotter, E. W. (2015). Career and retirement theories: Relevance for older workers across cultures. </w:t>
      </w:r>
      <w:r w:rsidRPr="00A8403C">
        <w:rPr>
          <w:rFonts w:ascii="Calibri" w:hAnsi="Calibri" w:cs="Calibri"/>
          <w:i/>
          <w:iCs/>
          <w:sz w:val="22"/>
          <w:szCs w:val="22"/>
        </w:rPr>
        <w:t>Journal of Career Development, 42</w:t>
      </w:r>
      <w:r w:rsidRPr="00A8403C">
        <w:rPr>
          <w:rFonts w:ascii="Calibri" w:hAnsi="Calibri" w:cs="Calibri"/>
          <w:sz w:val="22"/>
          <w:szCs w:val="22"/>
        </w:rPr>
        <w:t>(3), 185-198.</w:t>
      </w:r>
    </w:p>
    <w:p w14:paraId="6DF1A304" w14:textId="3C4B97C6" w:rsidR="00A8403C" w:rsidRPr="00A8403C" w:rsidRDefault="00A8403C" w:rsidP="00A8403C">
      <w:pPr>
        <w:adjustRightInd w:val="0"/>
        <w:spacing w:after="0" w:line="360" w:lineRule="auto"/>
        <w:contextualSpacing/>
        <w:jc w:val="both"/>
        <w:rPr>
          <w:rFonts w:ascii="Calibri" w:hAnsi="Calibri" w:cs="Calibri"/>
          <w:sz w:val="22"/>
          <w:szCs w:val="22"/>
        </w:rPr>
      </w:pPr>
      <w:r w:rsidRPr="00A8403C">
        <w:rPr>
          <w:rFonts w:ascii="Calibri" w:hAnsi="Calibri" w:cs="Calibri"/>
          <w:sz w:val="22"/>
          <w:szCs w:val="22"/>
        </w:rPr>
        <w:t xml:space="preserve">Savickas, M. L. (2013). Career construction theory and practice. In R. W. Lent &amp; S. D. Brown (Eds.), </w:t>
      </w:r>
      <w:r w:rsidRPr="00A8403C">
        <w:rPr>
          <w:rFonts w:ascii="Calibri" w:hAnsi="Calibri" w:cs="Calibri"/>
          <w:i/>
          <w:iCs/>
          <w:sz w:val="22"/>
          <w:szCs w:val="22"/>
        </w:rPr>
        <w:t>Career development and counseling: Putting theory and research to work</w:t>
      </w:r>
      <w:r w:rsidRPr="00A8403C">
        <w:rPr>
          <w:rFonts w:ascii="Calibri" w:hAnsi="Calibri" w:cs="Calibri"/>
          <w:sz w:val="22"/>
          <w:szCs w:val="22"/>
        </w:rPr>
        <w:t xml:space="preserve"> (2nd ed., pp. 147-183). John Wiley &amp; Sons.</w:t>
      </w:r>
    </w:p>
    <w:p w14:paraId="15F80DA4" w14:textId="77777777" w:rsidR="00DD6D59" w:rsidRPr="008F0392" w:rsidRDefault="00DD6D59" w:rsidP="00A8403C">
      <w:pPr>
        <w:adjustRightInd w:val="0"/>
        <w:spacing w:after="0" w:line="360" w:lineRule="auto"/>
        <w:contextualSpacing/>
        <w:jc w:val="both"/>
        <w:rPr>
          <w:rFonts w:ascii="Calibri" w:hAnsi="Calibri" w:cs="Calibri"/>
          <w:sz w:val="22"/>
          <w:szCs w:val="22"/>
        </w:rPr>
      </w:pPr>
    </w:p>
    <w:sectPr w:rsidR="00DD6D59" w:rsidRPr="008F0392">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779"/>
    <w:rsid w:val="0018041D"/>
    <w:rsid w:val="00444D9C"/>
    <w:rsid w:val="00562779"/>
    <w:rsid w:val="006234D5"/>
    <w:rsid w:val="00626F47"/>
    <w:rsid w:val="006A3790"/>
    <w:rsid w:val="008F0392"/>
    <w:rsid w:val="009F7E9F"/>
    <w:rsid w:val="00A33A95"/>
    <w:rsid w:val="00A70339"/>
    <w:rsid w:val="00A76FA5"/>
    <w:rsid w:val="00A8403C"/>
    <w:rsid w:val="00C61AE9"/>
    <w:rsid w:val="00DD6D59"/>
    <w:rsid w:val="00E01C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506AD"/>
  <w15:chartTrackingRefBased/>
  <w15:docId w15:val="{F403CD4C-3A7F-4C87-A5EC-2CC84B99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6277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6277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62779"/>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562779"/>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56277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62779"/>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62779"/>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2779"/>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62779"/>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62779"/>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562779"/>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562779"/>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562779"/>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562779"/>
    <w:rPr>
      <w:rFonts w:eastAsiaTheme="majorEastAsia" w:cstheme="majorBidi"/>
      <w:color w:val="0F4761" w:themeColor="accent1" w:themeShade="BF"/>
    </w:rPr>
  </w:style>
  <w:style w:type="character" w:customStyle="1" w:styleId="60">
    <w:name w:val="標題 6 字元"/>
    <w:basedOn w:val="a0"/>
    <w:link w:val="6"/>
    <w:uiPriority w:val="9"/>
    <w:semiHidden/>
    <w:rsid w:val="00562779"/>
    <w:rPr>
      <w:rFonts w:eastAsiaTheme="majorEastAsia" w:cstheme="majorBidi"/>
      <w:color w:val="595959" w:themeColor="text1" w:themeTint="A6"/>
    </w:rPr>
  </w:style>
  <w:style w:type="character" w:customStyle="1" w:styleId="70">
    <w:name w:val="標題 7 字元"/>
    <w:basedOn w:val="a0"/>
    <w:link w:val="7"/>
    <w:uiPriority w:val="9"/>
    <w:semiHidden/>
    <w:rsid w:val="00562779"/>
    <w:rPr>
      <w:rFonts w:eastAsiaTheme="majorEastAsia" w:cstheme="majorBidi"/>
      <w:color w:val="595959" w:themeColor="text1" w:themeTint="A6"/>
    </w:rPr>
  </w:style>
  <w:style w:type="character" w:customStyle="1" w:styleId="80">
    <w:name w:val="標題 8 字元"/>
    <w:basedOn w:val="a0"/>
    <w:link w:val="8"/>
    <w:uiPriority w:val="9"/>
    <w:semiHidden/>
    <w:rsid w:val="00562779"/>
    <w:rPr>
      <w:rFonts w:eastAsiaTheme="majorEastAsia" w:cstheme="majorBidi"/>
      <w:color w:val="272727" w:themeColor="text1" w:themeTint="D8"/>
    </w:rPr>
  </w:style>
  <w:style w:type="character" w:customStyle="1" w:styleId="90">
    <w:name w:val="標題 9 字元"/>
    <w:basedOn w:val="a0"/>
    <w:link w:val="9"/>
    <w:uiPriority w:val="9"/>
    <w:semiHidden/>
    <w:rsid w:val="00562779"/>
    <w:rPr>
      <w:rFonts w:eastAsiaTheme="majorEastAsia" w:cstheme="majorBidi"/>
      <w:color w:val="272727" w:themeColor="text1" w:themeTint="D8"/>
    </w:rPr>
  </w:style>
  <w:style w:type="paragraph" w:styleId="a3">
    <w:name w:val="Title"/>
    <w:basedOn w:val="a"/>
    <w:next w:val="a"/>
    <w:link w:val="a4"/>
    <w:uiPriority w:val="10"/>
    <w:qFormat/>
    <w:rsid w:val="0056277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627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277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6277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2779"/>
    <w:pPr>
      <w:spacing w:before="160"/>
      <w:jc w:val="center"/>
    </w:pPr>
    <w:rPr>
      <w:i/>
      <w:iCs/>
      <w:color w:val="404040" w:themeColor="text1" w:themeTint="BF"/>
    </w:rPr>
  </w:style>
  <w:style w:type="character" w:customStyle="1" w:styleId="a8">
    <w:name w:val="引文 字元"/>
    <w:basedOn w:val="a0"/>
    <w:link w:val="a7"/>
    <w:uiPriority w:val="29"/>
    <w:rsid w:val="00562779"/>
    <w:rPr>
      <w:i/>
      <w:iCs/>
      <w:color w:val="404040" w:themeColor="text1" w:themeTint="BF"/>
    </w:rPr>
  </w:style>
  <w:style w:type="paragraph" w:styleId="a9">
    <w:name w:val="List Paragraph"/>
    <w:basedOn w:val="a"/>
    <w:uiPriority w:val="34"/>
    <w:qFormat/>
    <w:rsid w:val="00562779"/>
    <w:pPr>
      <w:ind w:left="720"/>
      <w:contextualSpacing/>
    </w:pPr>
  </w:style>
  <w:style w:type="character" w:styleId="aa">
    <w:name w:val="Intense Emphasis"/>
    <w:basedOn w:val="a0"/>
    <w:uiPriority w:val="21"/>
    <w:qFormat/>
    <w:rsid w:val="00562779"/>
    <w:rPr>
      <w:i/>
      <w:iCs/>
      <w:color w:val="0F4761" w:themeColor="accent1" w:themeShade="BF"/>
    </w:rPr>
  </w:style>
  <w:style w:type="paragraph" w:styleId="ab">
    <w:name w:val="Intense Quote"/>
    <w:basedOn w:val="a"/>
    <w:next w:val="a"/>
    <w:link w:val="ac"/>
    <w:uiPriority w:val="30"/>
    <w:qFormat/>
    <w:rsid w:val="005627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562779"/>
    <w:rPr>
      <w:i/>
      <w:iCs/>
      <w:color w:val="0F4761" w:themeColor="accent1" w:themeShade="BF"/>
    </w:rPr>
  </w:style>
  <w:style w:type="character" w:styleId="ad">
    <w:name w:val="Intense Reference"/>
    <w:basedOn w:val="a0"/>
    <w:uiPriority w:val="32"/>
    <w:qFormat/>
    <w:rsid w:val="0056277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Sin</dc:creator>
  <cp:keywords/>
  <dc:description/>
  <cp:lastModifiedBy>Matthew Sin</cp:lastModifiedBy>
  <cp:revision>11</cp:revision>
  <dcterms:created xsi:type="dcterms:W3CDTF">2026-04-15T17:04:00Z</dcterms:created>
  <dcterms:modified xsi:type="dcterms:W3CDTF">2026-04-15T18:42:00Z</dcterms:modified>
</cp:coreProperties>
</file>