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C967D60" w:rsidP="641EA14A" w:rsidRDefault="4C967D60" w14:paraId="3A8C4750" w14:textId="550670E5">
      <w:pPr>
        <w:pStyle w:val="Normal"/>
        <w:spacing w:line="360" w:lineRule="auto"/>
        <w:jc w:val="center"/>
        <w:rPr>
          <w:rFonts w:ascii="Calibri" w:hAnsi="Calibri" w:eastAsia="Calibri" w:cs="Calibri"/>
          <w:sz w:val="22"/>
          <w:szCs w:val="22"/>
        </w:rPr>
      </w:pPr>
      <w:r w:rsidRPr="641EA14A" w:rsidR="37B8BD6D">
        <w:rPr>
          <w:rFonts w:ascii="Calibri" w:hAnsi="Calibri" w:eastAsia="Calibri" w:cs="Calibri"/>
          <w:sz w:val="22"/>
          <w:szCs w:val="22"/>
        </w:rPr>
        <w:t xml:space="preserve">From Global Talent to Local Opportunity: Strengthening Employability Outcomes for International </w:t>
      </w:r>
      <w:r w:rsidRPr="641EA14A" w:rsidR="1D663466">
        <w:rPr>
          <w:rFonts w:ascii="Calibri" w:hAnsi="Calibri" w:eastAsia="Calibri" w:cs="Calibri"/>
          <w:sz w:val="22"/>
          <w:szCs w:val="22"/>
        </w:rPr>
        <w:t xml:space="preserve">Students in Aotearoa New Zealand </w:t>
      </w:r>
    </w:p>
    <w:p w:rsidR="58359F8B" w:rsidP="641EA14A" w:rsidRDefault="58359F8B" w14:paraId="7B036383" w14:textId="000BC3A4">
      <w:pPr>
        <w:pStyle w:val="Normal"/>
        <w:spacing w:before="240" w:beforeAutospacing="off" w:after="240" w:afterAutospacing="off" w:line="360" w:lineRule="auto"/>
        <w:rPr>
          <w:rFonts w:ascii="Calibri" w:hAnsi="Calibri" w:eastAsia="Calibri" w:cs="Calibri"/>
          <w:b w:val="0"/>
          <w:bCs w:val="0"/>
          <w:noProof w:val="0"/>
          <w:sz w:val="22"/>
          <w:szCs w:val="22"/>
          <w:lang w:val="en-NZ"/>
        </w:rPr>
      </w:pPr>
      <w:r w:rsidRPr="641EA14A" w:rsidR="58359F8B">
        <w:rPr>
          <w:rFonts w:ascii="Calibri" w:hAnsi="Calibri" w:eastAsia="Calibri" w:cs="Calibri"/>
          <w:b w:val="0"/>
          <w:bCs w:val="0"/>
          <w:noProof w:val="0"/>
          <w:sz w:val="22"/>
          <w:szCs w:val="22"/>
          <w:lang w:val="en-NZ"/>
        </w:rPr>
        <w:t>International students face persistent challenges in transitioning from education to employment, including limited familiarity with local labour markets, difficulty navigating recruitment processes, and reduced access to meaningful work-integrated learning opportunities. Traditional career services, often optional and fragmented, are insufficient in addressing these systemic barriers. This workshop presents AIC’s Placement Ready Programme (PRP) as an embedded, practice-based model of employability and programme design, integrating career development into the learner journey through a structured pathway toward professional placement outcomes.</w:t>
      </w:r>
    </w:p>
    <w:p w:rsidR="58359F8B" w:rsidP="641EA14A" w:rsidRDefault="58359F8B" w14:paraId="20405605" w14:textId="7D81BF73">
      <w:pPr>
        <w:spacing w:before="240" w:beforeAutospacing="off" w:after="240" w:afterAutospacing="off" w:line="360" w:lineRule="auto"/>
        <w:rPr>
          <w:rFonts w:ascii="Calibri" w:hAnsi="Calibri" w:eastAsia="Calibri" w:cs="Calibri"/>
          <w:b w:val="0"/>
          <w:bCs w:val="0"/>
          <w:noProof w:val="0"/>
          <w:sz w:val="24"/>
          <w:szCs w:val="24"/>
          <w:lang w:val="en-NZ"/>
        </w:rPr>
      </w:pPr>
      <w:r w:rsidRPr="641EA14A" w:rsidR="58359F8B">
        <w:rPr>
          <w:rFonts w:ascii="Calibri" w:hAnsi="Calibri" w:eastAsia="Calibri" w:cs="Calibri"/>
          <w:b w:val="0"/>
          <w:bCs w:val="0"/>
          <w:noProof w:val="0"/>
          <w:sz w:val="22"/>
          <w:szCs w:val="22"/>
          <w:lang w:val="en-NZ"/>
        </w:rPr>
        <w:t xml:space="preserve">Framed by the </w:t>
      </w:r>
      <w:r w:rsidRPr="641EA14A" w:rsidR="58359F8B">
        <w:rPr>
          <w:rFonts w:ascii="Calibri" w:hAnsi="Calibri" w:eastAsia="Calibri" w:cs="Calibri"/>
          <w:b w:val="0"/>
          <w:bCs w:val="0"/>
          <w:noProof w:val="0"/>
          <w:sz w:val="22"/>
          <w:szCs w:val="22"/>
          <w:lang w:val="en-NZ"/>
        </w:rPr>
        <w:t>objectives</w:t>
      </w:r>
      <w:r w:rsidRPr="641EA14A" w:rsidR="58359F8B">
        <w:rPr>
          <w:rFonts w:ascii="Calibri" w:hAnsi="Calibri" w:eastAsia="Calibri" w:cs="Calibri"/>
          <w:b w:val="0"/>
          <w:bCs w:val="0"/>
          <w:noProof w:val="0"/>
          <w:sz w:val="22"/>
          <w:szCs w:val="22"/>
          <w:lang w:val="en-NZ"/>
        </w:rPr>
        <w:t xml:space="preserve"> of </w:t>
      </w:r>
      <w:r w:rsidRPr="641EA14A" w:rsidR="58359F8B">
        <w:rPr>
          <w:rFonts w:ascii="Calibri" w:hAnsi="Calibri" w:eastAsia="Calibri" w:cs="Calibri"/>
          <w:b w:val="0"/>
          <w:bCs w:val="0"/>
          <w:noProof w:val="0"/>
          <w:sz w:val="22"/>
          <w:szCs w:val="22"/>
          <w:lang w:val="en-NZ"/>
        </w:rPr>
        <w:t>demonstrating</w:t>
      </w:r>
      <w:r w:rsidRPr="641EA14A" w:rsidR="58359F8B">
        <w:rPr>
          <w:rFonts w:ascii="Calibri" w:hAnsi="Calibri" w:eastAsia="Calibri" w:cs="Calibri"/>
          <w:b w:val="0"/>
          <w:bCs w:val="0"/>
          <w:noProof w:val="0"/>
          <w:sz w:val="22"/>
          <w:szCs w:val="22"/>
          <w:lang w:val="en-NZ"/>
        </w:rPr>
        <w:t xml:space="preserve"> how Career Education, Information, Advice and Guidance (CEIAG) can be operationalised through an embedded programme model, the session </w:t>
      </w:r>
      <w:r w:rsidRPr="641EA14A" w:rsidR="58359F8B">
        <w:rPr>
          <w:rFonts w:ascii="Calibri" w:hAnsi="Calibri" w:eastAsia="Calibri" w:cs="Calibri"/>
          <w:b w:val="0"/>
          <w:bCs w:val="0"/>
          <w:noProof w:val="0"/>
          <w:sz w:val="22"/>
          <w:szCs w:val="22"/>
          <w:lang w:val="en-NZ"/>
        </w:rPr>
        <w:t>showcases</w:t>
      </w:r>
      <w:r w:rsidRPr="641EA14A" w:rsidR="58359F8B">
        <w:rPr>
          <w:rFonts w:ascii="Calibri" w:hAnsi="Calibri" w:eastAsia="Calibri" w:cs="Calibri"/>
          <w:b w:val="0"/>
          <w:bCs w:val="0"/>
          <w:noProof w:val="0"/>
          <w:sz w:val="22"/>
          <w:szCs w:val="22"/>
          <w:lang w:val="en-NZ"/>
        </w:rPr>
        <w:t xml:space="preserve"> PRP as a milestone-based approach to employability. It also invites participants to reflect on how similar models can be adapted to strengthen work-integrated learning and placement outcomes within their own contexts.</w:t>
      </w:r>
    </w:p>
    <w:p w:rsidR="58359F8B" w:rsidP="641EA14A" w:rsidRDefault="58359F8B" w14:paraId="75816754" w14:textId="14D82AEC">
      <w:pPr>
        <w:spacing w:before="240" w:beforeAutospacing="off" w:after="240" w:afterAutospacing="off" w:line="360" w:lineRule="auto"/>
        <w:rPr>
          <w:rFonts w:ascii="Calibri" w:hAnsi="Calibri" w:eastAsia="Calibri" w:cs="Calibri"/>
          <w:b w:val="0"/>
          <w:bCs w:val="0"/>
          <w:noProof w:val="0"/>
          <w:sz w:val="24"/>
          <w:szCs w:val="24"/>
          <w:lang w:val="en-NZ"/>
        </w:rPr>
      </w:pPr>
      <w:r w:rsidRPr="641EA14A" w:rsidR="58359F8B">
        <w:rPr>
          <w:rFonts w:ascii="Calibri" w:hAnsi="Calibri" w:eastAsia="Calibri" w:cs="Calibri"/>
          <w:b w:val="0"/>
          <w:bCs w:val="0"/>
          <w:noProof w:val="0"/>
          <w:sz w:val="22"/>
          <w:szCs w:val="22"/>
          <w:lang w:val="en-NZ"/>
        </w:rPr>
        <w:t xml:space="preserve">The </w:t>
      </w:r>
      <w:r w:rsidRPr="641EA14A" w:rsidR="58359F8B">
        <w:rPr>
          <w:rFonts w:ascii="Calibri" w:hAnsi="Calibri" w:eastAsia="Calibri" w:cs="Calibri"/>
          <w:b w:val="0"/>
          <w:bCs w:val="0"/>
          <w:noProof w:val="0"/>
          <w:sz w:val="22"/>
          <w:szCs w:val="22"/>
          <w:lang w:val="en-NZ"/>
        </w:rPr>
        <w:t>theoretical basis</w:t>
      </w:r>
      <w:r w:rsidRPr="641EA14A" w:rsidR="58359F8B">
        <w:rPr>
          <w:rFonts w:ascii="Calibri" w:hAnsi="Calibri" w:eastAsia="Calibri" w:cs="Calibri"/>
          <w:b w:val="0"/>
          <w:bCs w:val="0"/>
          <w:noProof w:val="0"/>
          <w:sz w:val="22"/>
          <w:szCs w:val="22"/>
          <w:lang w:val="en-NZ"/>
        </w:rPr>
        <w:t xml:space="preserve"> of PRP is grounded in the CEIAG framework, integrating education, information, advice, and guidance into a coherent and applied structure. Within the programme, these components are translated into clearly defined stages, supported activities, and measurable progression points, ensuring that employability development is continuous, intentional, and embedded within the learner experience.</w:t>
      </w:r>
    </w:p>
    <w:p w:rsidR="58359F8B" w:rsidP="641EA14A" w:rsidRDefault="58359F8B" w14:paraId="11E936A8" w14:textId="04B5BD58">
      <w:pPr>
        <w:spacing w:before="240" w:beforeAutospacing="off" w:after="240" w:afterAutospacing="off" w:line="360" w:lineRule="auto"/>
        <w:rPr>
          <w:rFonts w:ascii="Calibri" w:hAnsi="Calibri" w:eastAsia="Calibri" w:cs="Calibri"/>
          <w:b w:val="0"/>
          <w:bCs w:val="0"/>
          <w:noProof w:val="0"/>
          <w:sz w:val="24"/>
          <w:szCs w:val="24"/>
          <w:lang w:val="en-NZ"/>
        </w:rPr>
      </w:pPr>
      <w:r w:rsidRPr="641EA14A" w:rsidR="58359F8B">
        <w:rPr>
          <w:rFonts w:ascii="Calibri" w:hAnsi="Calibri" w:eastAsia="Calibri" w:cs="Calibri"/>
          <w:b w:val="0"/>
          <w:bCs w:val="0"/>
          <w:noProof w:val="0"/>
          <w:sz w:val="22"/>
          <w:szCs w:val="22"/>
          <w:lang w:val="en-NZ"/>
        </w:rPr>
        <w:t xml:space="preserve">In terms of </w:t>
      </w:r>
      <w:r w:rsidRPr="641EA14A" w:rsidR="58359F8B">
        <w:rPr>
          <w:rFonts w:ascii="Calibri" w:hAnsi="Calibri" w:eastAsia="Calibri" w:cs="Calibri"/>
          <w:b w:val="0"/>
          <w:bCs w:val="0"/>
          <w:noProof w:val="0"/>
          <w:sz w:val="22"/>
          <w:szCs w:val="22"/>
          <w:lang w:val="en-NZ"/>
        </w:rPr>
        <w:t>methodology</w:t>
      </w:r>
      <w:r w:rsidRPr="641EA14A" w:rsidR="58359F8B">
        <w:rPr>
          <w:rFonts w:ascii="Calibri" w:hAnsi="Calibri" w:eastAsia="Calibri" w:cs="Calibri"/>
          <w:b w:val="0"/>
          <w:bCs w:val="0"/>
          <w:noProof w:val="0"/>
          <w:sz w:val="22"/>
          <w:szCs w:val="22"/>
          <w:lang w:val="en-NZ"/>
        </w:rPr>
        <w:t>/practice</w:t>
      </w:r>
      <w:r w:rsidRPr="641EA14A" w:rsidR="58359F8B">
        <w:rPr>
          <w:rFonts w:ascii="Calibri" w:hAnsi="Calibri" w:eastAsia="Calibri" w:cs="Calibri"/>
          <w:b w:val="0"/>
          <w:bCs w:val="0"/>
          <w:noProof w:val="0"/>
          <w:sz w:val="22"/>
          <w:szCs w:val="22"/>
          <w:lang w:val="en-NZ"/>
        </w:rPr>
        <w:t xml:space="preserve">, PRP is delivered as a structured, milestone-based programme combining workshops, coaching, industry engagement, and applied tasks to scaffold progression toward employment. Seven sequenced milestones guide development across professional identity, CV development, labour market awareness and work rights, interview preparation, workplace communication and culture, networking and professional growth, and placement-relevant personal branding. Each stage is supported by applied outputs, feedback, and verification, ensuring development is </w:t>
      </w:r>
      <w:r w:rsidRPr="641EA14A" w:rsidR="58359F8B">
        <w:rPr>
          <w:rFonts w:ascii="Calibri" w:hAnsi="Calibri" w:eastAsia="Calibri" w:cs="Calibri"/>
          <w:b w:val="0"/>
          <w:bCs w:val="0"/>
          <w:noProof w:val="0"/>
          <w:sz w:val="22"/>
          <w:szCs w:val="22"/>
          <w:lang w:val="en-NZ"/>
        </w:rPr>
        <w:t>evidenced</w:t>
      </w:r>
      <w:r w:rsidRPr="641EA14A" w:rsidR="58359F8B">
        <w:rPr>
          <w:rFonts w:ascii="Calibri" w:hAnsi="Calibri" w:eastAsia="Calibri" w:cs="Calibri"/>
          <w:b w:val="0"/>
          <w:bCs w:val="0"/>
          <w:noProof w:val="0"/>
          <w:sz w:val="22"/>
          <w:szCs w:val="22"/>
          <w:lang w:val="en-NZ"/>
        </w:rPr>
        <w:t xml:space="preserve"> and progression is accountable. On completion, students are actively supported into targeted professional placement or employment opportunities aligned to their field of study and career goals.</w:t>
      </w:r>
    </w:p>
    <w:p w:rsidR="58359F8B" w:rsidP="641EA14A" w:rsidRDefault="58359F8B" w14:paraId="3C9E714B" w14:textId="19E8EA7F">
      <w:pPr>
        <w:spacing w:before="240" w:beforeAutospacing="off" w:after="240" w:afterAutospacing="off" w:line="360" w:lineRule="auto"/>
        <w:rPr>
          <w:rFonts w:ascii="Calibri" w:hAnsi="Calibri" w:eastAsia="Calibri" w:cs="Calibri"/>
          <w:b w:val="0"/>
          <w:bCs w:val="0"/>
          <w:noProof w:val="0"/>
          <w:sz w:val="24"/>
          <w:szCs w:val="24"/>
          <w:lang w:val="en-NZ"/>
        </w:rPr>
      </w:pPr>
      <w:r w:rsidRPr="641EA14A" w:rsidR="58359F8B">
        <w:rPr>
          <w:rFonts w:ascii="Calibri" w:hAnsi="Calibri" w:eastAsia="Calibri" w:cs="Calibri"/>
          <w:b w:val="0"/>
          <w:bCs w:val="0"/>
          <w:noProof w:val="0"/>
          <w:sz w:val="22"/>
          <w:szCs w:val="22"/>
          <w:lang w:val="en-NZ"/>
        </w:rPr>
        <w:t xml:space="preserve">Emerging </w:t>
      </w:r>
      <w:r w:rsidRPr="641EA14A" w:rsidR="58359F8B">
        <w:rPr>
          <w:rFonts w:ascii="Calibri" w:hAnsi="Calibri" w:eastAsia="Calibri" w:cs="Calibri"/>
          <w:b w:val="0"/>
          <w:bCs w:val="0"/>
          <w:noProof w:val="0"/>
          <w:sz w:val="22"/>
          <w:szCs w:val="22"/>
          <w:lang w:val="en-NZ"/>
        </w:rPr>
        <w:t>results/insights</w:t>
      </w:r>
      <w:r w:rsidRPr="641EA14A" w:rsidR="58359F8B">
        <w:rPr>
          <w:rFonts w:ascii="Calibri" w:hAnsi="Calibri" w:eastAsia="Calibri" w:cs="Calibri"/>
          <w:b w:val="0"/>
          <w:bCs w:val="0"/>
          <w:noProof w:val="0"/>
          <w:sz w:val="22"/>
          <w:szCs w:val="22"/>
          <w:lang w:val="en-NZ"/>
        </w:rPr>
        <w:t xml:space="preserve"> from pilot cohorts </w:t>
      </w:r>
      <w:r w:rsidRPr="641EA14A" w:rsidR="58359F8B">
        <w:rPr>
          <w:rFonts w:ascii="Calibri" w:hAnsi="Calibri" w:eastAsia="Calibri" w:cs="Calibri"/>
          <w:b w:val="0"/>
          <w:bCs w:val="0"/>
          <w:noProof w:val="0"/>
          <w:sz w:val="22"/>
          <w:szCs w:val="22"/>
          <w:lang w:val="en-NZ"/>
        </w:rPr>
        <w:t>indicate</w:t>
      </w:r>
      <w:r w:rsidRPr="641EA14A" w:rsidR="58359F8B">
        <w:rPr>
          <w:rFonts w:ascii="Calibri" w:hAnsi="Calibri" w:eastAsia="Calibri" w:cs="Calibri"/>
          <w:b w:val="0"/>
          <w:bCs w:val="0"/>
          <w:noProof w:val="0"/>
          <w:sz w:val="22"/>
          <w:szCs w:val="22"/>
          <w:lang w:val="en-NZ"/>
        </w:rPr>
        <w:t xml:space="preserve"> increased engagement with employability activities, improved confidence in navigating workplaces during work-integrated learning experiences, and stronger alignment between student preparation and employer expectations. The structured and visible nature of PRP has also supported greater consistency in programme design and clearer pathways for international students progressing toward professional placement outcomes.</w:t>
      </w:r>
    </w:p>
    <w:p w:rsidR="58359F8B" w:rsidP="641EA14A" w:rsidRDefault="58359F8B" w14:paraId="0EDCA0C9" w14:textId="31A2A9A2">
      <w:pPr>
        <w:spacing w:before="240" w:beforeAutospacing="off" w:after="240" w:afterAutospacing="off" w:line="360" w:lineRule="auto"/>
        <w:rPr>
          <w:rFonts w:ascii="Calibri" w:hAnsi="Calibri" w:eastAsia="Calibri" w:cs="Calibri"/>
          <w:b w:val="0"/>
          <w:bCs w:val="0"/>
          <w:noProof w:val="0"/>
          <w:sz w:val="24"/>
          <w:szCs w:val="24"/>
          <w:lang w:val="en-NZ"/>
        </w:rPr>
      </w:pPr>
      <w:r w:rsidRPr="641EA14A" w:rsidR="58359F8B">
        <w:rPr>
          <w:rFonts w:ascii="Calibri" w:hAnsi="Calibri" w:eastAsia="Calibri" w:cs="Calibri"/>
          <w:b w:val="0"/>
          <w:bCs w:val="0"/>
          <w:noProof w:val="0"/>
          <w:sz w:val="22"/>
          <w:szCs w:val="22"/>
          <w:lang w:val="en-NZ"/>
        </w:rPr>
        <w:t xml:space="preserve">Designed for career development practitioners, employability specialists, educators, and policymakers, the </w:t>
      </w:r>
      <w:r w:rsidRPr="641EA14A" w:rsidR="58359F8B">
        <w:rPr>
          <w:rFonts w:ascii="Calibri" w:hAnsi="Calibri" w:eastAsia="Calibri" w:cs="Calibri"/>
          <w:b w:val="0"/>
          <w:bCs w:val="0"/>
          <w:noProof w:val="0"/>
          <w:sz w:val="22"/>
          <w:szCs w:val="22"/>
          <w:lang w:val="en-NZ"/>
        </w:rPr>
        <w:t>target audience and format</w:t>
      </w:r>
      <w:r w:rsidRPr="641EA14A" w:rsidR="58359F8B">
        <w:rPr>
          <w:rFonts w:ascii="Calibri" w:hAnsi="Calibri" w:eastAsia="Calibri" w:cs="Calibri"/>
          <w:b w:val="0"/>
          <w:bCs w:val="0"/>
          <w:noProof w:val="0"/>
          <w:sz w:val="22"/>
          <w:szCs w:val="22"/>
          <w:lang w:val="en-NZ"/>
        </w:rPr>
        <w:t xml:space="preserve"> of this workshop is interactive, combining presentation, guided reflection, and practical application to support the adaptation of programme-based employability models, particularly for those working with international students.</w:t>
      </w:r>
    </w:p>
    <w:p w:rsidR="641EA14A" w:rsidP="641EA14A" w:rsidRDefault="641EA14A" w14:paraId="6C82EE62" w14:textId="75823705">
      <w:pPr>
        <w:pStyle w:val="Normal"/>
        <w:spacing w:line="360" w:lineRule="auto"/>
        <w:rPr>
          <w:rFonts w:ascii="Calibri" w:hAnsi="Calibri" w:eastAsia="Calibri" w:cs="Calibri"/>
          <w:sz w:val="24"/>
          <w:szCs w:val="24"/>
        </w:rPr>
      </w:pPr>
    </w:p>
    <w:sectPr>
      <w:pgSz w:w="12240" w:h="15840" w:orient="portrait"/>
      <w:pgMar w:top="1440" w:right="1440" w:bottom="1440" w:left="1440" w:header="720" w:footer="720" w:gutter="0"/>
      <w:cols w:space="720"/>
      <w:docGrid w:linePitch="360"/>
      <w:headerReference w:type="default" r:id="R4344fc2dd8684e7e"/>
      <w:footerReference w:type="default" r:id="R71d56f419cd3411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41EA14A" w:rsidTr="641EA14A" w14:paraId="0B5D988E">
      <w:trPr>
        <w:trHeight w:val="300"/>
      </w:trPr>
      <w:tc>
        <w:tcPr>
          <w:tcW w:w="3120" w:type="dxa"/>
          <w:tcMar/>
        </w:tcPr>
        <w:p w:rsidR="641EA14A" w:rsidP="641EA14A" w:rsidRDefault="641EA14A" w14:paraId="0C77EE57" w14:textId="5D912738">
          <w:pPr>
            <w:pStyle w:val="Header"/>
            <w:bidi w:val="0"/>
            <w:ind w:left="-115"/>
            <w:jc w:val="left"/>
          </w:pPr>
        </w:p>
      </w:tc>
      <w:tc>
        <w:tcPr>
          <w:tcW w:w="3120" w:type="dxa"/>
          <w:tcMar/>
        </w:tcPr>
        <w:p w:rsidR="641EA14A" w:rsidP="641EA14A" w:rsidRDefault="641EA14A" w14:paraId="6D87F942" w14:textId="384CA35B">
          <w:pPr>
            <w:pStyle w:val="Header"/>
            <w:bidi w:val="0"/>
            <w:jc w:val="center"/>
          </w:pPr>
        </w:p>
      </w:tc>
      <w:tc>
        <w:tcPr>
          <w:tcW w:w="3120" w:type="dxa"/>
          <w:tcMar/>
        </w:tcPr>
        <w:p w:rsidR="641EA14A" w:rsidP="641EA14A" w:rsidRDefault="641EA14A" w14:paraId="7AA27EE5" w14:textId="25008A0D">
          <w:pPr>
            <w:pStyle w:val="Header"/>
            <w:bidi w:val="0"/>
            <w:ind w:right="-115"/>
            <w:jc w:val="right"/>
          </w:pPr>
        </w:p>
      </w:tc>
    </w:tr>
  </w:tbl>
  <w:p w:rsidR="641EA14A" w:rsidP="641EA14A" w:rsidRDefault="641EA14A" w14:paraId="39433987" w14:textId="3812F03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9472"/>
    </w:tblGrid>
    <w:tr w:rsidR="641EA14A" w:rsidTr="641EA14A" w14:paraId="3C886B31">
      <w:trPr>
        <w:trHeight w:val="300"/>
      </w:trPr>
      <w:tc>
        <w:tcPr>
          <w:tcW w:w="9472" w:type="dxa"/>
          <w:tcMar/>
        </w:tcPr>
        <w:p w:rsidR="641EA14A" w:rsidP="641EA14A" w:rsidRDefault="641EA14A" w14:paraId="73006150" w14:textId="0C348624">
          <w:pPr>
            <w:pStyle w:val="Header"/>
            <w:bidi w:val="0"/>
            <w:ind w:left="-115"/>
            <w:jc w:val="left"/>
          </w:pPr>
        </w:p>
      </w:tc>
    </w:tr>
  </w:tbl>
  <w:p w:rsidR="641EA14A" w:rsidP="641EA14A" w:rsidRDefault="641EA14A" w14:paraId="23EBE8E6" w14:textId="3727B7A4">
    <w:pPr>
      <w:pStyle w:val="Header"/>
      <w:bidi w:val="0"/>
    </w:pPr>
  </w:p>
</w:hdr>
</file>

<file path=word/intelligence2.xml><?xml version="1.0" encoding="utf-8"?>
<int2:intelligence xmlns:int2="http://schemas.microsoft.com/office/intelligence/2020/intelligence">
  <int2:observations>
    <int2:textHash int2:hashCode="gOigg3B4VG+1IR" int2:id="xHPRrv1y">
      <int2:state int2:type="spell" int2:value="Rejected"/>
    </int2:textHash>
    <int2:textHash int2:hashCode="YSJy6WMREPqOIS" int2:id="b6AR7uFg">
      <int2:state int2:type="spell" int2:value="Rejected"/>
    </int2:textHash>
    <int2:textHash int2:hashCode="JnU955Mc/obAB/" int2:id="IOtD3MwA">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7">
    <w:nsid w:val="34d033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fa96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b359a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cae5e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d6939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642471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5b4d59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D2A8E"/>
    <w:rsid w:val="02C0D24E"/>
    <w:rsid w:val="04B0E4BD"/>
    <w:rsid w:val="076527C4"/>
    <w:rsid w:val="0C0D4424"/>
    <w:rsid w:val="0ECB2C53"/>
    <w:rsid w:val="11EFFC07"/>
    <w:rsid w:val="155245CA"/>
    <w:rsid w:val="168B160D"/>
    <w:rsid w:val="16F45741"/>
    <w:rsid w:val="18B64112"/>
    <w:rsid w:val="1BC40DE9"/>
    <w:rsid w:val="1D0D9819"/>
    <w:rsid w:val="1D663466"/>
    <w:rsid w:val="1E57D613"/>
    <w:rsid w:val="1F2F8F15"/>
    <w:rsid w:val="201850DE"/>
    <w:rsid w:val="211490CC"/>
    <w:rsid w:val="290A3A74"/>
    <w:rsid w:val="2B057D31"/>
    <w:rsid w:val="2D74E499"/>
    <w:rsid w:val="2FB46B6A"/>
    <w:rsid w:val="31A37CB3"/>
    <w:rsid w:val="3607332F"/>
    <w:rsid w:val="37B8BD6D"/>
    <w:rsid w:val="3A3EDEB4"/>
    <w:rsid w:val="47851158"/>
    <w:rsid w:val="485CA5CF"/>
    <w:rsid w:val="49D2D590"/>
    <w:rsid w:val="4AE6B6D5"/>
    <w:rsid w:val="4C6E5E93"/>
    <w:rsid w:val="4C967D60"/>
    <w:rsid w:val="516D2A8E"/>
    <w:rsid w:val="535CA81C"/>
    <w:rsid w:val="58359F8B"/>
    <w:rsid w:val="586E4A57"/>
    <w:rsid w:val="594FA314"/>
    <w:rsid w:val="5BBA7C35"/>
    <w:rsid w:val="61214A5E"/>
    <w:rsid w:val="63414788"/>
    <w:rsid w:val="63A49948"/>
    <w:rsid w:val="63C2663E"/>
    <w:rsid w:val="63DB4CC5"/>
    <w:rsid w:val="641EA14A"/>
    <w:rsid w:val="6775ADED"/>
    <w:rsid w:val="6B0BAD58"/>
    <w:rsid w:val="6CF46001"/>
    <w:rsid w:val="724C5564"/>
    <w:rsid w:val="72ECA904"/>
    <w:rsid w:val="7381F583"/>
    <w:rsid w:val="766E9906"/>
    <w:rsid w:val="77C0703C"/>
    <w:rsid w:val="7A09E286"/>
    <w:rsid w:val="7DFDFD6A"/>
    <w:rsid w:val="7E49C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D2A8E"/>
  <w15:chartTrackingRefBased/>
  <w15:docId w15:val="{56DE13B2-7242-42BA-BCC4-751C2171608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641EA14A"/>
    <w:rPr>
      <w:noProof w:val="0"/>
      <w:lang w:val="en-N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41EA14A"/>
    <w:pPr>
      <w:spacing/>
      <w:ind w:left="720"/>
      <w:contextualSpacing/>
    </w:pPr>
  </w:style>
  <w:style w:type="paragraph" w:styleId="Heading2">
    <w:uiPriority w:val="9"/>
    <w:name w:val="heading 2"/>
    <w:basedOn w:val="Normal"/>
    <w:next w:val="Normal"/>
    <w:unhideWhenUsed/>
    <w:qFormat/>
    <w:rsid w:val="641EA14A"/>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41EA14A"/>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641EA14A"/>
    <w:rPr>
      <w:color w:val="467886"/>
      <w:u w:val="single"/>
    </w:rPr>
  </w:style>
  <w:style w:type="paragraph" w:styleId="Header">
    <w:uiPriority w:val="99"/>
    <w:name w:val="header"/>
    <w:basedOn w:val="Normal"/>
    <w:unhideWhenUsed/>
    <w:rsid w:val="641EA14A"/>
    <w:pPr>
      <w:tabs>
        <w:tab w:val="center" w:leader="none" w:pos="4680"/>
        <w:tab w:val="right" w:leader="none" w:pos="9360"/>
      </w:tabs>
      <w:spacing w:after="0" w:line="240" w:lineRule="auto"/>
    </w:pPr>
  </w:style>
  <w:style w:type="paragraph" w:styleId="Footer">
    <w:uiPriority w:val="99"/>
    <w:name w:val="footer"/>
    <w:basedOn w:val="Normal"/>
    <w:unhideWhenUsed/>
    <w:rsid w:val="641EA14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fbdb75a39a6f4992" /><Relationship Type="http://schemas.openxmlformats.org/officeDocument/2006/relationships/numbering" Target="numbering.xml" Id="R3973de8dd05f4091" /><Relationship Type="http://schemas.openxmlformats.org/officeDocument/2006/relationships/header" Target="header.xml" Id="R4344fc2dd8684e7e" /><Relationship Type="http://schemas.openxmlformats.org/officeDocument/2006/relationships/footer" Target="footer.xml" Id="R71d56f419cd3411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2026-04-15T03:48:18.3571788Z</dcterms:created>
  <dcterms:modified xsi:type="dcterms:W3CDTF">2026-04-16T04:30:52.3901175Z</dcterms:modified>
  <dc:creator>Nicki Trueman</dc:creator>
  <lastModifiedBy>Nicki Trueman</lastModifiedBy>
</coreProperties>
</file>