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1826" w14:textId="77777777" w:rsidR="00D44610" w:rsidRDefault="00000000">
      <w:pPr>
        <w:spacing w:line="360" w:lineRule="auto"/>
        <w:jc w:val="both"/>
      </w:pPr>
      <w:r>
        <w:rPr>
          <w:b/>
          <w:bCs/>
        </w:rPr>
        <w:t xml:space="preserve">File name: </w:t>
      </w:r>
      <w:r>
        <w:t>HughesDeirdre_P2.docx</w:t>
      </w:r>
    </w:p>
    <w:p w14:paraId="186D0EAC" w14:textId="77777777" w:rsidR="00D44610" w:rsidRDefault="00D44610"/>
    <w:p w14:paraId="2AD89E0D" w14:textId="77777777" w:rsidR="00D44610" w:rsidRDefault="00000000">
      <w:pPr>
        <w:spacing w:line="360" w:lineRule="auto"/>
        <w:jc w:val="both"/>
      </w:pPr>
      <w:r>
        <w:rPr>
          <w:b/>
          <w:bCs/>
        </w:rPr>
        <w:t xml:space="preserve">First contributor/author: </w:t>
      </w:r>
      <w:r>
        <w:t>Hughes, Deirdre</w:t>
      </w:r>
    </w:p>
    <w:p w14:paraId="5334153A" w14:textId="28F3AE25" w:rsidR="00D44610" w:rsidRDefault="00000000">
      <w:pPr>
        <w:spacing w:line="360" w:lineRule="auto"/>
        <w:jc w:val="both"/>
      </w:pPr>
      <w:r>
        <w:rPr>
          <w:b/>
          <w:bCs/>
        </w:rPr>
        <w:t xml:space="preserve">Title/position: </w:t>
      </w:r>
      <w:r w:rsidR="00B83462" w:rsidRPr="00B83462">
        <w:t>Executive Director;</w:t>
      </w:r>
      <w:r w:rsidR="00B83462">
        <w:rPr>
          <w:b/>
          <w:bCs/>
        </w:rPr>
        <w:t xml:space="preserve"> </w:t>
      </w:r>
      <w:r>
        <w:t>Associate Professor;</w:t>
      </w:r>
      <w:r w:rsidR="00B83462">
        <w:t xml:space="preserve"> a </w:t>
      </w:r>
      <w:r>
        <w:t>Vice-President, IAEVG</w:t>
      </w:r>
      <w:r w:rsidR="00B83462">
        <w:t>; Legacy Fellow CDI</w:t>
      </w:r>
    </w:p>
    <w:p w14:paraId="101F329E" w14:textId="77777777" w:rsidR="00D44610" w:rsidRDefault="00000000">
      <w:pPr>
        <w:spacing w:line="360" w:lineRule="auto"/>
        <w:jc w:val="both"/>
      </w:pPr>
      <w:r>
        <w:rPr>
          <w:b/>
          <w:bCs/>
        </w:rPr>
        <w:t xml:space="preserve">Email: </w:t>
      </w:r>
      <w:r>
        <w:t>deirdre.hughes3@btinternet.com</w:t>
      </w:r>
    </w:p>
    <w:p w14:paraId="17E59FC8" w14:textId="6539C1F2" w:rsidR="00D44610" w:rsidRDefault="00000000">
      <w:pPr>
        <w:spacing w:line="360" w:lineRule="auto"/>
        <w:jc w:val="both"/>
      </w:pPr>
      <w:r>
        <w:rPr>
          <w:b/>
          <w:bCs/>
        </w:rPr>
        <w:t xml:space="preserve">Institution: </w:t>
      </w:r>
      <w:r w:rsidR="00B83462">
        <w:t>dmh associates</w:t>
      </w:r>
      <w:r>
        <w:t>, North Shields, England</w:t>
      </w:r>
    </w:p>
    <w:p w14:paraId="5F2F80F7" w14:textId="77777777" w:rsidR="00D44610" w:rsidRDefault="00D44610"/>
    <w:p w14:paraId="3C735E3F" w14:textId="5E8E6113" w:rsidR="00D44610" w:rsidRDefault="00000000">
      <w:pPr>
        <w:spacing w:line="360" w:lineRule="auto"/>
        <w:jc w:val="both"/>
      </w:pPr>
      <w:r>
        <w:rPr>
          <w:b/>
          <w:bCs/>
        </w:rPr>
        <w:t xml:space="preserve">Co-presenter 1: </w:t>
      </w:r>
      <w:r>
        <w:t xml:space="preserve">Lawrence, Nikki </w:t>
      </w:r>
      <w:r w:rsidR="00B83462">
        <w:t xml:space="preserve">- </w:t>
      </w:r>
      <w:r>
        <w:t>Chief Executive, Careers Wales, Cardiff, Wales</w:t>
      </w:r>
    </w:p>
    <w:p w14:paraId="30F35A8C" w14:textId="5CDD59AD" w:rsidR="00D44610" w:rsidRDefault="00000000">
      <w:pPr>
        <w:spacing w:line="360" w:lineRule="auto"/>
        <w:jc w:val="both"/>
      </w:pPr>
      <w:r>
        <w:rPr>
          <w:b/>
          <w:bCs/>
        </w:rPr>
        <w:t xml:space="preserve">Co-presenter 2: </w:t>
      </w:r>
      <w:r>
        <w:t xml:space="preserve">Hopkins, Sareena </w:t>
      </w:r>
      <w:r w:rsidR="00B83462">
        <w:t xml:space="preserve">-Co </w:t>
      </w:r>
      <w:r>
        <w:t>Executive Director, Canadian Career Development Foundation (CCDF), Canada</w:t>
      </w:r>
    </w:p>
    <w:p w14:paraId="02E58787" w14:textId="77777777" w:rsidR="00D44610" w:rsidRDefault="00D44610"/>
    <w:p w14:paraId="3A8CF147" w14:textId="77777777" w:rsidR="00D44610" w:rsidRDefault="00000000">
      <w:pPr>
        <w:spacing w:line="360" w:lineRule="auto"/>
        <w:jc w:val="both"/>
      </w:pPr>
      <w:r>
        <w:rPr>
          <w:b/>
          <w:bCs/>
        </w:rPr>
        <w:t>Title</w:t>
      </w:r>
    </w:p>
    <w:p w14:paraId="4C110337" w14:textId="77777777" w:rsidR="00D44610" w:rsidRDefault="00000000">
      <w:pPr>
        <w:spacing w:line="360" w:lineRule="auto"/>
        <w:jc w:val="both"/>
      </w:pPr>
      <w:r>
        <w:rPr>
          <w:b/>
          <w:bCs/>
        </w:rPr>
        <w:t>Navigating Wellbeing in Career Development: Lessons from an Evolving International Research Programme</w:t>
      </w:r>
    </w:p>
    <w:p w14:paraId="43B53E54" w14:textId="77777777" w:rsidR="00D44610" w:rsidRDefault="00D44610"/>
    <w:p w14:paraId="1B250531" w14:textId="77777777" w:rsidR="00D44610" w:rsidRDefault="00000000">
      <w:pPr>
        <w:spacing w:line="360" w:lineRule="auto"/>
        <w:jc w:val="both"/>
      </w:pPr>
      <w:r>
        <w:rPr>
          <w:b/>
          <w:bCs/>
        </w:rPr>
        <w:t xml:space="preserve">Linked theme: </w:t>
      </w:r>
      <w:r>
        <w:t xml:space="preserve">Best Practice – </w:t>
      </w:r>
      <w:proofErr w:type="spellStart"/>
      <w:r>
        <w:t>Tupuānuku</w:t>
      </w:r>
      <w:proofErr w:type="spellEnd"/>
      <w:r>
        <w:t xml:space="preserve"> / Research – Hiwa-</w:t>
      </w:r>
      <w:proofErr w:type="spellStart"/>
      <w:r>
        <w:t>i</w:t>
      </w:r>
      <w:proofErr w:type="spellEnd"/>
      <w:r>
        <w:t>-te-</w:t>
      </w:r>
      <w:proofErr w:type="spellStart"/>
      <w:r>
        <w:t>rangi</w:t>
      </w:r>
      <w:proofErr w:type="spellEnd"/>
    </w:p>
    <w:p w14:paraId="7644F91F" w14:textId="77777777" w:rsidR="00D44610" w:rsidRDefault="00000000">
      <w:pPr>
        <w:spacing w:line="360" w:lineRule="auto"/>
        <w:jc w:val="both"/>
      </w:pPr>
      <w:r>
        <w:rPr>
          <w:b/>
          <w:bCs/>
        </w:rPr>
        <w:t xml:space="preserve">Presentation language: </w:t>
      </w:r>
      <w:r>
        <w:t>English</w:t>
      </w:r>
    </w:p>
    <w:p w14:paraId="4F160FAC" w14:textId="77777777" w:rsidR="00D44610" w:rsidRDefault="00000000">
      <w:pPr>
        <w:spacing w:line="360" w:lineRule="auto"/>
        <w:jc w:val="both"/>
      </w:pPr>
      <w:r>
        <w:rPr>
          <w:b/>
          <w:bCs/>
        </w:rPr>
        <w:t xml:space="preserve">Format: </w:t>
      </w:r>
      <w:r>
        <w:t>Workshop of practices (60 minutes, interactive)</w:t>
      </w:r>
    </w:p>
    <w:p w14:paraId="1C642B9A" w14:textId="77777777" w:rsidR="00D44610" w:rsidRDefault="00D44610"/>
    <w:p w14:paraId="49E97EEC" w14:textId="77777777" w:rsidR="00D44610" w:rsidRDefault="00000000">
      <w:pPr>
        <w:spacing w:line="360" w:lineRule="auto"/>
        <w:jc w:val="both"/>
      </w:pPr>
      <w:r>
        <w:rPr>
          <w:b/>
          <w:bCs/>
        </w:rPr>
        <w:t>Abstract</w:t>
      </w:r>
    </w:p>
    <w:p w14:paraId="1DB7049E" w14:textId="77777777" w:rsidR="00D44610" w:rsidRDefault="00D44610"/>
    <w:p w14:paraId="1138F5EC" w14:textId="77777777" w:rsidR="00D44610" w:rsidRDefault="00000000">
      <w:pPr>
        <w:spacing w:line="360" w:lineRule="auto"/>
        <w:jc w:val="both"/>
      </w:pPr>
      <w:r>
        <w:rPr>
          <w:b/>
          <w:bCs/>
        </w:rPr>
        <w:t>Introduction</w:t>
      </w:r>
    </w:p>
    <w:p w14:paraId="513F0E03" w14:textId="395D077F" w:rsidR="00D44610" w:rsidRDefault="00000000">
      <w:pPr>
        <w:spacing w:line="360" w:lineRule="auto"/>
        <w:jc w:val="both"/>
      </w:pPr>
      <w:r>
        <w:t xml:space="preserve">Career guidance has long been understood as contributing to individual wellbeing, but translating this relationship into rigorous practitioner-facing evidence remains a persistent challenge. This workshop draws on an evolving international research programme spanning the UK and Canada, grounded in the freely available practical toolkit </w:t>
      </w:r>
      <w:r>
        <w:rPr>
          <w:i/>
          <w:iCs/>
        </w:rPr>
        <w:t>Building Brighter Futures</w:t>
      </w:r>
      <w:r>
        <w:t xml:space="preserve"> (Hughes et al., 2022) and peer-reviewed research in the </w:t>
      </w:r>
      <w:r>
        <w:rPr>
          <w:i/>
          <w:iCs/>
        </w:rPr>
        <w:t>British Journal of Guidance &amp; Counselling</w:t>
      </w:r>
      <w:r>
        <w:t xml:space="preserve"> (Percy et al., 2023). In 2025–2026, Hughes, Hambly and Percy brought together practitioners from Wales, Scotland and England to examine vulnerable young people’s career learning journeys. In parallel, the team has collaborated with Dr. Roberta Borgen (Neault) and Professor Bill Borgen</w:t>
      </w:r>
      <w:r w:rsidR="00B83462">
        <w:t xml:space="preserve"> and Sareena Hopkins from the CCDF</w:t>
      </w:r>
      <w:r>
        <w:t xml:space="preserve"> </w:t>
      </w:r>
      <w:proofErr w:type="gramStart"/>
      <w:r>
        <w:t>whose</w:t>
      </w:r>
      <w:proofErr w:type="gramEnd"/>
      <w:r>
        <w:t xml:space="preserve"> </w:t>
      </w:r>
      <w:r>
        <w:rPr>
          <w:i/>
          <w:iCs/>
        </w:rPr>
        <w:t>In Motion &amp; Momentum+</w:t>
      </w:r>
      <w:r>
        <w:t xml:space="preserve"> (IM&amp;M+) programme, a ten-week strengths-based pre-employability intervention addressing hope, confidence, belonging and connection for those furthest from the labour market, provides a compelling model of career development and wellbeing in action. Woven throughout is a commitment to creative and arts-based methods as powerful tools for surfacing what clients ‘didn’t know they knew’ (</w:t>
      </w:r>
      <w:proofErr w:type="spellStart"/>
      <w:r>
        <w:t>Lengelle</w:t>
      </w:r>
      <w:proofErr w:type="spellEnd"/>
      <w:r>
        <w:t>, Hughes &amp; Hambly, 2024). This workshop brings these strands together for the first time internationally.</w:t>
      </w:r>
    </w:p>
    <w:p w14:paraId="7B097A87" w14:textId="77777777" w:rsidR="00D44610" w:rsidRDefault="00D44610"/>
    <w:p w14:paraId="35AE8D65" w14:textId="77777777" w:rsidR="00D44610" w:rsidRDefault="00000000">
      <w:pPr>
        <w:spacing w:line="360" w:lineRule="auto"/>
        <w:jc w:val="both"/>
      </w:pPr>
      <w:r>
        <w:rPr>
          <w:b/>
          <w:bCs/>
        </w:rPr>
        <w:t>Objectives</w:t>
      </w:r>
    </w:p>
    <w:p w14:paraId="04733B61" w14:textId="40F5597F" w:rsidR="00D44610" w:rsidRDefault="00000000">
      <w:pPr>
        <w:spacing w:line="360" w:lineRule="auto"/>
        <w:jc w:val="both"/>
      </w:pPr>
      <w:r>
        <w:t>This workshop aims to: (1) present emerging trends from the 2025–2026 UK fieldwork on vulnerable young people’s career learning journeys, including how wellbeing manifests at key transitions; (2) share insights from the Canada collaboration, including evidence from IM&amp;M+ on what works in supporting those most distant from the labour market; (3) explore how creative and arts-based methods can deepen wellbeing conversations across different contexts; and (4) invite participants to reflect on their national experiences, contributing to shared principles and future research priorities.</w:t>
      </w:r>
    </w:p>
    <w:p w14:paraId="53B9A9FD" w14:textId="77777777" w:rsidR="00D44610" w:rsidRDefault="00D44610"/>
    <w:p w14:paraId="14BB4021" w14:textId="77777777" w:rsidR="00D44610" w:rsidRDefault="00000000">
      <w:pPr>
        <w:spacing w:line="360" w:lineRule="auto"/>
        <w:jc w:val="both"/>
      </w:pPr>
      <w:r>
        <w:rPr>
          <w:b/>
          <w:bCs/>
        </w:rPr>
        <w:t>Theoretical Basis</w:t>
      </w:r>
    </w:p>
    <w:p w14:paraId="6E97F712" w14:textId="05C657D0" w:rsidR="00D44610" w:rsidRDefault="00000000">
      <w:pPr>
        <w:spacing w:line="360" w:lineRule="auto"/>
        <w:jc w:val="both"/>
      </w:pPr>
      <w:r>
        <w:t xml:space="preserve">The workshop draws on Redekopp and Huston’s (2020) model of career development processes and their effects on mental health, demonstrating how guidance can improve wellbeing through ability, opportunity, self-perception and life effects. This is complemented by Keyes’ (2014) dual-continua model distinguishing mental illness from mental health, which has proved particularly valuable in practitioner training. Narrative and constructivist approaches (McMahon &amp; </w:t>
      </w:r>
      <w:proofErr w:type="spellStart"/>
      <w:r>
        <w:t>Abkhezr</w:t>
      </w:r>
      <w:proofErr w:type="spellEnd"/>
      <w:r>
        <w:t xml:space="preserve">, 2024) frame career development as a meaning-making process, linking naturally to arts-based methods that enable clients to access their career stories in ways conventional conversations may not. The ten-stage guidance conversation structure (Percy et al., 2023) and the four ‘e-cornerstones’ </w:t>
      </w:r>
      <w:r w:rsidR="00B83462">
        <w:t>-</w:t>
      </w:r>
      <w:r>
        <w:t xml:space="preserve"> environment, emotional steadiness, exercises and evaluation </w:t>
      </w:r>
      <w:r w:rsidR="00B83462">
        <w:t>-</w:t>
      </w:r>
      <w:r>
        <w:t xml:space="preserve"> provide the methodological </w:t>
      </w:r>
      <w:r w:rsidR="00B83462">
        <w:t>foundations</w:t>
      </w:r>
      <w:r>
        <w:t>.</w:t>
      </w:r>
    </w:p>
    <w:p w14:paraId="56EE5982" w14:textId="77777777" w:rsidR="00D44610" w:rsidRDefault="00D44610"/>
    <w:p w14:paraId="10ECC6B1" w14:textId="77777777" w:rsidR="00D44610" w:rsidRDefault="00000000">
      <w:pPr>
        <w:spacing w:line="360" w:lineRule="auto"/>
        <w:jc w:val="both"/>
      </w:pPr>
      <w:r>
        <w:rPr>
          <w:b/>
          <w:bCs/>
        </w:rPr>
        <w:t>Methodology and Workshop Design</w:t>
      </w:r>
    </w:p>
    <w:p w14:paraId="668F2E71" w14:textId="2642104E" w:rsidR="00D44610" w:rsidRDefault="00000000">
      <w:pPr>
        <w:spacing w:line="360" w:lineRule="auto"/>
        <w:jc w:val="both"/>
      </w:pPr>
      <w:r>
        <w:t xml:space="preserve">The session unfolds in three phases. Phase 1 (15 minutes) presents headline findings from the 2025–2026 UK fieldwork using real case study vignettes, and emerging evidence from the Canadian IM&amp;M+ programme on person-centred pre-employability support. Creative methods are demonstrated briefly as an experiential introduction. Phase 2 (30 minutes) uses facilitated small group discussion to explore how wellbeing trends from the fieldwork resonate </w:t>
      </w:r>
      <w:r w:rsidR="00B83462">
        <w:t xml:space="preserve">- </w:t>
      </w:r>
      <w:r>
        <w:t>or diverge</w:t>
      </w:r>
      <w:r w:rsidR="00B83462">
        <w:t xml:space="preserve"> - </w:t>
      </w:r>
      <w:r>
        <w:t>with participants’ own national and practice contexts, using a structured reflection prompt from the toolkit. Phase 3 (15 minutes) draws groups together to co-construct internationally applicable principles for embedding wellbeing in guidance practice, informing future collaborative research.</w:t>
      </w:r>
    </w:p>
    <w:p w14:paraId="1DF5A375" w14:textId="77777777" w:rsidR="00D44610" w:rsidRDefault="00D44610"/>
    <w:p w14:paraId="738C8363" w14:textId="77777777" w:rsidR="00D44610" w:rsidRDefault="00000000">
      <w:pPr>
        <w:spacing w:line="360" w:lineRule="auto"/>
        <w:jc w:val="both"/>
      </w:pPr>
      <w:r>
        <w:rPr>
          <w:b/>
          <w:bCs/>
        </w:rPr>
        <w:t>Results and Conclusions</w:t>
      </w:r>
    </w:p>
    <w:p w14:paraId="70995C88" w14:textId="77777777" w:rsidR="00D44610" w:rsidRDefault="00000000">
      <w:pPr>
        <w:spacing w:line="360" w:lineRule="auto"/>
        <w:jc w:val="both"/>
      </w:pPr>
      <w:r>
        <w:t xml:space="preserve">Across both the UK and Canadian strands, practitioners are well-placed to support wellbeing but require structured frameworks, adequate supervision and institutional backing to do so ethically. The 2025–2026 work with young people highlights the importance of relational, holistic and creative approaches at key transitions, especially for those most vulnerable. The Canadian IM&amp;M+ programme demonstrates that addressing hope, confidence, belonging and connection can achieve measurable </w:t>
      </w:r>
      <w:r>
        <w:lastRenderedPageBreak/>
        <w:t xml:space="preserve">impact for those furthest from the labour market. Arts-based methods prove especially powerful in reaching those who struggle with conventional guidance approaches. This workshop invites the IAEVG community to contribute to </w:t>
      </w:r>
      <w:proofErr w:type="gramStart"/>
      <w:r>
        <w:t>a growing international evidence</w:t>
      </w:r>
      <w:proofErr w:type="gramEnd"/>
      <w:r>
        <w:t xml:space="preserve"> base and to consider what a globally relevant, human-centred framework for career development and wellbeing might look like.</w:t>
      </w:r>
    </w:p>
    <w:p w14:paraId="467FB914" w14:textId="77777777" w:rsidR="00D44610" w:rsidRDefault="00D44610"/>
    <w:p w14:paraId="2CEC0EDB" w14:textId="77777777" w:rsidR="00D44610" w:rsidRDefault="00000000">
      <w:pPr>
        <w:spacing w:line="360" w:lineRule="auto"/>
        <w:jc w:val="both"/>
      </w:pPr>
      <w:r>
        <w:rPr>
          <w:b/>
          <w:bCs/>
        </w:rPr>
        <w:t xml:space="preserve">Keywords: </w:t>
      </w:r>
      <w:r>
        <w:t>wellbeing, career development, young people, creative methods, international collaboration</w:t>
      </w:r>
    </w:p>
    <w:p w14:paraId="7702B22F" w14:textId="77777777" w:rsidR="00D44610" w:rsidRDefault="00D44610"/>
    <w:p w14:paraId="3D7AB1FB" w14:textId="77777777" w:rsidR="00D44610" w:rsidRDefault="00000000">
      <w:pPr>
        <w:spacing w:line="360" w:lineRule="auto"/>
        <w:jc w:val="both"/>
      </w:pPr>
      <w:r>
        <w:rPr>
          <w:b/>
          <w:bCs/>
        </w:rPr>
        <w:t>Bibliographical References</w:t>
      </w:r>
    </w:p>
    <w:p w14:paraId="270ABC3B" w14:textId="77777777" w:rsidR="00D44610" w:rsidRDefault="00D44610"/>
    <w:p w14:paraId="61E3F94D" w14:textId="77777777" w:rsidR="00D44610" w:rsidRDefault="00000000" w:rsidP="00B83462">
      <w:r>
        <w:t xml:space="preserve">Hughes, D., Hambly, L., &amp; Percy, C. (2022). </w:t>
      </w:r>
      <w:r>
        <w:rPr>
          <w:i/>
          <w:iCs/>
        </w:rPr>
        <w:t>Building brighter futures: Career development and wellbeing — a practical toolkit</w:t>
      </w:r>
      <w:r>
        <w:t>. dmh associates / Careers Wales / Skills Development Scotland. https://dmhassociates.org/</w:t>
      </w:r>
    </w:p>
    <w:p w14:paraId="01DFDEF6" w14:textId="77777777" w:rsidR="00D44610" w:rsidRDefault="00D44610" w:rsidP="00B83462"/>
    <w:p w14:paraId="04792AA2" w14:textId="77777777" w:rsidR="00D44610" w:rsidRDefault="00000000" w:rsidP="00B83462">
      <w:r>
        <w:t xml:space="preserve">Keyes, C. L. M. (2014). Mental health as a complete state. In G. F. Bauer &amp; O. </w:t>
      </w:r>
      <w:proofErr w:type="spellStart"/>
      <w:r>
        <w:t>Hämmig</w:t>
      </w:r>
      <w:proofErr w:type="spellEnd"/>
      <w:r>
        <w:t xml:space="preserve"> (Eds.), </w:t>
      </w:r>
      <w:r>
        <w:rPr>
          <w:i/>
          <w:iCs/>
        </w:rPr>
        <w:t>Bridging occupational, organizational and public health</w:t>
      </w:r>
      <w:r>
        <w:t>. Springer.</w:t>
      </w:r>
    </w:p>
    <w:p w14:paraId="37654339" w14:textId="77777777" w:rsidR="00D44610" w:rsidRDefault="00D44610" w:rsidP="00B83462"/>
    <w:p w14:paraId="42D0BF49" w14:textId="77777777" w:rsidR="00D44610" w:rsidRDefault="00000000" w:rsidP="00B83462">
      <w:proofErr w:type="spellStart"/>
      <w:r>
        <w:t>Lengelle</w:t>
      </w:r>
      <w:proofErr w:type="spellEnd"/>
      <w:r>
        <w:t xml:space="preserve">, R., Hughes, D., &amp; Hambly, L. (Eds.). (2024). </w:t>
      </w:r>
      <w:r>
        <w:rPr>
          <w:i/>
          <w:iCs/>
        </w:rPr>
        <w:t>Art that tells the truth: Creative methods in guidance and counselling</w:t>
      </w:r>
      <w:r>
        <w:t>. Routledge. https://doi.org/10.4324/9781032629650</w:t>
      </w:r>
    </w:p>
    <w:p w14:paraId="5D47190D" w14:textId="77777777" w:rsidR="00D44610" w:rsidRDefault="00D44610" w:rsidP="00B83462"/>
    <w:p w14:paraId="0B98F725" w14:textId="77777777" w:rsidR="00D44610" w:rsidRDefault="00000000" w:rsidP="00B83462">
      <w:r>
        <w:t xml:space="preserve">McMahon, M., &amp; </w:t>
      </w:r>
      <w:proofErr w:type="spellStart"/>
      <w:r>
        <w:t>Abkhezr</w:t>
      </w:r>
      <w:proofErr w:type="spellEnd"/>
      <w:r>
        <w:t xml:space="preserve">, P. (Eds.). (2024). </w:t>
      </w:r>
      <w:r>
        <w:rPr>
          <w:i/>
          <w:iCs/>
        </w:rPr>
        <w:t>Narrative career counselling: From theory to practice in diverse cultures and contexts</w:t>
      </w:r>
      <w:r>
        <w:t xml:space="preserve"> (3rd ed.). Routledge. https://doi.org/10.4324/9781003441724</w:t>
      </w:r>
    </w:p>
    <w:p w14:paraId="064DFDBE" w14:textId="77777777" w:rsidR="00D44610" w:rsidRDefault="00D44610" w:rsidP="00B83462"/>
    <w:p w14:paraId="790C1772" w14:textId="77777777" w:rsidR="00D44610" w:rsidRDefault="00000000" w:rsidP="00B83462">
      <w:r>
        <w:t xml:space="preserve">Percy, C., Bartley, E., Hambly, L., Hughes, D., &amp; Lawrence, N. (2023). Embedding wellbeing in career development practice: trialling a new structure for guidance conversations in Scotland and Wales. </w:t>
      </w:r>
      <w:r>
        <w:rPr>
          <w:i/>
          <w:iCs/>
        </w:rPr>
        <w:t>British Journal of Guidance &amp; Counselling, 52</w:t>
      </w:r>
      <w:r>
        <w:t>(1), 36–51. https://doi.org/10.1080/03069885.2023.2235633</w:t>
      </w:r>
    </w:p>
    <w:p w14:paraId="5FEC5DCF" w14:textId="77777777" w:rsidR="00D44610" w:rsidRDefault="00D44610" w:rsidP="00B83462"/>
    <w:p w14:paraId="09D7AF89" w14:textId="77777777" w:rsidR="00D44610" w:rsidRDefault="00000000" w:rsidP="00B83462">
      <w:r>
        <w:t xml:space="preserve">Redekopp, D., &amp; Huston, M. (2020). </w:t>
      </w:r>
      <w:r>
        <w:rPr>
          <w:i/>
          <w:iCs/>
        </w:rPr>
        <w:t>Strengthening mental health through effective career development: A practitioner’s guide</w:t>
      </w:r>
      <w:r>
        <w:t>. Life-Role Development Group Ltd.</w:t>
      </w:r>
    </w:p>
    <w:p w14:paraId="3275CC60" w14:textId="77777777" w:rsidR="00D44610" w:rsidRDefault="00D44610" w:rsidP="00B83462"/>
    <w:p w14:paraId="6C2E3BCA" w14:textId="77777777" w:rsidR="00D44610" w:rsidRDefault="00D44610" w:rsidP="00B83462"/>
    <w:p w14:paraId="44B8A812" w14:textId="77777777" w:rsidR="00D44610" w:rsidRDefault="00000000">
      <w:pPr>
        <w:pageBreakBefore/>
      </w:pPr>
      <w:r>
        <w:lastRenderedPageBreak/>
        <w:br/>
      </w:r>
    </w:p>
    <w:p w14:paraId="7B14A5C2" w14:textId="77777777" w:rsidR="00D44610" w:rsidRDefault="00000000">
      <w:pPr>
        <w:spacing w:line="360" w:lineRule="auto"/>
        <w:jc w:val="both"/>
      </w:pPr>
      <w:r>
        <w:rPr>
          <w:b/>
          <w:bCs/>
        </w:rPr>
        <w:t>Presenter Biographies</w:t>
      </w:r>
    </w:p>
    <w:p w14:paraId="622800E8" w14:textId="77777777" w:rsidR="00D44610" w:rsidRDefault="00D44610"/>
    <w:p w14:paraId="33B7A0D2" w14:textId="77777777" w:rsidR="00D44610" w:rsidRDefault="00000000">
      <w:pPr>
        <w:spacing w:line="360" w:lineRule="auto"/>
        <w:jc w:val="both"/>
      </w:pPr>
      <w:r>
        <w:rPr>
          <w:b/>
          <w:bCs/>
        </w:rPr>
        <w:t>Dr. Deirdre Hughes OBE</w:t>
      </w:r>
    </w:p>
    <w:p w14:paraId="26A15848" w14:textId="77777777" w:rsidR="00D44610" w:rsidRDefault="00000000">
      <w:pPr>
        <w:spacing w:line="360" w:lineRule="auto"/>
        <w:jc w:val="both"/>
      </w:pPr>
      <w:r>
        <w:t xml:space="preserve">Dr. Deirdre Hughes OBE is Associate Professor at the University of Warwick’s Institute for Employment Research (IER) and founder of dmh associates (established 2008), an independent careers policy, research and practice organisation working with public, private and third sector partners across the UK and internationally to develop evidence-based approaches to careers service design and delivery. She is also Co-Founding Director of </w:t>
      </w:r>
      <w:proofErr w:type="spellStart"/>
      <w:r>
        <w:t>CareerChatUK</w:t>
      </w:r>
      <w:proofErr w:type="spellEnd"/>
      <w:r>
        <w:t xml:space="preserve"> Ltd, developer of the AI-powered careers tools CiCi and </w:t>
      </w:r>
      <w:proofErr w:type="spellStart"/>
      <w:r>
        <w:t>FutureTrack</w:t>
      </w:r>
      <w:proofErr w:type="spellEnd"/>
      <w:r>
        <w:t xml:space="preserve">. A Vice-President of IAEVG and Legacy Fellow of the UK Career Development Institute, she was awarded an OBE in 2012 for services to European lifelong guidance. She has chaired England’s National Careers Council, advised the OECD, ILO and governments globally, and published over 100 academic and professional works. She is co-editor of </w:t>
      </w:r>
      <w:r>
        <w:rPr>
          <w:i/>
          <w:iCs/>
        </w:rPr>
        <w:t>Art that Tells the Truth: Creative Methods in Guidance and Counselling</w:t>
      </w:r>
      <w:r>
        <w:t xml:space="preserve"> (Routledge, 2024) and co-author of the </w:t>
      </w:r>
      <w:r>
        <w:rPr>
          <w:i/>
          <w:iCs/>
        </w:rPr>
        <w:t>Building Brighter Futures</w:t>
      </w:r>
      <w:r>
        <w:t xml:space="preserve"> toolkit and its underpinning peer-reviewed research (Percy et al., 2023).</w:t>
      </w:r>
    </w:p>
    <w:p w14:paraId="16C47A48" w14:textId="77777777" w:rsidR="00D44610" w:rsidRDefault="00D44610"/>
    <w:p w14:paraId="0A93D182" w14:textId="77777777" w:rsidR="00D44610" w:rsidRDefault="00000000">
      <w:pPr>
        <w:spacing w:line="360" w:lineRule="auto"/>
        <w:jc w:val="both"/>
      </w:pPr>
      <w:r>
        <w:rPr>
          <w:b/>
          <w:bCs/>
        </w:rPr>
        <w:t>Nikki Lawrence</w:t>
      </w:r>
    </w:p>
    <w:p w14:paraId="63D9284A" w14:textId="77777777" w:rsidR="00D44610" w:rsidRDefault="00000000">
      <w:pPr>
        <w:spacing w:line="360" w:lineRule="auto"/>
        <w:jc w:val="both"/>
      </w:pPr>
      <w:r>
        <w:t xml:space="preserve">Nikki Lawrence is Chief Executive of Careers Wales, the all-age national careers service for Wales. A qualified accountant (ACMA), she joined Careers Wales in 2004 following senior roles in the NHS and private </w:t>
      </w:r>
      <w:proofErr w:type="gramStart"/>
      <w:r>
        <w:t>sector, and</w:t>
      </w:r>
      <w:proofErr w:type="gramEnd"/>
      <w:r>
        <w:t xml:space="preserve"> was permanently appointed Chief Executive in 2019. She leads the organisation’s </w:t>
      </w:r>
      <w:r>
        <w:rPr>
          <w:i/>
          <w:iCs/>
        </w:rPr>
        <w:t>Brighter Futures</w:t>
      </w:r>
      <w:r>
        <w:t xml:space="preserve"> vision, committed to providing free, high-quality and impartial careers support to every person in Wales. Nikki is a co-author of the </w:t>
      </w:r>
      <w:r>
        <w:rPr>
          <w:i/>
          <w:iCs/>
        </w:rPr>
        <w:t>Building Brighter Futures</w:t>
      </w:r>
      <w:r>
        <w:t xml:space="preserve"> toolkit and the peer-reviewed research trialling its ten-stage guidance conversation structure in Wales (Percy et al., 2023).</w:t>
      </w:r>
    </w:p>
    <w:p w14:paraId="1CEB8457" w14:textId="77777777" w:rsidR="00D44610" w:rsidRDefault="00D44610"/>
    <w:p w14:paraId="1240AED6" w14:textId="77777777" w:rsidR="00D44610" w:rsidRDefault="00000000">
      <w:pPr>
        <w:spacing w:line="360" w:lineRule="auto"/>
        <w:jc w:val="both"/>
      </w:pPr>
      <w:r>
        <w:rPr>
          <w:b/>
          <w:bCs/>
        </w:rPr>
        <w:t>Sareena Hopkins</w:t>
      </w:r>
    </w:p>
    <w:p w14:paraId="5680082E" w14:textId="7465FA16" w:rsidR="00D44610" w:rsidRDefault="00000000">
      <w:pPr>
        <w:spacing w:line="360" w:lineRule="auto"/>
        <w:jc w:val="both"/>
      </w:pPr>
      <w:r>
        <w:t xml:space="preserve">Sareena Hopkins is Co-CEO of the Canadian Career Development Foundation (CCDF), based in Ottawa, Ontario, where she provides strategic leadership nationally and internationally across research, policy and capacity building. Since joining CCDF in 1993, she has played a defining role in strengthening professional standards and advancing evidence-based practice, drawing on an earlier decade of leadership in mental health, housing and integrated service models. She is </w:t>
      </w:r>
      <w:r w:rsidR="00B83462">
        <w:t>Co-Director</w:t>
      </w:r>
      <w:r>
        <w:t xml:space="preserve"> of the Canadian Council for Career Development (3CD), co-leads the </w:t>
      </w:r>
      <w:r>
        <w:rPr>
          <w:i/>
          <w:iCs/>
        </w:rPr>
        <w:t>In Motion &amp; Momentum+</w:t>
      </w:r>
      <w:r>
        <w:t xml:space="preserve"> pre-employability programme, and in January 2026 was awarded the prestigious Etta St. John Wileman Award for Outstanding Achievement in Career Development by CERIC.</w:t>
      </w:r>
    </w:p>
    <w:sectPr w:rsidR="00D4461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B0C91"/>
    <w:multiLevelType w:val="hybridMultilevel"/>
    <w:tmpl w:val="829E8662"/>
    <w:lvl w:ilvl="0" w:tplc="FDCC49CC">
      <w:start w:val="1"/>
      <w:numFmt w:val="bullet"/>
      <w:lvlText w:val="●"/>
      <w:lvlJc w:val="left"/>
      <w:pPr>
        <w:ind w:left="720" w:hanging="360"/>
      </w:pPr>
    </w:lvl>
    <w:lvl w:ilvl="1" w:tplc="9CE8123A">
      <w:start w:val="1"/>
      <w:numFmt w:val="bullet"/>
      <w:lvlText w:val="○"/>
      <w:lvlJc w:val="left"/>
      <w:pPr>
        <w:ind w:left="1440" w:hanging="360"/>
      </w:pPr>
    </w:lvl>
    <w:lvl w:ilvl="2" w:tplc="AF34C9EC">
      <w:start w:val="1"/>
      <w:numFmt w:val="bullet"/>
      <w:lvlText w:val="■"/>
      <w:lvlJc w:val="left"/>
      <w:pPr>
        <w:ind w:left="2160" w:hanging="360"/>
      </w:pPr>
    </w:lvl>
    <w:lvl w:ilvl="3" w:tplc="F87A1FCA">
      <w:start w:val="1"/>
      <w:numFmt w:val="bullet"/>
      <w:lvlText w:val="●"/>
      <w:lvlJc w:val="left"/>
      <w:pPr>
        <w:ind w:left="2880" w:hanging="360"/>
      </w:pPr>
    </w:lvl>
    <w:lvl w:ilvl="4" w:tplc="029C7974">
      <w:start w:val="1"/>
      <w:numFmt w:val="bullet"/>
      <w:lvlText w:val="○"/>
      <w:lvlJc w:val="left"/>
      <w:pPr>
        <w:ind w:left="3600" w:hanging="360"/>
      </w:pPr>
    </w:lvl>
    <w:lvl w:ilvl="5" w:tplc="B5040A30">
      <w:start w:val="1"/>
      <w:numFmt w:val="bullet"/>
      <w:lvlText w:val="■"/>
      <w:lvlJc w:val="left"/>
      <w:pPr>
        <w:ind w:left="4320" w:hanging="360"/>
      </w:pPr>
    </w:lvl>
    <w:lvl w:ilvl="6" w:tplc="1376D50E">
      <w:start w:val="1"/>
      <w:numFmt w:val="bullet"/>
      <w:lvlText w:val="●"/>
      <w:lvlJc w:val="left"/>
      <w:pPr>
        <w:ind w:left="5040" w:hanging="360"/>
      </w:pPr>
    </w:lvl>
    <w:lvl w:ilvl="7" w:tplc="37ECC698">
      <w:start w:val="1"/>
      <w:numFmt w:val="bullet"/>
      <w:lvlText w:val="●"/>
      <w:lvlJc w:val="left"/>
      <w:pPr>
        <w:ind w:left="5760" w:hanging="360"/>
      </w:pPr>
    </w:lvl>
    <w:lvl w:ilvl="8" w:tplc="3B2C6E06">
      <w:start w:val="1"/>
      <w:numFmt w:val="bullet"/>
      <w:lvlText w:val="●"/>
      <w:lvlJc w:val="left"/>
      <w:pPr>
        <w:ind w:left="6480" w:hanging="360"/>
      </w:pPr>
    </w:lvl>
  </w:abstractNum>
  <w:num w:numId="1" w16cid:durableId="20590898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610"/>
    <w:rsid w:val="00115D10"/>
    <w:rsid w:val="00B83462"/>
    <w:rsid w:val="00D446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57A40"/>
  <w15:docId w15:val="{CE41764A-9FB6-4B46-8261-F617ABD0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1351</Words>
  <Characters>7703</Characters>
  <Application>Microsoft Office Word</Application>
  <DocSecurity>0</DocSecurity>
  <Lines>64</Lines>
  <Paragraphs>18</Paragraphs>
  <ScaleCrop>false</ScaleCrop>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Hughes</dc:creator>
  <cp:lastModifiedBy>Bob Hughes</cp:lastModifiedBy>
  <cp:revision>2</cp:revision>
  <dcterms:created xsi:type="dcterms:W3CDTF">2026-04-17T20:35:00Z</dcterms:created>
  <dcterms:modified xsi:type="dcterms:W3CDTF">2026-04-17T20:35:00Z</dcterms:modified>
</cp:coreProperties>
</file>