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9687C" w14:textId="53867252" w:rsidR="00DF0F4B" w:rsidRDefault="00DF0F4B" w:rsidP="007E3C1E">
      <w:pPr>
        <w:spacing w:line="360" w:lineRule="auto"/>
        <w:rPr>
          <w:rFonts w:ascii="Calibri" w:hAnsi="Calibri" w:cs="Calibri"/>
          <w:sz w:val="22"/>
          <w:szCs w:val="22"/>
        </w:rPr>
      </w:pPr>
      <w:r w:rsidRPr="00DF0F4B">
        <w:rPr>
          <w:rFonts w:ascii="Calibri" w:hAnsi="Calibri" w:cs="Calibri"/>
          <w:b/>
          <w:bCs/>
          <w:sz w:val="22"/>
          <w:szCs w:val="22"/>
        </w:rPr>
        <w:t>First Author</w:t>
      </w:r>
      <w:r>
        <w:rPr>
          <w:rFonts w:ascii="Calibri" w:hAnsi="Calibri" w:cs="Calibri"/>
          <w:b/>
          <w:bCs/>
          <w:sz w:val="22"/>
          <w:szCs w:val="22"/>
        </w:rPr>
        <w:t xml:space="preserve"> and Presenter</w:t>
      </w:r>
      <w:r>
        <w:rPr>
          <w:rFonts w:ascii="Calibri" w:hAnsi="Calibri" w:cs="Calibri"/>
          <w:sz w:val="22"/>
          <w:szCs w:val="22"/>
        </w:rPr>
        <w:t xml:space="preserve">: Luke, Jennifer. </w:t>
      </w:r>
      <w:hyperlink r:id="rId6" w:history="1">
        <w:r w:rsidRPr="001834AC">
          <w:rPr>
            <w:rStyle w:val="Hyperlink"/>
            <w:rFonts w:ascii="Calibri" w:hAnsi="Calibri" w:cs="Calibri"/>
            <w:sz w:val="22"/>
            <w:szCs w:val="22"/>
          </w:rPr>
          <w:t>Jennifer.Luke@unisq.edu.au</w:t>
        </w:r>
      </w:hyperlink>
      <w:r>
        <w:rPr>
          <w:rFonts w:ascii="Calibri" w:hAnsi="Calibri" w:cs="Calibri"/>
          <w:sz w:val="22"/>
          <w:szCs w:val="22"/>
        </w:rPr>
        <w:t>. University of Southern Queensland.</w:t>
      </w:r>
    </w:p>
    <w:p w14:paraId="3DCA2158" w14:textId="40AF00E5" w:rsidR="00AA5948" w:rsidRDefault="00DF0F4B" w:rsidP="007E3C1E">
      <w:pPr>
        <w:spacing w:line="360" w:lineRule="auto"/>
        <w:rPr>
          <w:rFonts w:ascii="Calibri" w:hAnsi="Calibri" w:cs="Calibri"/>
          <w:sz w:val="22"/>
          <w:szCs w:val="22"/>
        </w:rPr>
      </w:pPr>
      <w:r>
        <w:rPr>
          <w:rFonts w:ascii="Calibri" w:hAnsi="Calibri" w:cs="Calibri"/>
          <w:b/>
          <w:bCs/>
          <w:sz w:val="22"/>
          <w:szCs w:val="22"/>
        </w:rPr>
        <w:t>Additional</w:t>
      </w:r>
      <w:r w:rsidRPr="00DF0F4B">
        <w:rPr>
          <w:rFonts w:ascii="Calibri" w:hAnsi="Calibri" w:cs="Calibri"/>
          <w:b/>
          <w:bCs/>
          <w:sz w:val="22"/>
          <w:szCs w:val="22"/>
        </w:rPr>
        <w:t xml:space="preserve"> Authors and Presenters:</w:t>
      </w:r>
      <w:r w:rsidRPr="00DF0F4B">
        <w:rPr>
          <w:rFonts w:ascii="Calibri" w:hAnsi="Calibri" w:cs="Calibri"/>
          <w:b/>
          <w:bCs/>
          <w:sz w:val="22"/>
          <w:szCs w:val="22"/>
        </w:rPr>
        <w:br/>
      </w:r>
      <w:r>
        <w:rPr>
          <w:rFonts w:ascii="Calibri" w:hAnsi="Calibri" w:cs="Calibri"/>
          <w:sz w:val="22"/>
          <w:szCs w:val="22"/>
        </w:rPr>
        <w:t>McIlveen, Peter. University of Southern Queensland. Author and Presenter.</w:t>
      </w:r>
      <w:r>
        <w:rPr>
          <w:rFonts w:ascii="Calibri" w:hAnsi="Calibri" w:cs="Calibri"/>
          <w:sz w:val="22"/>
          <w:szCs w:val="22"/>
        </w:rPr>
        <w:br/>
        <w:t xml:space="preserve">Bartlett, Cristy. </w:t>
      </w:r>
      <w:r>
        <w:rPr>
          <w:rFonts w:ascii="Calibri" w:hAnsi="Calibri" w:cs="Calibri"/>
          <w:sz w:val="22"/>
          <w:szCs w:val="22"/>
        </w:rPr>
        <w:t>University of Southern Queensland</w:t>
      </w:r>
      <w:r>
        <w:rPr>
          <w:rFonts w:ascii="Calibri" w:hAnsi="Calibri" w:cs="Calibri"/>
          <w:sz w:val="22"/>
          <w:szCs w:val="22"/>
        </w:rPr>
        <w:t xml:space="preserve">. </w:t>
      </w:r>
      <w:r>
        <w:rPr>
          <w:rFonts w:ascii="Calibri" w:hAnsi="Calibri" w:cs="Calibri"/>
          <w:sz w:val="22"/>
          <w:szCs w:val="22"/>
        </w:rPr>
        <w:t>Author and Presenter.</w:t>
      </w:r>
      <w:r>
        <w:rPr>
          <w:rFonts w:ascii="Calibri" w:hAnsi="Calibri" w:cs="Calibri"/>
          <w:sz w:val="22"/>
          <w:szCs w:val="22"/>
        </w:rPr>
        <w:br/>
      </w:r>
    </w:p>
    <w:p w14:paraId="3290BF98" w14:textId="77777777" w:rsidR="00DF0F4B" w:rsidRDefault="00DF0F4B" w:rsidP="00DF0F4B">
      <w:pPr>
        <w:spacing w:line="360" w:lineRule="auto"/>
        <w:rPr>
          <w:rFonts w:ascii="Calibri" w:hAnsi="Calibri" w:cs="Calibri"/>
          <w:b/>
          <w:bCs/>
          <w:sz w:val="22"/>
          <w:szCs w:val="22"/>
        </w:rPr>
      </w:pPr>
      <w:r w:rsidRPr="007E3C1E">
        <w:rPr>
          <w:rFonts w:ascii="Calibri" w:hAnsi="Calibri" w:cs="Calibri"/>
          <w:b/>
          <w:bCs/>
          <w:sz w:val="22"/>
          <w:szCs w:val="22"/>
        </w:rPr>
        <w:t>Psychological Health, Wellbeing, and Adaptability in Rural Communities</w:t>
      </w:r>
    </w:p>
    <w:p w14:paraId="545AAC0B" w14:textId="00E3CA07" w:rsidR="0054471A" w:rsidRPr="0054471A" w:rsidRDefault="0054471A" w:rsidP="007E3C1E">
      <w:pPr>
        <w:spacing w:line="360" w:lineRule="auto"/>
        <w:rPr>
          <w:rFonts w:ascii="Calibri" w:hAnsi="Calibri" w:cs="Calibri"/>
          <w:sz w:val="22"/>
          <w:szCs w:val="22"/>
        </w:rPr>
      </w:pPr>
      <w:r w:rsidRPr="0054471A">
        <w:rPr>
          <w:rFonts w:ascii="Calibri" w:hAnsi="Calibri" w:cs="Calibri"/>
          <w:sz w:val="22"/>
          <w:szCs w:val="22"/>
        </w:rPr>
        <w:t>Regional, rural, and remote communities experience persistent psychological, wellbeing, and employment inequities compared with metropolitan populations. These include elevated suicide rates, limited access to healthcare, geographic isolation, and workforce instability. Such conditions affect not only community members but also the health academics who educate and sustain the rural health workforce. Despite their importance, rural wellbeing and employment interventions, as well as the sustainability of rural academic careers, remain under</w:t>
      </w:r>
      <w:r w:rsidRPr="0054471A">
        <w:rPr>
          <w:rFonts w:ascii="Cambria Math" w:hAnsi="Cambria Math" w:cs="Cambria Math"/>
          <w:sz w:val="22"/>
          <w:szCs w:val="22"/>
        </w:rPr>
        <w:t>‑</w:t>
      </w:r>
      <w:r w:rsidRPr="0054471A">
        <w:rPr>
          <w:rFonts w:ascii="Calibri" w:hAnsi="Calibri" w:cs="Calibri"/>
          <w:sz w:val="22"/>
          <w:szCs w:val="22"/>
        </w:rPr>
        <w:t>researched. Rural psychology remains underdeveloped, with limited community</w:t>
      </w:r>
      <w:r w:rsidRPr="0054471A">
        <w:rPr>
          <w:rFonts w:ascii="Cambria Math" w:hAnsi="Cambria Math" w:cs="Cambria Math"/>
          <w:sz w:val="22"/>
          <w:szCs w:val="22"/>
        </w:rPr>
        <w:t>‑</w:t>
      </w:r>
      <w:r w:rsidRPr="0054471A">
        <w:rPr>
          <w:rFonts w:ascii="Calibri" w:hAnsi="Calibri" w:cs="Calibri"/>
          <w:sz w:val="22"/>
          <w:szCs w:val="22"/>
        </w:rPr>
        <w:t>level research linking place, wellbeing, and work. Although not conceived as a single research programme, this presentation synthesises interconnected studies that address overlapping questions of psychological wellbeing, meaningful work, and sustainability in rural contexts.</w:t>
      </w:r>
    </w:p>
    <w:p w14:paraId="358714A3" w14:textId="162115B0" w:rsidR="0054471A" w:rsidRPr="002C4C3C" w:rsidRDefault="0054471A" w:rsidP="007E3C1E">
      <w:pPr>
        <w:spacing w:line="360" w:lineRule="auto"/>
        <w:rPr>
          <w:rFonts w:ascii="Calibri" w:hAnsi="Calibri" w:cs="Calibri"/>
          <w:sz w:val="22"/>
          <w:szCs w:val="22"/>
        </w:rPr>
      </w:pPr>
      <w:r w:rsidRPr="0054471A">
        <w:rPr>
          <w:rFonts w:ascii="Calibri" w:hAnsi="Calibri" w:cs="Calibri"/>
          <w:sz w:val="22"/>
          <w:szCs w:val="22"/>
        </w:rPr>
        <w:t>The presentation adopts an integrated rural–vocational psychology perspective to examine how wellbeing, work, and career sustainability are shaped by place. Drawing on Self</w:t>
      </w:r>
      <w:r w:rsidRPr="0054471A">
        <w:rPr>
          <w:rFonts w:ascii="Cambria Math" w:hAnsi="Cambria Math" w:cs="Cambria Math"/>
          <w:sz w:val="22"/>
          <w:szCs w:val="22"/>
        </w:rPr>
        <w:t>‑</w:t>
      </w:r>
      <w:r w:rsidRPr="0054471A">
        <w:rPr>
          <w:rFonts w:ascii="Calibri" w:hAnsi="Calibri" w:cs="Calibri"/>
          <w:sz w:val="22"/>
          <w:szCs w:val="22"/>
        </w:rPr>
        <w:t>Determination Theory</w:t>
      </w:r>
      <w:r w:rsidR="00C711BA" w:rsidRPr="002C4C3C">
        <w:rPr>
          <w:rFonts w:ascii="Calibri" w:hAnsi="Calibri" w:cs="Calibri"/>
          <w:sz w:val="22"/>
          <w:szCs w:val="22"/>
        </w:rPr>
        <w:t xml:space="preserve"> </w:t>
      </w:r>
      <w:r w:rsidR="00C711BA" w:rsidRPr="002C4C3C">
        <w:rPr>
          <w:rFonts w:ascii="Calibri" w:hAnsi="Calibri" w:cs="Calibri"/>
          <w:sz w:val="22"/>
          <w:szCs w:val="22"/>
        </w:rPr>
        <w:fldChar w:fldCharType="begin"/>
      </w:r>
      <w:r w:rsidR="00C711BA" w:rsidRPr="002C4C3C">
        <w:rPr>
          <w:rFonts w:ascii="Calibri" w:hAnsi="Calibri" w:cs="Calibri"/>
          <w:sz w:val="22"/>
          <w:szCs w:val="22"/>
        </w:rPr>
        <w:instrText xml:space="preserve"> ADDIN ZOTERO_ITEM CSL_CITATION {"citationID":"41c61KkT","properties":{"unsorted":false,"formattedCitation":"(Ryan &amp; Deci, 2000)","plainCitation":"(Ryan &amp; Deci, 2000)","noteIndex":0},"citationItems":[{"id":10593,"uris":["http://zotero.org/users/5639163/items/ES2P85CK"],"itemData":{"id":10593,"type":"article-journal","abstract":"Human beings can be proactive and engaged or, alternatively, passive and alienated, largely as a function of the social conditions in which they develop and function. Accordingly, research guided by self-determination theory has focused on the social-contextual conditions that facilitate versus forestall the natural processes of self-motivation and healthy psychological development. Specifically, factors have been examined that enhance versus undermine intrinsic motivation, self-regulation, and well-being. The findings have led to the postulate of three innate psychological needs--competence, autonomy, and relatedness--which when satisfied yield enhanced self-motivation and mental health and when thwarted lead to diminished motivation and well-being. Also considered is the significance of these psychological needs and processes within domains such as health care, education, work, sport, religion, and psychotherapy.","container-title":"The American Psychologist","DOI":"10.1037//0003-066x.55.1.68","ISSN":"0003-066X","issue":"1","journalAbbreviation":"Am Psychol","language":"eng","page":"68-78","PMID":"11392867","source":"PubMed","title":"Self-determination theory and the facilitation of intrinsic motivation, social development, and well-being","volume":"55","author":[{"family":"Ryan","given":"R. M."},{"family":"Deci","given":"E. L."}],"issued":{"date-parts":[["2000",1]]}}}],"schema":"https://github.com/citation-style-language/schema/raw/master/csl-citation.json"} </w:instrText>
      </w:r>
      <w:r w:rsidR="00C711BA" w:rsidRPr="002C4C3C">
        <w:rPr>
          <w:rFonts w:ascii="Calibri" w:hAnsi="Calibri" w:cs="Calibri"/>
          <w:sz w:val="22"/>
          <w:szCs w:val="22"/>
        </w:rPr>
        <w:fldChar w:fldCharType="separate"/>
      </w:r>
      <w:r w:rsidR="00C711BA" w:rsidRPr="002C4C3C">
        <w:rPr>
          <w:rFonts w:ascii="Calibri" w:hAnsi="Calibri" w:cs="Calibri"/>
          <w:sz w:val="22"/>
          <w:szCs w:val="22"/>
        </w:rPr>
        <w:t>(Ryan &amp; Deci, 2000)</w:t>
      </w:r>
      <w:r w:rsidR="00C711BA" w:rsidRPr="002C4C3C">
        <w:rPr>
          <w:rFonts w:ascii="Calibri" w:hAnsi="Calibri" w:cs="Calibri"/>
          <w:sz w:val="22"/>
          <w:szCs w:val="22"/>
        </w:rPr>
        <w:fldChar w:fldCharType="end"/>
      </w:r>
      <w:r w:rsidRPr="0054471A">
        <w:rPr>
          <w:rFonts w:ascii="Calibri" w:hAnsi="Calibri" w:cs="Calibri"/>
          <w:sz w:val="22"/>
          <w:szCs w:val="22"/>
        </w:rPr>
        <w:t>, the Psychology of Working</w:t>
      </w:r>
      <w:r w:rsidR="00C711BA" w:rsidRPr="002C4C3C">
        <w:rPr>
          <w:rFonts w:ascii="Calibri" w:hAnsi="Calibri" w:cs="Calibri"/>
          <w:sz w:val="22"/>
          <w:szCs w:val="22"/>
        </w:rPr>
        <w:t xml:space="preserve"> Framework </w:t>
      </w:r>
      <w:r w:rsidR="00C711BA" w:rsidRPr="002C4C3C">
        <w:rPr>
          <w:rFonts w:ascii="Calibri" w:hAnsi="Calibri" w:cs="Calibri"/>
          <w:sz w:val="22"/>
          <w:szCs w:val="22"/>
        </w:rPr>
        <w:fldChar w:fldCharType="begin"/>
      </w:r>
      <w:r w:rsidR="0089073E" w:rsidRPr="002C4C3C">
        <w:rPr>
          <w:rFonts w:ascii="Calibri" w:hAnsi="Calibri" w:cs="Calibri"/>
          <w:sz w:val="22"/>
          <w:szCs w:val="22"/>
        </w:rPr>
        <w:instrText xml:space="preserve"> ADDIN ZOTERO_ITEM CSL_CITATION {"citationID":"g2b49GLj","properties":{"unsorted":false,"formattedCitation":"(Blustein, 2013)","plainCitation":"(Blustein, 2013)","noteIndex":0},"citationItems":[{"id":1846,"uris":["http://zotero.org/groups/6071944/items/88H3HW3R"],"itemData":{"id":1846,"type":"chapter","abstract":"This chapter serves as an introduction to The Oxford Handbook of the Psychology of Working. The two foci of the psychology of working, a critique of existing discourses about work and career and a framework for a new perspective for understanding the psychological nature of working, are reviewed. A brief synopsis of each of the sections and chapters in this book is then presented, with a summary of how these contributions function, independently and collectively, to create the foundation for a dignified and inclusive discourse on the role of work in people's lives. The chapter concludes with suggestions for advancing the psychology-of-working perspective.","container-title":"The Oxford handbook of the psychology of working","DOI":"10.1093/oxfordhb/9780199758791.013.0001","ISBN":"978-0-19-975879-1","page":"3-18","publisher":"Oxford University Press","source":"Silverchair","title":"The Psychology of working: A new perspective for a new era","title-short":"The Psychology of Working","URL":"https://doi.org/10.1093/oxfordhb/9780199758791.013.0001","author":[{"family":"Blustein","given":"David L."}],"editor":[{"family":"Blustein","given":"David L."}],"accessed":{"date-parts":[["2023",3,24]]},"issued":{"date-parts":[["2013",6,26]]}}}],"schema":"https://github.com/citation-style-language/schema/raw/master/csl-citation.json"} </w:instrText>
      </w:r>
      <w:r w:rsidR="00C711BA" w:rsidRPr="002C4C3C">
        <w:rPr>
          <w:rFonts w:ascii="Calibri" w:hAnsi="Calibri" w:cs="Calibri"/>
          <w:sz w:val="22"/>
          <w:szCs w:val="22"/>
        </w:rPr>
        <w:fldChar w:fldCharType="separate"/>
      </w:r>
      <w:r w:rsidR="0089073E" w:rsidRPr="002C4C3C">
        <w:rPr>
          <w:rFonts w:ascii="Calibri" w:hAnsi="Calibri" w:cs="Calibri"/>
          <w:sz w:val="22"/>
          <w:szCs w:val="22"/>
        </w:rPr>
        <w:t>(Blustein, 2013)</w:t>
      </w:r>
      <w:r w:rsidR="00C711BA" w:rsidRPr="002C4C3C">
        <w:rPr>
          <w:rFonts w:ascii="Calibri" w:hAnsi="Calibri" w:cs="Calibri"/>
          <w:sz w:val="22"/>
          <w:szCs w:val="22"/>
        </w:rPr>
        <w:fldChar w:fldCharType="end"/>
      </w:r>
      <w:r w:rsidRPr="0054471A">
        <w:rPr>
          <w:rFonts w:ascii="Calibri" w:hAnsi="Calibri" w:cs="Calibri"/>
          <w:sz w:val="22"/>
          <w:szCs w:val="22"/>
        </w:rPr>
        <w:t>, and the Systems Theory Framework of Career Development</w:t>
      </w:r>
      <w:r w:rsidR="00AA5948" w:rsidRPr="002C4C3C">
        <w:rPr>
          <w:rFonts w:ascii="Calibri" w:hAnsi="Calibri" w:cs="Calibri"/>
          <w:sz w:val="22"/>
          <w:szCs w:val="22"/>
        </w:rPr>
        <w:t xml:space="preserve"> </w:t>
      </w:r>
      <w:r w:rsidR="00AA5948" w:rsidRPr="002C4C3C">
        <w:rPr>
          <w:rFonts w:ascii="Calibri" w:hAnsi="Calibri" w:cs="Calibri"/>
          <w:sz w:val="22"/>
          <w:szCs w:val="22"/>
        </w:rPr>
        <w:fldChar w:fldCharType="begin"/>
      </w:r>
      <w:r w:rsidR="00AA5948" w:rsidRPr="002C4C3C">
        <w:rPr>
          <w:rFonts w:ascii="Calibri" w:hAnsi="Calibri" w:cs="Calibri"/>
          <w:sz w:val="22"/>
          <w:szCs w:val="22"/>
        </w:rPr>
        <w:instrText xml:space="preserve"> ADDIN ZOTERO_ITEM CSL_CITATION {"citationID":"8pVFA9DE","properties":{"unsorted":false,"formattedCitation":"(Patton &amp; McMahon, 2021)","plainCitation":"(Patton &amp; McMahon, 2021)","noteIndex":0},"citationItems":[{"id":7352,"uris":["http://zotero.org/users/5639163/items/B2SRXI9S"],"itemData":{"id":7352,"type":"book","ISBN":"978-90-04-46621-0","language":"en","publisher":"Brill","source":"brill.com","title":"Career Development and Systems Theory: Connecting Theory and Practice (4th Edition)","title-short":"Career Development and Systems Theory","URL":"https://brill.com/display/title/60419","author":[{"family":"Patton","given":"Wendy"},{"family":"McMahon","given":"Mary"}],"accessed":{"date-parts":[["2025",1,21]]},"issued":{"date-parts":[["2021",8,4]]}}}],"schema":"https://github.com/citation-style-language/schema/raw/master/csl-citation.json"} </w:instrText>
      </w:r>
      <w:r w:rsidR="00AA5948" w:rsidRPr="002C4C3C">
        <w:rPr>
          <w:rFonts w:ascii="Calibri" w:hAnsi="Calibri" w:cs="Calibri"/>
          <w:sz w:val="22"/>
          <w:szCs w:val="22"/>
        </w:rPr>
        <w:fldChar w:fldCharType="separate"/>
      </w:r>
      <w:r w:rsidR="00AA5948" w:rsidRPr="002C4C3C">
        <w:rPr>
          <w:rFonts w:ascii="Calibri" w:hAnsi="Calibri" w:cs="Calibri"/>
          <w:sz w:val="22"/>
          <w:szCs w:val="22"/>
        </w:rPr>
        <w:t>(Patton &amp; McMahon, 2021)</w:t>
      </w:r>
      <w:r w:rsidR="00AA5948" w:rsidRPr="002C4C3C">
        <w:rPr>
          <w:rFonts w:ascii="Calibri" w:hAnsi="Calibri" w:cs="Calibri"/>
          <w:sz w:val="22"/>
          <w:szCs w:val="22"/>
        </w:rPr>
        <w:fldChar w:fldCharType="end"/>
      </w:r>
      <w:r w:rsidRPr="0054471A">
        <w:rPr>
          <w:rFonts w:ascii="Calibri" w:hAnsi="Calibri" w:cs="Calibri"/>
          <w:sz w:val="22"/>
          <w:szCs w:val="22"/>
        </w:rPr>
        <w:t>, it explores how motivation, identity, employability resources, and contextual systems interact to influence experiences of work and psychological wellbeing across rural environments and life stages.</w:t>
      </w:r>
    </w:p>
    <w:p w14:paraId="50DC91D5" w14:textId="7FCC0E3D" w:rsidR="002C4C3C" w:rsidRPr="0054471A" w:rsidRDefault="002C4C3C" w:rsidP="002C4C3C">
      <w:pPr>
        <w:spacing w:line="360" w:lineRule="auto"/>
        <w:rPr>
          <w:rFonts w:ascii="Calibri" w:hAnsi="Calibri" w:cs="Calibri"/>
          <w:sz w:val="22"/>
          <w:szCs w:val="22"/>
        </w:rPr>
      </w:pPr>
      <w:r w:rsidRPr="002C4C3C">
        <w:rPr>
          <w:rFonts w:ascii="Calibri" w:hAnsi="Calibri" w:cs="Calibri"/>
          <w:sz w:val="22"/>
          <w:szCs w:val="22"/>
        </w:rPr>
        <w:t>Findings are drawn from two PRISMA</w:t>
      </w:r>
      <w:r w:rsidRPr="002C4C3C">
        <w:rPr>
          <w:rFonts w:ascii="Cambria Math" w:hAnsi="Cambria Math" w:cs="Cambria Math"/>
          <w:sz w:val="22"/>
          <w:szCs w:val="22"/>
        </w:rPr>
        <w:t>‑</w:t>
      </w:r>
      <w:r w:rsidRPr="002C4C3C">
        <w:rPr>
          <w:rFonts w:ascii="Calibri" w:hAnsi="Calibri" w:cs="Calibri"/>
          <w:sz w:val="22"/>
          <w:szCs w:val="22"/>
        </w:rPr>
        <w:t xml:space="preserve">guided systematic reviews and a conceptual analysis. The first review </w:t>
      </w:r>
      <w:r w:rsidRPr="002C4C3C">
        <w:rPr>
          <w:rFonts w:ascii="Calibri" w:hAnsi="Calibri" w:cs="Calibri"/>
          <w:sz w:val="22"/>
          <w:szCs w:val="22"/>
        </w:rPr>
        <w:fldChar w:fldCharType="begin"/>
      </w:r>
      <w:r w:rsidRPr="002C4C3C">
        <w:rPr>
          <w:rFonts w:ascii="Calibri" w:hAnsi="Calibri" w:cs="Calibri"/>
          <w:sz w:val="22"/>
          <w:szCs w:val="22"/>
        </w:rPr>
        <w:instrText xml:space="preserve"> ADDIN ZOTERO_ITEM CSL_CITATION {"citationID":"2ewvXGQO","properties":{"unsorted":false,"formattedCitation":"(Luke et al., 2024)","plainCitation":"(Luke et al., 2024)","noteIndex":0},"citationItems":[{"id":7990,"uris":["http://zotero.org/users/5639163/items/DFV6D7GG"],"itemData":{"id":7990,"type":"article-journal","abstract":"Objective To systematically review evaluated local, community or peer-delivered well-being and employment interventions delivered within regional, rural and remote Australia. Design Searches within nine databases retrieved peer-reviewed and grey literature from an initial pool of 3186 papers published between 2012 and 2022. PRISMA guidelines were adhered to, and the Mixed Methods Appraisal Tool (MMAT) was used to assess the quality of the well-being or employment (or both) articles. Findings A total of 19 items met the inclusion criteria, which included two quantitative, 12 qualitative and five mixed-methods evaluations. Intervention cohorts included Indigenous Australians, youth, older people, workers and the general community. The average methodological rating was 83%. The overall level of evidence for the interventions was low due to mostly descriptive studies. Discussion Interventions that appeared effective in improving well-being tended to focus on addressing social connectedness and self-determination. Unexpected employment outcomes were evident across many of the studies, which highlighted the reciprocity between well-being and employment. Conclusion This review highlights promising interventions for improving well-being by focusing on social connectedness and self-determination. Further empirical evidence is encouraged to explore the reciprocal relationship between well-being and employment, emphasising the significance of social connectedness and self-determination in this context.","container-title":"Australian Journal of Rural Health","DOI":"10.1111/ajr.13113","ISSN":"1440-1584","issue":"32","language":"en","page":"433-454","source":"Wiley Online Library","title":"A systematic review of effective local, community or peer-delivered interventions to improve well-being and employment in regional, rural and remote areas of Australia","author":[{"family":"Luke","given":"Jennifer"},{"family":"Bartlett","given":"Cristy"},{"family":"March","given":"Sonja"},{"family":"McIlveen","given":"Peter"}],"issued":{"date-parts":[["2024"]]}}}],"schema":"https://github.com/citation-style-language/schema/raw/master/csl-citation.json"} </w:instrText>
      </w:r>
      <w:r w:rsidRPr="002C4C3C">
        <w:rPr>
          <w:rFonts w:ascii="Calibri" w:hAnsi="Calibri" w:cs="Calibri"/>
          <w:sz w:val="22"/>
          <w:szCs w:val="22"/>
        </w:rPr>
        <w:fldChar w:fldCharType="separate"/>
      </w:r>
      <w:r w:rsidRPr="002C4C3C">
        <w:rPr>
          <w:rFonts w:ascii="Calibri" w:hAnsi="Calibri" w:cs="Calibri"/>
          <w:sz w:val="22"/>
          <w:szCs w:val="22"/>
        </w:rPr>
        <w:t>(Luke et al., 2024)</w:t>
      </w:r>
      <w:r w:rsidRPr="002C4C3C">
        <w:rPr>
          <w:rFonts w:ascii="Calibri" w:hAnsi="Calibri" w:cs="Calibri"/>
          <w:sz w:val="22"/>
          <w:szCs w:val="22"/>
        </w:rPr>
        <w:fldChar w:fldCharType="end"/>
      </w:r>
      <w:r w:rsidRPr="002C4C3C">
        <w:rPr>
          <w:rFonts w:ascii="Calibri" w:hAnsi="Calibri" w:cs="Calibri"/>
          <w:sz w:val="22"/>
          <w:szCs w:val="22"/>
        </w:rPr>
        <w:t xml:space="preserve"> identified 19 eligible studies from 3,186 papers (2012–2022) examining Australian rural community</w:t>
      </w:r>
      <w:r w:rsidRPr="002C4C3C">
        <w:rPr>
          <w:rFonts w:ascii="Cambria Math" w:hAnsi="Cambria Math" w:cs="Cambria Math"/>
          <w:sz w:val="22"/>
          <w:szCs w:val="22"/>
        </w:rPr>
        <w:t>‑</w:t>
      </w:r>
      <w:r w:rsidRPr="002C4C3C">
        <w:rPr>
          <w:rFonts w:ascii="Calibri" w:hAnsi="Calibri" w:cs="Calibri"/>
          <w:sz w:val="22"/>
          <w:szCs w:val="22"/>
        </w:rPr>
        <w:t xml:space="preserve"> and peer</w:t>
      </w:r>
      <w:r w:rsidRPr="002C4C3C">
        <w:rPr>
          <w:rFonts w:ascii="Cambria Math" w:hAnsi="Cambria Math" w:cs="Cambria Math"/>
          <w:sz w:val="22"/>
          <w:szCs w:val="22"/>
        </w:rPr>
        <w:t>‑</w:t>
      </w:r>
      <w:r w:rsidRPr="002C4C3C">
        <w:rPr>
          <w:rFonts w:ascii="Calibri" w:hAnsi="Calibri" w:cs="Calibri"/>
          <w:sz w:val="22"/>
          <w:szCs w:val="22"/>
        </w:rPr>
        <w:t>delivered wellbeing and employment interventions. Using the Mixed Methods Appraisal Tool, interventions emphasising social connectedness, autonomy, and self</w:t>
      </w:r>
      <w:r w:rsidRPr="002C4C3C">
        <w:rPr>
          <w:rFonts w:ascii="Cambria Math" w:hAnsi="Cambria Math" w:cs="Cambria Math"/>
          <w:sz w:val="22"/>
          <w:szCs w:val="22"/>
        </w:rPr>
        <w:t>‑</w:t>
      </w:r>
      <w:r w:rsidRPr="002C4C3C">
        <w:rPr>
          <w:rFonts w:ascii="Calibri" w:hAnsi="Calibri" w:cs="Calibri"/>
          <w:sz w:val="22"/>
          <w:szCs w:val="22"/>
        </w:rPr>
        <w:t>determination showed the strongest effectiveness, with an average quality rating of 83 per cent. A reciprocal relationship between wellbeing and employment informed the development of a Rural Wellbeing Toolkit structured around recognise, connect, and support across seven wellbeing domains.</w:t>
      </w:r>
      <w:r w:rsidRPr="002C4C3C">
        <w:rPr>
          <w:rFonts w:ascii="Calibri" w:hAnsi="Calibri" w:cs="Calibri"/>
          <w:sz w:val="22"/>
          <w:szCs w:val="22"/>
        </w:rPr>
        <w:t xml:space="preserve"> </w:t>
      </w:r>
      <w:r w:rsidRPr="002C4C3C">
        <w:rPr>
          <w:rFonts w:ascii="Calibri" w:hAnsi="Calibri" w:cs="Calibri"/>
          <w:sz w:val="22"/>
          <w:szCs w:val="22"/>
        </w:rPr>
        <w:t xml:space="preserve">The second review </w:t>
      </w:r>
      <w:r w:rsidRPr="002C4C3C">
        <w:rPr>
          <w:rFonts w:ascii="Calibri" w:hAnsi="Calibri" w:cs="Calibri"/>
          <w:sz w:val="22"/>
          <w:szCs w:val="22"/>
        </w:rPr>
        <w:fldChar w:fldCharType="begin"/>
      </w:r>
      <w:r w:rsidRPr="002C4C3C">
        <w:rPr>
          <w:rFonts w:ascii="Calibri" w:hAnsi="Calibri" w:cs="Calibri"/>
          <w:sz w:val="22"/>
          <w:szCs w:val="22"/>
        </w:rPr>
        <w:instrText xml:space="preserve"> ADDIN ZOTERO_ITEM CSL_CITATION {"citationID":"df30Gewu","properties":{"unsorted":false,"formattedCitation":"(McIlveen et al., 2026)","plainCitation":"(McIlveen et al., 2026)","noteIndex":0},"citationItems":[{"id":10596,"uris":["http://zotero.org/users/5639163/items/WJNGZWD4"],"itemData":{"id":10596,"type":"article-journal","abstract":"Academics whose research and teaching are focused on healthcare professions are essential for Australians’ access to healthcare. Academics based in regional and rural communities and universities face challenges of workforce precarity and high workloads, which threaten the sustainability of their careers and, consequently, rural health workforce training. Their careers ensure a pipeline of healthcare professionals for rural practice. The present research used the sustainable career framework and systems theory framework to explore the careers of health academics whose work predominantly occurs in regional and rural contexts. A systematic literature review following the PRISMA protocol identified nine articles which generated findings pertaining to challenges to sustainable careers, including person and place-based factors; workload, expectations, and reality; and tensions and pressures between clinical and academic activities. Future research is needed to understand the influence of regionality and place on health academics’ career trajectories.","container-title":"Journal of Higher Education Policy and Management","DOI":"10.1080/1360080X.2025.2593846","ISSN":"1360-080X","issue":"2-3","note":"_eprint: https://doi.org/10.1080/1360080X.2025.2593846","page":"135-157","publisher":"Routledge","source":"Taylor and Francis+NEJM","title":"Health academics’ sustainable careers are essential for sustaining a regional, rural and remote healthcare workforce","volume":"48","author":[{"family":"McIlveen","given":"Peter"},{"family":"Beccaria","given":"Lisa"},{"family":"Luke","given":"Jennifer"},{"family":"Bartlett","given":"Cristy"},{"family":"Couch","given":"Daniel"}],"issued":{"date-parts":[["2026",3,4]]}}}],"schema":"https://github.com/citation-style-language/schema/raw/master/csl-citation.json"} </w:instrText>
      </w:r>
      <w:r w:rsidRPr="002C4C3C">
        <w:rPr>
          <w:rFonts w:ascii="Calibri" w:hAnsi="Calibri" w:cs="Calibri"/>
          <w:sz w:val="22"/>
          <w:szCs w:val="22"/>
        </w:rPr>
        <w:fldChar w:fldCharType="separate"/>
      </w:r>
      <w:r w:rsidRPr="002C4C3C">
        <w:rPr>
          <w:rFonts w:ascii="Calibri" w:hAnsi="Calibri" w:cs="Calibri"/>
          <w:sz w:val="22"/>
          <w:szCs w:val="22"/>
        </w:rPr>
        <w:t>(McIlveen et al., 2026)</w:t>
      </w:r>
      <w:r w:rsidRPr="002C4C3C">
        <w:rPr>
          <w:rFonts w:ascii="Calibri" w:hAnsi="Calibri" w:cs="Calibri"/>
          <w:sz w:val="22"/>
          <w:szCs w:val="22"/>
        </w:rPr>
        <w:fldChar w:fldCharType="end"/>
      </w:r>
      <w:r w:rsidRPr="002C4C3C">
        <w:rPr>
          <w:rFonts w:ascii="Calibri" w:hAnsi="Calibri" w:cs="Calibri"/>
          <w:sz w:val="22"/>
          <w:szCs w:val="22"/>
        </w:rPr>
        <w:t xml:space="preserve"> </w:t>
      </w:r>
      <w:r w:rsidRPr="002C4C3C">
        <w:rPr>
          <w:rFonts w:ascii="Calibri" w:hAnsi="Calibri" w:cs="Calibri"/>
          <w:sz w:val="22"/>
          <w:szCs w:val="22"/>
        </w:rPr>
        <w:t>identified nine studies on sustainable careers among health academics in Australian regional, rural, and remote settings, highlighting person</w:t>
      </w:r>
      <w:r w:rsidRPr="002C4C3C">
        <w:rPr>
          <w:rFonts w:ascii="Cambria Math" w:hAnsi="Cambria Math" w:cs="Cambria Math"/>
          <w:sz w:val="22"/>
          <w:szCs w:val="22"/>
        </w:rPr>
        <w:t>‑</w:t>
      </w:r>
      <w:r w:rsidRPr="002C4C3C">
        <w:rPr>
          <w:rFonts w:ascii="Calibri" w:hAnsi="Calibri" w:cs="Calibri"/>
          <w:sz w:val="22"/>
          <w:szCs w:val="22"/>
        </w:rPr>
        <w:t xml:space="preserve"> and </w:t>
      </w:r>
      <w:r w:rsidRPr="002C4C3C">
        <w:rPr>
          <w:rFonts w:ascii="Calibri" w:hAnsi="Calibri" w:cs="Calibri"/>
          <w:sz w:val="22"/>
          <w:szCs w:val="22"/>
        </w:rPr>
        <w:lastRenderedPageBreak/>
        <w:t>place</w:t>
      </w:r>
      <w:r w:rsidRPr="002C4C3C">
        <w:rPr>
          <w:rFonts w:ascii="Cambria Math" w:hAnsi="Cambria Math" w:cs="Cambria Math"/>
          <w:sz w:val="22"/>
          <w:szCs w:val="22"/>
        </w:rPr>
        <w:t>‑</w:t>
      </w:r>
      <w:r w:rsidRPr="002C4C3C">
        <w:rPr>
          <w:rFonts w:ascii="Calibri" w:hAnsi="Calibri" w:cs="Calibri"/>
          <w:sz w:val="22"/>
          <w:szCs w:val="22"/>
        </w:rPr>
        <w:t xml:space="preserve">based constraints, high workloads, misaligned expectations, professional isolation, and tensions between clinical and academic roles. </w:t>
      </w:r>
      <w:r w:rsidRPr="002C4C3C">
        <w:rPr>
          <w:rFonts w:ascii="Calibri" w:hAnsi="Calibri" w:cs="Calibri"/>
          <w:sz w:val="22"/>
          <w:szCs w:val="22"/>
        </w:rPr>
        <w:t>The third paper</w:t>
      </w:r>
      <w:r w:rsidRPr="002C4C3C">
        <w:rPr>
          <w:rFonts w:ascii="Calibri" w:hAnsi="Calibri" w:cs="Calibri"/>
          <w:sz w:val="22"/>
          <w:szCs w:val="22"/>
        </w:rPr>
        <w:t xml:space="preserve"> </w:t>
      </w:r>
      <w:r w:rsidRPr="002C4C3C">
        <w:rPr>
          <w:rFonts w:ascii="Calibri" w:hAnsi="Calibri" w:cs="Calibri"/>
          <w:sz w:val="22"/>
          <w:szCs w:val="22"/>
        </w:rPr>
        <w:fldChar w:fldCharType="begin"/>
      </w:r>
      <w:r w:rsidRPr="002C4C3C">
        <w:rPr>
          <w:rFonts w:ascii="Calibri" w:hAnsi="Calibri" w:cs="Calibri"/>
          <w:sz w:val="22"/>
          <w:szCs w:val="22"/>
        </w:rPr>
        <w:instrText xml:space="preserve"> ADDIN ZOTERO_ITEM CSL_CITATION {"citationID":"E678rucB","properties":{"unsorted":false,"formattedCitation":"(Luke &amp; McIlveen, 2024)","plainCitation":"(Luke &amp; McIlveen, 2024)","noteIndex":0},"citationItems":[{"id":7809,"uris":["http://zotero.org/users/5639163/items/RIVY4N2T"],"itemData":{"id":7809,"type":"article-journal","abstract":"The United Nation's Sustainable Development Goal 8 (SDG8) emphasizes decent work and the need to generate employment for vulnerable groups such as women, youth, and low-income rural and urban residents. Though extended retirement age policies to sustain workforce productivity are promulgated across OECD states, within SDG8 there is no evident focus on older citizens’ need for decent work. We believe this goal lacks detail in addressing the specific needs of older and post-retirement workers and their equal vulnerability to inadequate decent work conditions, economic strain, and diminished well-being. We expand on this issue with particular focus on this older cohort's predictors and attainment of decent work and proffer the psychology of working theory as a foundation to redress the inadequacy of SDG8 and formulate recommendations for policy and research to recognize the needs of older and post-retirement workers. This approach is aligned with the Psychology of Sustainability and Sustainable Development framework in a lifelong perspective.","container-title":"Australian Journal of Career Development","DOI":"10.1177/10384162241278420","ISSN":"1038-4162","issue":"3","language":"EN","page":"221-230","publisher":"SAGE Publications Ltd","source":"SAGE Journals","title":"Older workers and post-retirement employment: A proposed decent work agenda","title-short":"Older workers and post-retirement employment","volume":"33","author":[{"family":"Luke","given":"Jennifer"},{"family":"McIlveen","given":"Peter"}],"issued":{"date-parts":[["2024",10,1]]}}}],"schema":"https://github.com/citation-style-language/schema/raw/master/csl-citation.json"} </w:instrText>
      </w:r>
      <w:r w:rsidRPr="002C4C3C">
        <w:rPr>
          <w:rFonts w:ascii="Calibri" w:hAnsi="Calibri" w:cs="Calibri"/>
          <w:sz w:val="22"/>
          <w:szCs w:val="22"/>
        </w:rPr>
        <w:fldChar w:fldCharType="separate"/>
      </w:r>
      <w:r w:rsidRPr="002C4C3C">
        <w:rPr>
          <w:rFonts w:ascii="Calibri" w:hAnsi="Calibri" w:cs="Calibri"/>
          <w:sz w:val="22"/>
          <w:szCs w:val="22"/>
        </w:rPr>
        <w:t>(Luke &amp; McIlveen, 2024)</w:t>
      </w:r>
      <w:r w:rsidRPr="002C4C3C">
        <w:rPr>
          <w:rFonts w:ascii="Calibri" w:hAnsi="Calibri" w:cs="Calibri"/>
          <w:sz w:val="22"/>
          <w:szCs w:val="22"/>
        </w:rPr>
        <w:fldChar w:fldCharType="end"/>
      </w:r>
      <w:r w:rsidRPr="002C4C3C">
        <w:rPr>
          <w:rFonts w:ascii="Calibri" w:hAnsi="Calibri" w:cs="Calibri"/>
          <w:sz w:val="22"/>
          <w:szCs w:val="22"/>
        </w:rPr>
        <w:t xml:space="preserve"> analysed Sustainable Development Goal 8 (Decent Work), revealing limited recognition of older workers’ vulnerabilities, including employment precarity and restricted access to meaningful work.</w:t>
      </w:r>
    </w:p>
    <w:p w14:paraId="447B5CAF" w14:textId="339D09E6" w:rsidR="0054471A" w:rsidRPr="002C4C3C" w:rsidRDefault="0054471A" w:rsidP="007E3C1E">
      <w:pPr>
        <w:spacing w:line="360" w:lineRule="auto"/>
        <w:rPr>
          <w:rFonts w:ascii="Calibri" w:hAnsi="Calibri" w:cs="Calibri"/>
          <w:sz w:val="22"/>
          <w:szCs w:val="22"/>
        </w:rPr>
      </w:pPr>
      <w:r w:rsidRPr="002C4C3C">
        <w:rPr>
          <w:rFonts w:ascii="Calibri" w:hAnsi="Calibri" w:cs="Calibri"/>
          <w:sz w:val="22"/>
          <w:szCs w:val="22"/>
        </w:rPr>
        <w:t>Overall, this presentation highlights the interdependence of wellbeing, work, and place in rural settings and demonstrates the value of integrating vocational and rural psychology. The findings offer place</w:t>
      </w:r>
      <w:r w:rsidRPr="002C4C3C">
        <w:rPr>
          <w:rFonts w:ascii="Cambria Math" w:hAnsi="Cambria Math" w:cs="Cambria Math"/>
          <w:sz w:val="22"/>
          <w:szCs w:val="22"/>
        </w:rPr>
        <w:t>‑</w:t>
      </w:r>
      <w:r w:rsidRPr="002C4C3C">
        <w:rPr>
          <w:rFonts w:ascii="Calibri" w:hAnsi="Calibri" w:cs="Calibri"/>
          <w:sz w:val="22"/>
          <w:szCs w:val="22"/>
        </w:rPr>
        <w:t>sensitive insights relevant to researchers, practitioners, and policymakers concerned with rural workforce sustainability, meaningful work, and psychological wellbeing.</w:t>
      </w:r>
    </w:p>
    <w:p w14:paraId="0391DA7E" w14:textId="712AE40E" w:rsidR="007E3C1E" w:rsidRPr="002C4C3C" w:rsidRDefault="007E3C1E" w:rsidP="007E3C1E">
      <w:pPr>
        <w:spacing w:line="360" w:lineRule="auto"/>
        <w:rPr>
          <w:rFonts w:ascii="Calibri" w:hAnsi="Calibri" w:cs="Calibri"/>
          <w:i/>
          <w:iCs/>
          <w:sz w:val="22"/>
          <w:szCs w:val="22"/>
        </w:rPr>
      </w:pPr>
      <w:r w:rsidRPr="002C4C3C">
        <w:rPr>
          <w:rFonts w:ascii="Calibri" w:hAnsi="Calibri" w:cs="Calibri"/>
          <w:sz w:val="22"/>
          <w:szCs w:val="22"/>
        </w:rPr>
        <w:t xml:space="preserve">Keywords: </w:t>
      </w:r>
      <w:r w:rsidRPr="002C4C3C">
        <w:rPr>
          <w:rFonts w:ascii="Calibri" w:hAnsi="Calibri" w:cs="Calibri"/>
          <w:i/>
          <w:iCs/>
          <w:sz w:val="22"/>
          <w:szCs w:val="22"/>
        </w:rPr>
        <w:t>place-based, rurality, wellbeing, employment, decent work</w:t>
      </w:r>
    </w:p>
    <w:p w14:paraId="4DF4C582" w14:textId="77777777" w:rsidR="007E3C1E" w:rsidRPr="002C4C3C" w:rsidRDefault="007E3C1E" w:rsidP="007E3C1E">
      <w:pPr>
        <w:spacing w:line="360" w:lineRule="auto"/>
        <w:rPr>
          <w:rFonts w:ascii="Calibri" w:hAnsi="Calibri" w:cs="Calibri"/>
          <w:b/>
          <w:bCs/>
          <w:sz w:val="22"/>
          <w:szCs w:val="22"/>
        </w:rPr>
      </w:pPr>
    </w:p>
    <w:p w14:paraId="633789F3" w14:textId="157BEB0B" w:rsidR="0054471A" w:rsidRPr="002C4C3C" w:rsidRDefault="0054471A" w:rsidP="007E3C1E">
      <w:pPr>
        <w:spacing w:line="360" w:lineRule="auto"/>
        <w:rPr>
          <w:rFonts w:ascii="Calibri" w:hAnsi="Calibri" w:cs="Calibri"/>
          <w:b/>
          <w:bCs/>
          <w:sz w:val="22"/>
          <w:szCs w:val="22"/>
        </w:rPr>
      </w:pPr>
      <w:r w:rsidRPr="002C4C3C">
        <w:rPr>
          <w:rFonts w:ascii="Calibri" w:hAnsi="Calibri" w:cs="Calibri"/>
          <w:b/>
          <w:bCs/>
          <w:sz w:val="22"/>
          <w:szCs w:val="22"/>
        </w:rPr>
        <w:t>References</w:t>
      </w:r>
    </w:p>
    <w:p w14:paraId="4AA08ADF" w14:textId="77777777" w:rsidR="002C4C3C" w:rsidRPr="002C4C3C" w:rsidRDefault="0054471A" w:rsidP="002C4C3C">
      <w:pPr>
        <w:pStyle w:val="Bibliography"/>
        <w:rPr>
          <w:rFonts w:ascii="Calibri" w:hAnsi="Calibri" w:cs="Calibri"/>
          <w:sz w:val="22"/>
          <w:szCs w:val="22"/>
        </w:rPr>
      </w:pPr>
      <w:r w:rsidRPr="002C4C3C">
        <w:rPr>
          <w:rFonts w:ascii="Calibri" w:hAnsi="Calibri" w:cs="Calibri"/>
          <w:sz w:val="22"/>
          <w:szCs w:val="22"/>
        </w:rPr>
        <w:fldChar w:fldCharType="begin"/>
      </w:r>
      <w:r w:rsidRPr="002C4C3C">
        <w:rPr>
          <w:rFonts w:ascii="Calibri" w:hAnsi="Calibri" w:cs="Calibri"/>
          <w:sz w:val="22"/>
          <w:szCs w:val="22"/>
        </w:rPr>
        <w:instrText xml:space="preserve"> ADDIN ZOTERO_BIBL {"uncited":[],"omitted":[],"custom":[]} CSL_BIBLIOGRAPHY </w:instrText>
      </w:r>
      <w:r w:rsidRPr="002C4C3C">
        <w:rPr>
          <w:rFonts w:ascii="Calibri" w:hAnsi="Calibri" w:cs="Calibri"/>
          <w:sz w:val="22"/>
          <w:szCs w:val="22"/>
        </w:rPr>
        <w:fldChar w:fldCharType="separate"/>
      </w:r>
      <w:r w:rsidR="002C4C3C" w:rsidRPr="002C4C3C">
        <w:rPr>
          <w:rFonts w:ascii="Calibri" w:hAnsi="Calibri" w:cs="Calibri"/>
          <w:sz w:val="22"/>
          <w:szCs w:val="22"/>
        </w:rPr>
        <w:t xml:space="preserve">Blustein, D. L. (2013). The Psychology of working: A new perspective for a new era. In D. L. Blustein (Ed.), </w:t>
      </w:r>
      <w:r w:rsidR="002C4C3C" w:rsidRPr="002C4C3C">
        <w:rPr>
          <w:rFonts w:ascii="Calibri" w:hAnsi="Calibri" w:cs="Calibri"/>
          <w:i/>
          <w:iCs/>
          <w:sz w:val="22"/>
          <w:szCs w:val="22"/>
        </w:rPr>
        <w:t>The Oxford handbook of the psychology of working</w:t>
      </w:r>
      <w:r w:rsidR="002C4C3C" w:rsidRPr="002C4C3C">
        <w:rPr>
          <w:rFonts w:ascii="Calibri" w:hAnsi="Calibri" w:cs="Calibri"/>
          <w:sz w:val="22"/>
          <w:szCs w:val="22"/>
        </w:rPr>
        <w:t xml:space="preserve"> (pp. 3–18). Oxford University Press. https://doi.org/10.1093/oxfordhb/9780199758791.013.0001</w:t>
      </w:r>
    </w:p>
    <w:p w14:paraId="0BFC7670" w14:textId="77777777" w:rsidR="002C4C3C" w:rsidRPr="002C4C3C" w:rsidRDefault="002C4C3C" w:rsidP="002C4C3C">
      <w:pPr>
        <w:pStyle w:val="Bibliography"/>
        <w:rPr>
          <w:rFonts w:ascii="Calibri" w:hAnsi="Calibri" w:cs="Calibri"/>
          <w:sz w:val="22"/>
          <w:szCs w:val="22"/>
        </w:rPr>
      </w:pPr>
      <w:r w:rsidRPr="002C4C3C">
        <w:rPr>
          <w:rFonts w:ascii="Calibri" w:hAnsi="Calibri" w:cs="Calibri"/>
          <w:sz w:val="22"/>
          <w:szCs w:val="22"/>
        </w:rPr>
        <w:t xml:space="preserve">Luke, J., Bartlett, C., March, S., &amp; McIlveen, P. (2024). A systematic review of effective local, community or peer-delivered interventions to improve well-being and employment in regional, rural and remote areas of Australia. </w:t>
      </w:r>
      <w:r w:rsidRPr="002C4C3C">
        <w:rPr>
          <w:rFonts w:ascii="Calibri" w:hAnsi="Calibri" w:cs="Calibri"/>
          <w:i/>
          <w:iCs/>
          <w:sz w:val="22"/>
          <w:szCs w:val="22"/>
        </w:rPr>
        <w:t>Australian Journal of Rural Health</w:t>
      </w:r>
      <w:r w:rsidRPr="002C4C3C">
        <w:rPr>
          <w:rFonts w:ascii="Calibri" w:hAnsi="Calibri" w:cs="Calibri"/>
          <w:sz w:val="22"/>
          <w:szCs w:val="22"/>
        </w:rPr>
        <w:t>, (32), 433–454. https://doi.org/10.1111/ajr.13113</w:t>
      </w:r>
    </w:p>
    <w:p w14:paraId="6F586FF7" w14:textId="77777777" w:rsidR="002C4C3C" w:rsidRPr="002C4C3C" w:rsidRDefault="002C4C3C" w:rsidP="002C4C3C">
      <w:pPr>
        <w:pStyle w:val="Bibliography"/>
        <w:rPr>
          <w:rFonts w:ascii="Calibri" w:hAnsi="Calibri" w:cs="Calibri"/>
          <w:sz w:val="22"/>
          <w:szCs w:val="22"/>
        </w:rPr>
      </w:pPr>
      <w:r w:rsidRPr="002C4C3C">
        <w:rPr>
          <w:rFonts w:ascii="Calibri" w:hAnsi="Calibri" w:cs="Calibri"/>
          <w:sz w:val="22"/>
          <w:szCs w:val="22"/>
        </w:rPr>
        <w:t xml:space="preserve">Luke, J., &amp; McIlveen, P. (2024). Older workers and post-retirement employment: A proposed decent work agenda. </w:t>
      </w:r>
      <w:r w:rsidRPr="002C4C3C">
        <w:rPr>
          <w:rFonts w:ascii="Calibri" w:hAnsi="Calibri" w:cs="Calibri"/>
          <w:i/>
          <w:iCs/>
          <w:sz w:val="22"/>
          <w:szCs w:val="22"/>
        </w:rPr>
        <w:t>Australian Journal of Career Development</w:t>
      </w:r>
      <w:r w:rsidRPr="002C4C3C">
        <w:rPr>
          <w:rFonts w:ascii="Calibri" w:hAnsi="Calibri" w:cs="Calibri"/>
          <w:sz w:val="22"/>
          <w:szCs w:val="22"/>
        </w:rPr>
        <w:t xml:space="preserve">, </w:t>
      </w:r>
      <w:r w:rsidRPr="002C4C3C">
        <w:rPr>
          <w:rFonts w:ascii="Calibri" w:hAnsi="Calibri" w:cs="Calibri"/>
          <w:i/>
          <w:iCs/>
          <w:sz w:val="22"/>
          <w:szCs w:val="22"/>
        </w:rPr>
        <w:t>33</w:t>
      </w:r>
      <w:r w:rsidRPr="002C4C3C">
        <w:rPr>
          <w:rFonts w:ascii="Calibri" w:hAnsi="Calibri" w:cs="Calibri"/>
          <w:sz w:val="22"/>
          <w:szCs w:val="22"/>
        </w:rPr>
        <w:t>(3), 221–230. https://doi.org/10.1177/10384162241278420</w:t>
      </w:r>
    </w:p>
    <w:p w14:paraId="2ECC494C" w14:textId="77777777" w:rsidR="002C4C3C" w:rsidRPr="002C4C3C" w:rsidRDefault="002C4C3C" w:rsidP="002C4C3C">
      <w:pPr>
        <w:pStyle w:val="Bibliography"/>
        <w:rPr>
          <w:rFonts w:ascii="Calibri" w:hAnsi="Calibri" w:cs="Calibri"/>
          <w:sz w:val="22"/>
          <w:szCs w:val="22"/>
        </w:rPr>
      </w:pPr>
      <w:r w:rsidRPr="002C4C3C">
        <w:rPr>
          <w:rFonts w:ascii="Calibri" w:hAnsi="Calibri" w:cs="Calibri"/>
          <w:sz w:val="22"/>
          <w:szCs w:val="22"/>
        </w:rPr>
        <w:t xml:space="preserve">McIlveen, P., Beccaria, L., Luke, J., Bartlett, C., &amp; Couch, D. (2026). Health academics’ sustainable careers are essential for sustaining a regional, rural and remote healthcare workforce. </w:t>
      </w:r>
      <w:r w:rsidRPr="002C4C3C">
        <w:rPr>
          <w:rFonts w:ascii="Calibri" w:hAnsi="Calibri" w:cs="Calibri"/>
          <w:i/>
          <w:iCs/>
          <w:sz w:val="22"/>
          <w:szCs w:val="22"/>
        </w:rPr>
        <w:t>Journal of Higher Education Policy and Management</w:t>
      </w:r>
      <w:r w:rsidRPr="002C4C3C">
        <w:rPr>
          <w:rFonts w:ascii="Calibri" w:hAnsi="Calibri" w:cs="Calibri"/>
          <w:sz w:val="22"/>
          <w:szCs w:val="22"/>
        </w:rPr>
        <w:t xml:space="preserve">, </w:t>
      </w:r>
      <w:r w:rsidRPr="002C4C3C">
        <w:rPr>
          <w:rFonts w:ascii="Calibri" w:hAnsi="Calibri" w:cs="Calibri"/>
          <w:i/>
          <w:iCs/>
          <w:sz w:val="22"/>
          <w:szCs w:val="22"/>
        </w:rPr>
        <w:t>48</w:t>
      </w:r>
      <w:r w:rsidRPr="002C4C3C">
        <w:rPr>
          <w:rFonts w:ascii="Calibri" w:hAnsi="Calibri" w:cs="Calibri"/>
          <w:sz w:val="22"/>
          <w:szCs w:val="22"/>
        </w:rPr>
        <w:t>(2–3), 135–157. https://doi.org/10.1080/1360080X.2025.2593846</w:t>
      </w:r>
    </w:p>
    <w:p w14:paraId="6E24B81B" w14:textId="77777777" w:rsidR="002C4C3C" w:rsidRPr="002C4C3C" w:rsidRDefault="002C4C3C" w:rsidP="002C4C3C">
      <w:pPr>
        <w:pStyle w:val="Bibliography"/>
        <w:rPr>
          <w:rFonts w:ascii="Calibri" w:hAnsi="Calibri" w:cs="Calibri"/>
          <w:sz w:val="22"/>
          <w:szCs w:val="22"/>
        </w:rPr>
      </w:pPr>
      <w:r w:rsidRPr="002C4C3C">
        <w:rPr>
          <w:rFonts w:ascii="Calibri" w:hAnsi="Calibri" w:cs="Calibri"/>
          <w:sz w:val="22"/>
          <w:szCs w:val="22"/>
        </w:rPr>
        <w:t xml:space="preserve">Patton, W., &amp; McMahon, M. (2021). </w:t>
      </w:r>
      <w:r w:rsidRPr="002C4C3C">
        <w:rPr>
          <w:rFonts w:ascii="Calibri" w:hAnsi="Calibri" w:cs="Calibri"/>
          <w:i/>
          <w:iCs/>
          <w:sz w:val="22"/>
          <w:szCs w:val="22"/>
        </w:rPr>
        <w:t>Career Development and Systems Theory: Connecting Theory and Practice (4th Edition)</w:t>
      </w:r>
      <w:r w:rsidRPr="002C4C3C">
        <w:rPr>
          <w:rFonts w:ascii="Calibri" w:hAnsi="Calibri" w:cs="Calibri"/>
          <w:sz w:val="22"/>
          <w:szCs w:val="22"/>
        </w:rPr>
        <w:t>. Brill. https://brill.com/display/title/60419</w:t>
      </w:r>
    </w:p>
    <w:p w14:paraId="11B7D94D" w14:textId="77777777" w:rsidR="002C4C3C" w:rsidRPr="002C4C3C" w:rsidRDefault="002C4C3C" w:rsidP="002C4C3C">
      <w:pPr>
        <w:pStyle w:val="Bibliography"/>
        <w:rPr>
          <w:rFonts w:ascii="Calibri" w:hAnsi="Calibri" w:cs="Calibri"/>
          <w:sz w:val="22"/>
          <w:szCs w:val="22"/>
        </w:rPr>
      </w:pPr>
      <w:r w:rsidRPr="002C4C3C">
        <w:rPr>
          <w:rFonts w:ascii="Calibri" w:hAnsi="Calibri" w:cs="Calibri"/>
          <w:sz w:val="22"/>
          <w:szCs w:val="22"/>
        </w:rPr>
        <w:lastRenderedPageBreak/>
        <w:t xml:space="preserve">Ryan, R. M., &amp; Deci, E. L. (2000). Self-determination theory and the facilitation of intrinsic motivation, social development, and well-being. </w:t>
      </w:r>
      <w:r w:rsidRPr="002C4C3C">
        <w:rPr>
          <w:rFonts w:ascii="Calibri" w:hAnsi="Calibri" w:cs="Calibri"/>
          <w:i/>
          <w:iCs/>
          <w:sz w:val="22"/>
          <w:szCs w:val="22"/>
        </w:rPr>
        <w:t>The American Psychologist</w:t>
      </w:r>
      <w:r w:rsidRPr="002C4C3C">
        <w:rPr>
          <w:rFonts w:ascii="Calibri" w:hAnsi="Calibri" w:cs="Calibri"/>
          <w:sz w:val="22"/>
          <w:szCs w:val="22"/>
        </w:rPr>
        <w:t xml:space="preserve">, </w:t>
      </w:r>
      <w:r w:rsidRPr="002C4C3C">
        <w:rPr>
          <w:rFonts w:ascii="Calibri" w:hAnsi="Calibri" w:cs="Calibri"/>
          <w:i/>
          <w:iCs/>
          <w:sz w:val="22"/>
          <w:szCs w:val="22"/>
        </w:rPr>
        <w:t>55</w:t>
      </w:r>
      <w:r w:rsidRPr="002C4C3C">
        <w:rPr>
          <w:rFonts w:ascii="Calibri" w:hAnsi="Calibri" w:cs="Calibri"/>
          <w:sz w:val="22"/>
          <w:szCs w:val="22"/>
        </w:rPr>
        <w:t>(1), 68–78. https://doi.org/10.1037//0003-066x.55.1.68</w:t>
      </w:r>
    </w:p>
    <w:p w14:paraId="0D5FE953" w14:textId="2E80CEFE" w:rsidR="0089073E" w:rsidRPr="00373124" w:rsidRDefault="0054471A" w:rsidP="0089073E">
      <w:pPr>
        <w:spacing w:line="360" w:lineRule="auto"/>
        <w:rPr>
          <w:rFonts w:ascii="Calibri" w:hAnsi="Calibri" w:cs="Calibri"/>
          <w:sz w:val="22"/>
          <w:szCs w:val="22"/>
        </w:rPr>
      </w:pPr>
      <w:r w:rsidRPr="002C4C3C">
        <w:rPr>
          <w:rFonts w:ascii="Calibri" w:hAnsi="Calibri" w:cs="Calibri"/>
          <w:sz w:val="22"/>
          <w:szCs w:val="22"/>
        </w:rPr>
        <w:fldChar w:fldCharType="end"/>
      </w:r>
    </w:p>
    <w:sectPr w:rsidR="0089073E" w:rsidRPr="003731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106B" w14:textId="77777777" w:rsidR="0030330C" w:rsidRDefault="0030330C" w:rsidP="00CD639A">
      <w:pPr>
        <w:spacing w:after="0" w:line="240" w:lineRule="auto"/>
      </w:pPr>
      <w:r>
        <w:separator/>
      </w:r>
    </w:p>
  </w:endnote>
  <w:endnote w:type="continuationSeparator" w:id="0">
    <w:p w14:paraId="4070C1BC" w14:textId="77777777" w:rsidR="0030330C" w:rsidRDefault="0030330C" w:rsidP="00CD6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370B" w14:textId="77777777" w:rsidR="0030330C" w:rsidRDefault="0030330C" w:rsidP="00CD639A">
      <w:pPr>
        <w:spacing w:after="0" w:line="240" w:lineRule="auto"/>
      </w:pPr>
      <w:r>
        <w:separator/>
      </w:r>
    </w:p>
  </w:footnote>
  <w:footnote w:type="continuationSeparator" w:id="0">
    <w:p w14:paraId="76AA8945" w14:textId="77777777" w:rsidR="0030330C" w:rsidRDefault="0030330C" w:rsidP="00CD63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71A"/>
    <w:rsid w:val="001479BD"/>
    <w:rsid w:val="002C4C3C"/>
    <w:rsid w:val="0030330C"/>
    <w:rsid w:val="00373124"/>
    <w:rsid w:val="0054471A"/>
    <w:rsid w:val="00557A14"/>
    <w:rsid w:val="00733FC2"/>
    <w:rsid w:val="007E3C1E"/>
    <w:rsid w:val="0089073E"/>
    <w:rsid w:val="00AA5948"/>
    <w:rsid w:val="00B530B3"/>
    <w:rsid w:val="00C711BA"/>
    <w:rsid w:val="00CD639A"/>
    <w:rsid w:val="00D773B6"/>
    <w:rsid w:val="00DF0F4B"/>
    <w:rsid w:val="00EB22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57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7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7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7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7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7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7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7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7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7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7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7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7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7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7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71A"/>
    <w:rPr>
      <w:rFonts w:eastAsiaTheme="majorEastAsia" w:cstheme="majorBidi"/>
      <w:color w:val="272727" w:themeColor="text1" w:themeTint="D8"/>
    </w:rPr>
  </w:style>
  <w:style w:type="paragraph" w:styleId="Title">
    <w:name w:val="Title"/>
    <w:basedOn w:val="Normal"/>
    <w:next w:val="Normal"/>
    <w:link w:val="TitleChar"/>
    <w:uiPriority w:val="10"/>
    <w:qFormat/>
    <w:rsid w:val="00544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71A"/>
    <w:pPr>
      <w:spacing w:before="160"/>
      <w:jc w:val="center"/>
    </w:pPr>
    <w:rPr>
      <w:i/>
      <w:iCs/>
      <w:color w:val="404040" w:themeColor="text1" w:themeTint="BF"/>
    </w:rPr>
  </w:style>
  <w:style w:type="character" w:customStyle="1" w:styleId="QuoteChar">
    <w:name w:val="Quote Char"/>
    <w:basedOn w:val="DefaultParagraphFont"/>
    <w:link w:val="Quote"/>
    <w:uiPriority w:val="29"/>
    <w:rsid w:val="0054471A"/>
    <w:rPr>
      <w:i/>
      <w:iCs/>
      <w:color w:val="404040" w:themeColor="text1" w:themeTint="BF"/>
    </w:rPr>
  </w:style>
  <w:style w:type="paragraph" w:styleId="ListParagraph">
    <w:name w:val="List Paragraph"/>
    <w:basedOn w:val="Normal"/>
    <w:uiPriority w:val="34"/>
    <w:qFormat/>
    <w:rsid w:val="0054471A"/>
    <w:pPr>
      <w:ind w:left="720"/>
      <w:contextualSpacing/>
    </w:pPr>
  </w:style>
  <w:style w:type="character" w:styleId="IntenseEmphasis">
    <w:name w:val="Intense Emphasis"/>
    <w:basedOn w:val="DefaultParagraphFont"/>
    <w:uiPriority w:val="21"/>
    <w:qFormat/>
    <w:rsid w:val="0054471A"/>
    <w:rPr>
      <w:i/>
      <w:iCs/>
      <w:color w:val="0F4761" w:themeColor="accent1" w:themeShade="BF"/>
    </w:rPr>
  </w:style>
  <w:style w:type="paragraph" w:styleId="IntenseQuote">
    <w:name w:val="Intense Quote"/>
    <w:basedOn w:val="Normal"/>
    <w:next w:val="Normal"/>
    <w:link w:val="IntenseQuoteChar"/>
    <w:uiPriority w:val="30"/>
    <w:qFormat/>
    <w:rsid w:val="00544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71A"/>
    <w:rPr>
      <w:i/>
      <w:iCs/>
      <w:color w:val="0F4761" w:themeColor="accent1" w:themeShade="BF"/>
    </w:rPr>
  </w:style>
  <w:style w:type="character" w:styleId="IntenseReference">
    <w:name w:val="Intense Reference"/>
    <w:basedOn w:val="DefaultParagraphFont"/>
    <w:uiPriority w:val="32"/>
    <w:qFormat/>
    <w:rsid w:val="0054471A"/>
    <w:rPr>
      <w:b/>
      <w:bCs/>
      <w:smallCaps/>
      <w:color w:val="0F4761" w:themeColor="accent1" w:themeShade="BF"/>
      <w:spacing w:val="5"/>
    </w:rPr>
  </w:style>
  <w:style w:type="paragraph" w:styleId="Bibliography">
    <w:name w:val="Bibliography"/>
    <w:basedOn w:val="Normal"/>
    <w:next w:val="Normal"/>
    <w:uiPriority w:val="37"/>
    <w:unhideWhenUsed/>
    <w:rsid w:val="0054471A"/>
    <w:pPr>
      <w:spacing w:after="0" w:line="480" w:lineRule="auto"/>
      <w:ind w:left="720" w:hanging="720"/>
    </w:pPr>
  </w:style>
  <w:style w:type="character" w:styleId="Hyperlink">
    <w:name w:val="Hyperlink"/>
    <w:basedOn w:val="DefaultParagraphFont"/>
    <w:uiPriority w:val="99"/>
    <w:unhideWhenUsed/>
    <w:rsid w:val="00DF0F4B"/>
    <w:rPr>
      <w:color w:val="467886" w:themeColor="hyperlink"/>
      <w:u w:val="single"/>
    </w:rPr>
  </w:style>
  <w:style w:type="character" w:styleId="UnresolvedMention">
    <w:name w:val="Unresolved Mention"/>
    <w:basedOn w:val="DefaultParagraphFont"/>
    <w:uiPriority w:val="99"/>
    <w:semiHidden/>
    <w:unhideWhenUsed/>
    <w:rsid w:val="00DF0F4B"/>
    <w:rPr>
      <w:color w:val="605E5C"/>
      <w:shd w:val="clear" w:color="auto" w:fill="E1DFDD"/>
    </w:rPr>
  </w:style>
  <w:style w:type="paragraph" w:styleId="Header">
    <w:name w:val="header"/>
    <w:basedOn w:val="Normal"/>
    <w:link w:val="HeaderChar"/>
    <w:uiPriority w:val="99"/>
    <w:unhideWhenUsed/>
    <w:rsid w:val="00CD63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639A"/>
  </w:style>
  <w:style w:type="paragraph" w:styleId="Footer">
    <w:name w:val="footer"/>
    <w:basedOn w:val="Normal"/>
    <w:link w:val="FooterChar"/>
    <w:uiPriority w:val="99"/>
    <w:unhideWhenUsed/>
    <w:rsid w:val="00CD63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6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nnifer.Luke@unisq.edu.a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2400</Words>
  <Characters>13684</Characters>
  <Application>Microsoft Office Word</Application>
  <DocSecurity>0</DocSecurity>
  <Lines>114</Lines>
  <Paragraphs>32</Paragraphs>
  <ScaleCrop>false</ScaleCrop>
  <Company/>
  <LinksUpToDate>false</LinksUpToDate>
  <CharactersWithSpaces>16052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2026-04-16T04:50:00Z</dcterms:created>
  <dcterms:modified xsi:type="dcterms:W3CDTF">2026-04-16T04:51:00Z</dcterms:modified>
</cp:coreProperties>
</file>