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933BE" w14:textId="77777777" w:rsidR="006F1C5D" w:rsidRPr="006F1C5D" w:rsidRDefault="006F1C5D" w:rsidP="00DB5BD9">
      <w:pPr>
        <w:spacing w:line="360" w:lineRule="auto"/>
        <w:jc w:val="both"/>
        <w:rPr>
          <w:rFonts w:ascii="Calibri" w:hAnsi="Calibri" w:cs="Calibri"/>
          <w:b/>
          <w:bCs/>
        </w:rPr>
      </w:pPr>
      <w:r w:rsidRPr="006F1C5D">
        <w:rPr>
          <w:rFonts w:ascii="Calibri" w:hAnsi="Calibri" w:cs="Calibri" w:hint="eastAsia"/>
          <w:b/>
          <w:bCs/>
        </w:rPr>
        <w:t>Abstract</w:t>
      </w:r>
    </w:p>
    <w:p w14:paraId="3AABDC39" w14:textId="5A97C40E" w:rsidR="00DB5BD9" w:rsidRPr="00DB5BD9" w:rsidRDefault="00DB5BD9" w:rsidP="00DB5BD9">
      <w:pPr>
        <w:spacing w:line="360" w:lineRule="auto"/>
        <w:jc w:val="both"/>
        <w:rPr>
          <w:rFonts w:ascii="Calibri" w:hAnsi="Calibri" w:cs="Calibri"/>
        </w:rPr>
      </w:pPr>
      <w:r w:rsidRPr="00DB5BD9">
        <w:rPr>
          <w:rFonts w:ascii="Calibri" w:hAnsi="Calibri" w:cs="Calibri"/>
        </w:rPr>
        <w:t>Adolescence is widely recognized as a critical period for career development, as individuals begin to form vocational aspirations that shape their future educational and occupational pathways</w:t>
      </w:r>
      <w:r w:rsidR="00626695">
        <w:rPr>
          <w:rFonts w:ascii="Calibri" w:hAnsi="Calibri" w:cs="Calibri" w:hint="eastAsia"/>
        </w:rPr>
        <w:t xml:space="preserve"> (Joyner et al., 2002; Vondracek et al., 1986)</w:t>
      </w:r>
      <w:r w:rsidRPr="00DB5BD9">
        <w:rPr>
          <w:rFonts w:ascii="Calibri" w:hAnsi="Calibri" w:cs="Calibri"/>
        </w:rPr>
        <w:t>. These aspirations are not simply temporary preferences; rather, they function as psychological indicators that connect present motivation with longer-term career outcomes</w:t>
      </w:r>
      <w:r w:rsidR="00626695">
        <w:rPr>
          <w:rFonts w:ascii="Calibri" w:hAnsi="Calibri" w:cs="Calibri" w:hint="eastAsia"/>
        </w:rPr>
        <w:t xml:space="preserve"> (Beal &amp; Crockett, 2010; Stoll et al., 2016)</w:t>
      </w:r>
      <w:r w:rsidRPr="00DB5BD9">
        <w:rPr>
          <w:rFonts w:ascii="Calibri" w:hAnsi="Calibri" w:cs="Calibri"/>
        </w:rPr>
        <w:t xml:space="preserve">. Previous research has shown that vocational aspirations are influenced not only by individual characteristics such as interests and abilities, but also by social factors, particularly parental expectations and parental occupational </w:t>
      </w:r>
      <w:r w:rsidR="00626695">
        <w:rPr>
          <w:rFonts w:ascii="Calibri" w:hAnsi="Calibri" w:cs="Calibri"/>
        </w:rPr>
        <w:t>background</w:t>
      </w:r>
      <w:r w:rsidR="00626695">
        <w:rPr>
          <w:rFonts w:ascii="Calibri" w:hAnsi="Calibri" w:cs="Calibri" w:hint="eastAsia"/>
        </w:rPr>
        <w:t xml:space="preserve"> (Jodl et al., 2001)</w:t>
      </w:r>
      <w:r w:rsidRPr="00DB5BD9">
        <w:rPr>
          <w:rFonts w:ascii="Calibri" w:hAnsi="Calibri" w:cs="Calibri"/>
        </w:rPr>
        <w:t>. However, relatively little research has examined how these influences operate across developmental stages to relate to both career attainment and person–environment (P–E) fit in adulthood. In particular, the Korean context, characterized by strong parental involvement and culturally embedded expectations regarding education and career success, provides a meaningful setting for examining these processes.</w:t>
      </w:r>
    </w:p>
    <w:p w14:paraId="6E2C526B" w14:textId="41922FE8" w:rsidR="00DB5BD9" w:rsidRPr="00DB5BD9" w:rsidRDefault="00DB5BD9" w:rsidP="00DB5BD9">
      <w:pPr>
        <w:spacing w:line="360" w:lineRule="auto"/>
        <w:jc w:val="both"/>
        <w:rPr>
          <w:rFonts w:ascii="Calibri" w:hAnsi="Calibri" w:cs="Calibri"/>
        </w:rPr>
      </w:pPr>
      <w:r w:rsidRPr="00DB5BD9">
        <w:rPr>
          <w:rFonts w:ascii="Calibri" w:hAnsi="Calibri" w:cs="Calibri"/>
        </w:rPr>
        <w:t>Building on Gottfredson’s theory of circumscription and compromise and Social Cognitive Career Theory (SCCT), this study explores the relationships among parental expectations, parental occupational status, adolescent vocational aspirations, and adult career outcomes</w:t>
      </w:r>
      <w:r w:rsidR="00626695">
        <w:rPr>
          <w:rFonts w:ascii="Calibri" w:hAnsi="Calibri" w:cs="Calibri" w:hint="eastAsia"/>
        </w:rPr>
        <w:t xml:space="preserve"> </w:t>
      </w:r>
      <w:r w:rsidR="00626695" w:rsidRPr="00626695">
        <w:rPr>
          <w:rFonts w:ascii="Calibri" w:hAnsi="Calibri" w:cs="Calibri"/>
        </w:rPr>
        <w:t>(Gottfredson, 2002; Lent et al., 1994)</w:t>
      </w:r>
      <w:r w:rsidRPr="00DB5BD9">
        <w:rPr>
          <w:rFonts w:ascii="Calibri" w:hAnsi="Calibri" w:cs="Calibri"/>
        </w:rPr>
        <w:t>. Within this framework, parental occupation is conceptualized as a structural factor that shapes the boundaries of what adolescents perceive as realistically attainable, whereas parental expectations function as a form of social feedback that can reinforce or elevate those aspirations. By integrating these perspectives, the study aims to capture both structural and psychological pathways through which family influences are associated with career development.</w:t>
      </w:r>
    </w:p>
    <w:p w14:paraId="3562B94D" w14:textId="77777777" w:rsidR="00DB5BD9" w:rsidRPr="00DB5BD9" w:rsidRDefault="00DB5BD9" w:rsidP="00DB5BD9">
      <w:pPr>
        <w:spacing w:line="360" w:lineRule="auto"/>
        <w:jc w:val="both"/>
        <w:rPr>
          <w:rFonts w:ascii="Calibri" w:hAnsi="Calibri" w:cs="Calibri"/>
        </w:rPr>
      </w:pPr>
      <w:r w:rsidRPr="00DB5BD9">
        <w:rPr>
          <w:rFonts w:ascii="Calibri" w:hAnsi="Calibri" w:cs="Calibri"/>
        </w:rPr>
        <w:t>The study draws on data from the Korean Education and Employment Panel (KEEP), including measures collected during adolescence (Time 1; N = 2,000) and adulthood (Time 2; n = 638). The use of time-separated data allows for the examination of relationships across developmental stages while avoiding strong causal or fully longitudinal claims. Key variables include parental occupation, parental expectations, adolescent vocational aspirations, career attainment, and P–E fit, operationalized through extrinsic job satisfaction, overall workplace satisfaction, and subjective happiness. Occupational variables were coded using standardized international occupational prestige scales to ensure comparability. The data were analyzed using descriptive statistics, correlation analysis, paired sample t-tests, and hierarchical regression models.</w:t>
      </w:r>
    </w:p>
    <w:p w14:paraId="276B7E24" w14:textId="77777777" w:rsidR="00DB5BD9" w:rsidRPr="00DB5BD9" w:rsidRDefault="00DB5BD9" w:rsidP="00DB5BD9">
      <w:pPr>
        <w:spacing w:line="360" w:lineRule="auto"/>
        <w:jc w:val="both"/>
        <w:rPr>
          <w:rFonts w:ascii="Calibri" w:hAnsi="Calibri" w:cs="Calibri"/>
        </w:rPr>
      </w:pPr>
      <w:r w:rsidRPr="00DB5BD9">
        <w:rPr>
          <w:rFonts w:ascii="Calibri" w:hAnsi="Calibri" w:cs="Calibri"/>
        </w:rPr>
        <w:t xml:space="preserve">The findings show that parental expectations have a strong and statistically significant influence on adolescents’ vocational aspirations (β = .44, p &lt; .001), whereas parental occupational status does not </w:t>
      </w:r>
      <w:r w:rsidRPr="00DB5BD9">
        <w:rPr>
          <w:rFonts w:ascii="Calibri" w:hAnsi="Calibri" w:cs="Calibri"/>
        </w:rPr>
        <w:lastRenderedPageBreak/>
        <w:t>exhibit a meaningful direct effect. In addition, adolescent vocational aspirations are positively associated with career attainment in adulthood, although a noticeable gap between aspiration and actual attainment remains. Career attainment, in turn, is positively related to multiple indicators of P–E fit, including job satisfaction and overall happiness, suggesting that early aspirations may be linked to later well-being.</w:t>
      </w:r>
    </w:p>
    <w:p w14:paraId="61D2E346" w14:textId="77777777" w:rsidR="00DB5BD9" w:rsidRDefault="00DB5BD9" w:rsidP="00DB5BD9">
      <w:pPr>
        <w:spacing w:line="360" w:lineRule="auto"/>
        <w:jc w:val="both"/>
        <w:rPr>
          <w:rFonts w:ascii="Calibri" w:hAnsi="Calibri" w:cs="Calibri"/>
        </w:rPr>
      </w:pPr>
      <w:r w:rsidRPr="00DB5BD9">
        <w:rPr>
          <w:rFonts w:ascii="Calibri" w:hAnsi="Calibri" w:cs="Calibri"/>
        </w:rPr>
        <w:t>Taken together, these results highlight the central role of parental expectations in shaping adolescents’ career development. They also suggest that psychological influences may be more influential than structural factors in determining aspiration levels and subsequent outcomes. This study underscores the importance of supporting adolescents in developing both realistic and meaningful career goals, particularly in cultural contexts where parental influence is salient. Furthermore, the findings offer practical implications for career counseling and educational interventions aimed at promoting adaptive career development and long-term well-being.</w:t>
      </w:r>
    </w:p>
    <w:p w14:paraId="40B67AA5" w14:textId="77777777" w:rsidR="0045070F" w:rsidRDefault="0045070F" w:rsidP="00DB5BD9">
      <w:pPr>
        <w:spacing w:line="360" w:lineRule="auto"/>
        <w:jc w:val="both"/>
        <w:rPr>
          <w:rFonts w:ascii="Calibri" w:hAnsi="Calibri" w:cs="Calibri"/>
        </w:rPr>
      </w:pPr>
    </w:p>
    <w:p w14:paraId="336EC844" w14:textId="426AD22E" w:rsidR="0045070F" w:rsidRPr="0045070F" w:rsidRDefault="0045070F" w:rsidP="00DB5BD9">
      <w:pPr>
        <w:spacing w:line="360" w:lineRule="auto"/>
        <w:jc w:val="both"/>
        <w:rPr>
          <w:rFonts w:ascii="Calibri" w:hAnsi="Calibri" w:cs="Calibri"/>
          <w:b/>
          <w:bCs/>
        </w:rPr>
      </w:pPr>
      <w:r w:rsidRPr="0045070F">
        <w:rPr>
          <w:rFonts w:ascii="Calibri" w:hAnsi="Calibri" w:cs="Calibri" w:hint="eastAsia"/>
          <w:b/>
          <w:bCs/>
        </w:rPr>
        <w:t>Keywords</w:t>
      </w:r>
      <w:r>
        <w:rPr>
          <w:rFonts w:ascii="Calibri" w:hAnsi="Calibri" w:cs="Calibri" w:hint="eastAsia"/>
          <w:b/>
          <w:bCs/>
        </w:rPr>
        <w:t xml:space="preserve">: </w:t>
      </w:r>
      <w:r w:rsidRPr="0045070F">
        <w:rPr>
          <w:rFonts w:ascii="Calibri" w:hAnsi="Calibri" w:cs="Calibri"/>
        </w:rPr>
        <w:t>vocational aspirations, parental expectations, career attainment, person–environment fit, adolescence</w:t>
      </w:r>
    </w:p>
    <w:p w14:paraId="1731EFE5" w14:textId="77777777" w:rsidR="0045070F" w:rsidRPr="00DB5BD9" w:rsidRDefault="0045070F" w:rsidP="00DB5BD9">
      <w:pPr>
        <w:spacing w:line="360" w:lineRule="auto"/>
        <w:jc w:val="both"/>
        <w:rPr>
          <w:rFonts w:ascii="Calibri" w:hAnsi="Calibri" w:cs="Calibri" w:hint="eastAsia"/>
        </w:rPr>
      </w:pPr>
    </w:p>
    <w:p w14:paraId="76EC2A28" w14:textId="77777777" w:rsidR="006F1C5D" w:rsidRPr="006F1C5D" w:rsidRDefault="006F1C5D" w:rsidP="006F1C5D">
      <w:pPr>
        <w:spacing w:line="360" w:lineRule="auto"/>
        <w:jc w:val="both"/>
        <w:rPr>
          <w:rFonts w:ascii="Calibri" w:hAnsi="Calibri" w:cs="Calibri"/>
        </w:rPr>
      </w:pPr>
      <w:r w:rsidRPr="006F1C5D">
        <w:rPr>
          <w:rFonts w:ascii="Calibri" w:hAnsi="Calibri" w:cs="Calibri"/>
          <w:b/>
          <w:bCs/>
        </w:rPr>
        <w:t>References</w:t>
      </w:r>
    </w:p>
    <w:p w14:paraId="5D1A42FB" w14:textId="77777777" w:rsidR="006F1C5D" w:rsidRPr="006F1C5D" w:rsidRDefault="006F1C5D" w:rsidP="0050214D">
      <w:pPr>
        <w:spacing w:line="360" w:lineRule="auto"/>
        <w:ind w:left="720" w:hanging="720"/>
        <w:jc w:val="both"/>
        <w:rPr>
          <w:rFonts w:ascii="Calibri" w:hAnsi="Calibri" w:cs="Calibri"/>
        </w:rPr>
      </w:pPr>
      <w:r w:rsidRPr="006F1C5D">
        <w:rPr>
          <w:rFonts w:ascii="Calibri" w:hAnsi="Calibri" w:cs="Calibri"/>
        </w:rPr>
        <w:t xml:space="preserve">Beal, S. J., &amp; Crockett, L. J. (2010). Adolescents’ occupational and educational aspirations and expectations: Links to high school activities and adult educational attainment. </w:t>
      </w:r>
      <w:r w:rsidRPr="006F1C5D">
        <w:rPr>
          <w:rFonts w:ascii="Calibri" w:hAnsi="Calibri" w:cs="Calibri"/>
          <w:i/>
          <w:iCs/>
        </w:rPr>
        <w:t>Developmental Psychology, 46</w:t>
      </w:r>
      <w:r w:rsidRPr="006F1C5D">
        <w:rPr>
          <w:rFonts w:ascii="Calibri" w:hAnsi="Calibri" w:cs="Calibri"/>
        </w:rPr>
        <w:t xml:space="preserve">(1), 258–265. </w:t>
      </w:r>
      <w:hyperlink r:id="rId4" w:tgtFrame="_new" w:history="1">
        <w:r w:rsidRPr="006F1C5D">
          <w:rPr>
            <w:rStyle w:val="aa"/>
            <w:rFonts w:ascii="Calibri" w:hAnsi="Calibri" w:cs="Calibri"/>
          </w:rPr>
          <w:t>https://doi.org/10.1037/a0017416</w:t>
        </w:r>
      </w:hyperlink>
    </w:p>
    <w:p w14:paraId="53887A2A" w14:textId="77777777" w:rsidR="006F1C5D" w:rsidRPr="006F1C5D" w:rsidRDefault="006F1C5D" w:rsidP="0050214D">
      <w:pPr>
        <w:spacing w:line="360" w:lineRule="auto"/>
        <w:ind w:left="720" w:hanging="720"/>
        <w:jc w:val="both"/>
        <w:rPr>
          <w:rFonts w:ascii="Calibri" w:hAnsi="Calibri" w:cs="Calibri"/>
        </w:rPr>
      </w:pPr>
      <w:r w:rsidRPr="006F1C5D">
        <w:rPr>
          <w:rFonts w:ascii="Calibri" w:hAnsi="Calibri" w:cs="Calibri"/>
        </w:rPr>
        <w:t xml:space="preserve">Gottfredson, L. S. (2002). Gottfredson’s theory of circumscription, compromise, and self‐creation. In D. Brown (Ed.), </w:t>
      </w:r>
      <w:r w:rsidRPr="006F1C5D">
        <w:rPr>
          <w:rFonts w:ascii="Calibri" w:hAnsi="Calibri" w:cs="Calibri"/>
          <w:i/>
          <w:iCs/>
        </w:rPr>
        <w:t>Career choice and development</w:t>
      </w:r>
      <w:r w:rsidRPr="006F1C5D">
        <w:rPr>
          <w:rFonts w:ascii="Calibri" w:hAnsi="Calibri" w:cs="Calibri"/>
        </w:rPr>
        <w:t xml:space="preserve"> (4th ed., pp. 85–148). Jossey-Bass.</w:t>
      </w:r>
    </w:p>
    <w:p w14:paraId="35C37513" w14:textId="77777777" w:rsidR="006F1C5D" w:rsidRPr="006F1C5D" w:rsidRDefault="006F1C5D" w:rsidP="0050214D">
      <w:pPr>
        <w:spacing w:line="360" w:lineRule="auto"/>
        <w:ind w:left="720" w:hanging="720"/>
        <w:jc w:val="both"/>
        <w:rPr>
          <w:rFonts w:ascii="Calibri" w:hAnsi="Calibri" w:cs="Calibri"/>
        </w:rPr>
      </w:pPr>
      <w:r w:rsidRPr="006F1C5D">
        <w:rPr>
          <w:rFonts w:ascii="Calibri" w:hAnsi="Calibri" w:cs="Calibri"/>
        </w:rPr>
        <w:t xml:space="preserve">Jodl, K. M., Michael, A., Malanchuk, O., Eccles, J. S., &amp; Sameroff, A. (2001). Parents’ roles in shaping early adolescents’ occupational aspirations. </w:t>
      </w:r>
      <w:r w:rsidRPr="006F1C5D">
        <w:rPr>
          <w:rFonts w:ascii="Calibri" w:hAnsi="Calibri" w:cs="Calibri"/>
          <w:i/>
          <w:iCs/>
        </w:rPr>
        <w:t>Child Development, 72</w:t>
      </w:r>
      <w:r w:rsidRPr="006F1C5D">
        <w:rPr>
          <w:rFonts w:ascii="Calibri" w:hAnsi="Calibri" w:cs="Calibri"/>
        </w:rPr>
        <w:t xml:space="preserve">(4), 1247–1265. </w:t>
      </w:r>
      <w:hyperlink r:id="rId5" w:tgtFrame="_new" w:history="1">
        <w:r w:rsidRPr="006F1C5D">
          <w:rPr>
            <w:rStyle w:val="aa"/>
            <w:rFonts w:ascii="Calibri" w:hAnsi="Calibri" w:cs="Calibri"/>
          </w:rPr>
          <w:t>https://doi.org/10.1111/1467-8624.00345</w:t>
        </w:r>
      </w:hyperlink>
    </w:p>
    <w:p w14:paraId="266F2F3F" w14:textId="77777777" w:rsidR="006F1C5D" w:rsidRPr="006F1C5D" w:rsidRDefault="006F1C5D" w:rsidP="0050214D">
      <w:pPr>
        <w:spacing w:line="360" w:lineRule="auto"/>
        <w:ind w:left="720" w:hanging="720"/>
        <w:jc w:val="both"/>
        <w:rPr>
          <w:rFonts w:ascii="Calibri" w:hAnsi="Calibri" w:cs="Calibri"/>
        </w:rPr>
      </w:pPr>
      <w:r w:rsidRPr="006F1C5D">
        <w:rPr>
          <w:rFonts w:ascii="Calibri" w:hAnsi="Calibri" w:cs="Calibri"/>
        </w:rPr>
        <w:t xml:space="preserve">Joyner, K., Yoder, K. A., &amp; Kahn, J. R. (2002). Markers of adulthood and adolescents’ educational attainment. </w:t>
      </w:r>
      <w:r w:rsidRPr="006F1C5D">
        <w:rPr>
          <w:rFonts w:ascii="Calibri" w:hAnsi="Calibri" w:cs="Calibri"/>
          <w:i/>
          <w:iCs/>
        </w:rPr>
        <w:t>Social Science Research, 31</w:t>
      </w:r>
      <w:r w:rsidRPr="006F1C5D">
        <w:rPr>
          <w:rFonts w:ascii="Calibri" w:hAnsi="Calibri" w:cs="Calibri"/>
        </w:rPr>
        <w:t>(3), 437–457. https://doi.org/10.1016/S0049-089X(02)00006-3</w:t>
      </w:r>
    </w:p>
    <w:p w14:paraId="12745975" w14:textId="77777777" w:rsidR="006F1C5D" w:rsidRPr="006F1C5D" w:rsidRDefault="006F1C5D" w:rsidP="0050214D">
      <w:pPr>
        <w:spacing w:line="360" w:lineRule="auto"/>
        <w:ind w:left="720" w:hanging="720"/>
        <w:jc w:val="both"/>
        <w:rPr>
          <w:rFonts w:ascii="Calibri" w:hAnsi="Calibri" w:cs="Calibri"/>
        </w:rPr>
      </w:pPr>
      <w:r w:rsidRPr="006F1C5D">
        <w:rPr>
          <w:rFonts w:ascii="Calibri" w:hAnsi="Calibri" w:cs="Calibri"/>
        </w:rPr>
        <w:t xml:space="preserve">Lent, R. W., Brown, S. D., &amp; Hackett, G. (1994). Toward a unifying social cognitive theory of career and academic interest, choice, and performance. </w:t>
      </w:r>
      <w:r w:rsidRPr="006F1C5D">
        <w:rPr>
          <w:rFonts w:ascii="Calibri" w:hAnsi="Calibri" w:cs="Calibri"/>
          <w:i/>
          <w:iCs/>
        </w:rPr>
        <w:t>Journal of Vocational Behavior, 45</w:t>
      </w:r>
      <w:r w:rsidRPr="006F1C5D">
        <w:rPr>
          <w:rFonts w:ascii="Calibri" w:hAnsi="Calibri" w:cs="Calibri"/>
        </w:rPr>
        <w:t xml:space="preserve">(1), 79–122. </w:t>
      </w:r>
      <w:hyperlink r:id="rId6" w:tgtFrame="_new" w:history="1">
        <w:r w:rsidRPr="006F1C5D">
          <w:rPr>
            <w:rStyle w:val="aa"/>
            <w:rFonts w:ascii="Calibri" w:hAnsi="Calibri" w:cs="Calibri"/>
          </w:rPr>
          <w:t>https://doi.org/10.1006/jvbe.1994.1027</w:t>
        </w:r>
      </w:hyperlink>
    </w:p>
    <w:p w14:paraId="1498A19E" w14:textId="77777777" w:rsidR="006F1C5D" w:rsidRPr="006F1C5D" w:rsidRDefault="006F1C5D" w:rsidP="0050214D">
      <w:pPr>
        <w:spacing w:line="360" w:lineRule="auto"/>
        <w:ind w:left="720" w:hanging="720"/>
        <w:jc w:val="both"/>
        <w:rPr>
          <w:rFonts w:ascii="Calibri" w:hAnsi="Calibri" w:cs="Calibri"/>
        </w:rPr>
      </w:pPr>
      <w:r w:rsidRPr="006F1C5D">
        <w:rPr>
          <w:rFonts w:ascii="Calibri" w:hAnsi="Calibri" w:cs="Calibri"/>
        </w:rPr>
        <w:t xml:space="preserve">Stoll, G., Salmela-Aro, K., &amp; Nurmi, J.-E. (2016). Adolescents’ career aspirations and school engagement: A longitudinal study. </w:t>
      </w:r>
      <w:r w:rsidRPr="006F1C5D">
        <w:rPr>
          <w:rFonts w:ascii="Calibri" w:hAnsi="Calibri" w:cs="Calibri"/>
          <w:i/>
          <w:iCs/>
        </w:rPr>
        <w:t>Journal of Adolescence, 51</w:t>
      </w:r>
      <w:r w:rsidRPr="006F1C5D">
        <w:rPr>
          <w:rFonts w:ascii="Calibri" w:hAnsi="Calibri" w:cs="Calibri"/>
        </w:rPr>
        <w:t xml:space="preserve">, 61–70. </w:t>
      </w:r>
      <w:hyperlink r:id="rId7" w:tgtFrame="_new" w:history="1">
        <w:r w:rsidRPr="006F1C5D">
          <w:rPr>
            <w:rStyle w:val="aa"/>
            <w:rFonts w:ascii="Calibri" w:hAnsi="Calibri" w:cs="Calibri"/>
          </w:rPr>
          <w:t>https://doi.org/10.1016/j.adolescence.2016.05.004</w:t>
        </w:r>
      </w:hyperlink>
    </w:p>
    <w:p w14:paraId="25655D63" w14:textId="3135DFD0" w:rsidR="00980B41" w:rsidRPr="00DB5BD9" w:rsidRDefault="006F1C5D" w:rsidP="0050214D">
      <w:pPr>
        <w:spacing w:line="360" w:lineRule="auto"/>
        <w:ind w:left="720" w:hanging="720"/>
        <w:jc w:val="both"/>
        <w:rPr>
          <w:rFonts w:ascii="Calibri" w:hAnsi="Calibri" w:cs="Calibri" w:hint="eastAsia"/>
        </w:rPr>
      </w:pPr>
      <w:r w:rsidRPr="006F1C5D">
        <w:rPr>
          <w:rFonts w:ascii="Calibri" w:hAnsi="Calibri" w:cs="Calibri"/>
        </w:rPr>
        <w:t xml:space="preserve">Vondracek, F. W., Lerner, R. M., &amp; Schulenberg, J. E. (1986). </w:t>
      </w:r>
      <w:r w:rsidRPr="006F1C5D">
        <w:rPr>
          <w:rFonts w:ascii="Calibri" w:hAnsi="Calibri" w:cs="Calibri"/>
          <w:i/>
          <w:iCs/>
        </w:rPr>
        <w:t>Career development: A life-span developmental approach</w:t>
      </w:r>
      <w:r w:rsidRPr="006F1C5D">
        <w:rPr>
          <w:rFonts w:ascii="Calibri" w:hAnsi="Calibri" w:cs="Calibri"/>
        </w:rPr>
        <w:t>. Lawrence Erlbaum Associates.</w:t>
      </w:r>
    </w:p>
    <w:sectPr w:rsidR="00980B41" w:rsidRPr="00DB5BD9">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DE4"/>
    <w:rsid w:val="002D3431"/>
    <w:rsid w:val="0045070F"/>
    <w:rsid w:val="0050214D"/>
    <w:rsid w:val="00626695"/>
    <w:rsid w:val="006F1C5D"/>
    <w:rsid w:val="007D3DE4"/>
    <w:rsid w:val="008872FB"/>
    <w:rsid w:val="00980B41"/>
    <w:rsid w:val="00DB5BD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921F1"/>
  <w15:chartTrackingRefBased/>
  <w15:docId w15:val="{B9B0C0D2-1E35-4FAD-9441-6BA50B3A1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rsid w:val="007D3DE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7D3DE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7D3DE4"/>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7D3DE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7D3DE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7D3DE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7D3DE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7D3DE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7D3DE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7D3DE4"/>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7D3DE4"/>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7D3DE4"/>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7D3DE4"/>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7D3DE4"/>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7D3DE4"/>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7D3DE4"/>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7D3DE4"/>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7D3DE4"/>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7D3DE4"/>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7D3DE4"/>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7D3DE4"/>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7D3DE4"/>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7D3DE4"/>
    <w:pPr>
      <w:spacing w:before="160"/>
      <w:jc w:val="center"/>
    </w:pPr>
    <w:rPr>
      <w:i/>
      <w:iCs/>
      <w:color w:val="404040" w:themeColor="text1" w:themeTint="BF"/>
    </w:rPr>
  </w:style>
  <w:style w:type="character" w:customStyle="1" w:styleId="Char1">
    <w:name w:val="인용 Char"/>
    <w:basedOn w:val="a0"/>
    <w:link w:val="a5"/>
    <w:uiPriority w:val="29"/>
    <w:rsid w:val="007D3DE4"/>
    <w:rPr>
      <w:i/>
      <w:iCs/>
      <w:color w:val="404040" w:themeColor="text1" w:themeTint="BF"/>
    </w:rPr>
  </w:style>
  <w:style w:type="paragraph" w:styleId="a6">
    <w:name w:val="List Paragraph"/>
    <w:basedOn w:val="a"/>
    <w:uiPriority w:val="34"/>
    <w:qFormat/>
    <w:rsid w:val="007D3DE4"/>
    <w:pPr>
      <w:ind w:left="720"/>
      <w:contextualSpacing/>
    </w:pPr>
  </w:style>
  <w:style w:type="character" w:styleId="a7">
    <w:name w:val="Intense Emphasis"/>
    <w:basedOn w:val="a0"/>
    <w:uiPriority w:val="21"/>
    <w:qFormat/>
    <w:rsid w:val="007D3DE4"/>
    <w:rPr>
      <w:i/>
      <w:iCs/>
      <w:color w:val="0F4761" w:themeColor="accent1" w:themeShade="BF"/>
    </w:rPr>
  </w:style>
  <w:style w:type="paragraph" w:styleId="a8">
    <w:name w:val="Intense Quote"/>
    <w:basedOn w:val="a"/>
    <w:next w:val="a"/>
    <w:link w:val="Char2"/>
    <w:uiPriority w:val="30"/>
    <w:qFormat/>
    <w:rsid w:val="007D3D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7D3DE4"/>
    <w:rPr>
      <w:i/>
      <w:iCs/>
      <w:color w:val="0F4761" w:themeColor="accent1" w:themeShade="BF"/>
    </w:rPr>
  </w:style>
  <w:style w:type="character" w:styleId="a9">
    <w:name w:val="Intense Reference"/>
    <w:basedOn w:val="a0"/>
    <w:uiPriority w:val="32"/>
    <w:qFormat/>
    <w:rsid w:val="007D3DE4"/>
    <w:rPr>
      <w:b/>
      <w:bCs/>
      <w:smallCaps/>
      <w:color w:val="0F4761" w:themeColor="accent1" w:themeShade="BF"/>
      <w:spacing w:val="5"/>
    </w:rPr>
  </w:style>
  <w:style w:type="character" w:styleId="aa">
    <w:name w:val="Hyperlink"/>
    <w:basedOn w:val="a0"/>
    <w:uiPriority w:val="99"/>
    <w:unhideWhenUsed/>
    <w:rsid w:val="00626695"/>
    <w:rPr>
      <w:color w:val="467886" w:themeColor="hyperlink"/>
      <w:u w:val="single"/>
    </w:rPr>
  </w:style>
  <w:style w:type="character" w:styleId="ab">
    <w:name w:val="Unresolved Mention"/>
    <w:basedOn w:val="a0"/>
    <w:uiPriority w:val="99"/>
    <w:semiHidden/>
    <w:unhideWhenUsed/>
    <w:rsid w:val="006266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68666">
      <w:bodyDiv w:val="1"/>
      <w:marLeft w:val="0"/>
      <w:marRight w:val="0"/>
      <w:marTop w:val="0"/>
      <w:marBottom w:val="0"/>
      <w:divBdr>
        <w:top w:val="none" w:sz="0" w:space="0" w:color="auto"/>
        <w:left w:val="none" w:sz="0" w:space="0" w:color="auto"/>
        <w:bottom w:val="none" w:sz="0" w:space="0" w:color="auto"/>
        <w:right w:val="none" w:sz="0" w:space="0" w:color="auto"/>
      </w:divBdr>
    </w:div>
    <w:div w:id="312953053">
      <w:bodyDiv w:val="1"/>
      <w:marLeft w:val="0"/>
      <w:marRight w:val="0"/>
      <w:marTop w:val="0"/>
      <w:marBottom w:val="0"/>
      <w:divBdr>
        <w:top w:val="none" w:sz="0" w:space="0" w:color="auto"/>
        <w:left w:val="none" w:sz="0" w:space="0" w:color="auto"/>
        <w:bottom w:val="none" w:sz="0" w:space="0" w:color="auto"/>
        <w:right w:val="none" w:sz="0" w:space="0" w:color="auto"/>
      </w:divBdr>
    </w:div>
    <w:div w:id="354430005">
      <w:bodyDiv w:val="1"/>
      <w:marLeft w:val="0"/>
      <w:marRight w:val="0"/>
      <w:marTop w:val="0"/>
      <w:marBottom w:val="0"/>
      <w:divBdr>
        <w:top w:val="none" w:sz="0" w:space="0" w:color="auto"/>
        <w:left w:val="none" w:sz="0" w:space="0" w:color="auto"/>
        <w:bottom w:val="none" w:sz="0" w:space="0" w:color="auto"/>
        <w:right w:val="none" w:sz="0" w:space="0" w:color="auto"/>
      </w:divBdr>
    </w:div>
    <w:div w:id="487863427">
      <w:bodyDiv w:val="1"/>
      <w:marLeft w:val="0"/>
      <w:marRight w:val="0"/>
      <w:marTop w:val="0"/>
      <w:marBottom w:val="0"/>
      <w:divBdr>
        <w:top w:val="none" w:sz="0" w:space="0" w:color="auto"/>
        <w:left w:val="none" w:sz="0" w:space="0" w:color="auto"/>
        <w:bottom w:val="none" w:sz="0" w:space="0" w:color="auto"/>
        <w:right w:val="none" w:sz="0" w:space="0" w:color="auto"/>
      </w:divBdr>
    </w:div>
    <w:div w:id="689839485">
      <w:bodyDiv w:val="1"/>
      <w:marLeft w:val="0"/>
      <w:marRight w:val="0"/>
      <w:marTop w:val="0"/>
      <w:marBottom w:val="0"/>
      <w:divBdr>
        <w:top w:val="none" w:sz="0" w:space="0" w:color="auto"/>
        <w:left w:val="none" w:sz="0" w:space="0" w:color="auto"/>
        <w:bottom w:val="none" w:sz="0" w:space="0" w:color="auto"/>
        <w:right w:val="none" w:sz="0" w:space="0" w:color="auto"/>
      </w:divBdr>
    </w:div>
    <w:div w:id="930284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016/j.adolescence.2016.05.00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06/jvbe.1994.1027" TargetMode="External"/><Relationship Id="rId5" Type="http://schemas.openxmlformats.org/officeDocument/2006/relationships/hyperlink" Target="https://doi.org/10.1111/1467-8624.00345" TargetMode="External"/><Relationship Id="rId4" Type="http://schemas.openxmlformats.org/officeDocument/2006/relationships/hyperlink" Target="https://doi.org/10.1037/a0017416" TargetMode="Externa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61</TotalTime>
  <Pages>3</Pages>
  <Words>876</Words>
  <Characters>4995</Characters>
  <Application>Microsoft Office Word</Application>
  <DocSecurity>0</DocSecurity>
  <Lines>41</Lines>
  <Paragraphs>11</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5860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yuna lee</dc:creator>
  <cp:keywords/>
  <dc:description/>
  <cp:lastModifiedBy>yuna lee</cp:lastModifiedBy>
  <cp:revision>2</cp:revision>
  <dcterms:created xsi:type="dcterms:W3CDTF">2026-04-16T04:12:00Z</dcterms:created>
  <dcterms:modified xsi:type="dcterms:W3CDTF">2026-04-16T05:14:00Z</dcterms:modified>
</cp:coreProperties>
</file>