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55698" w:rsidRPr="00393455" w:rsidRDefault="00A55698" w:rsidP="00D54A00">
      <w:pPr>
        <w:shd w:val="clear" w:color="auto" w:fill="FFFFFF"/>
        <w:spacing w:line="276" w:lineRule="auto"/>
        <w:rPr>
          <w:rFonts w:ascii="Times New Roman" w:eastAsia="Times New Roman" w:hAnsi="Times New Roman" w:cs="Times New Roman"/>
          <w:color w:val="000000" w:themeColor="text1"/>
          <w:kern w:val="0"/>
          <w14:ligatures w14:val="none"/>
        </w:rPr>
      </w:pPr>
      <w:r w:rsidRPr="00393455">
        <w:rPr>
          <w:rFonts w:ascii="Times New Roman" w:eastAsia="Times New Roman" w:hAnsi="Times New Roman" w:cs="Times New Roman"/>
          <w:color w:val="000000" w:themeColor="text1"/>
          <w:kern w:val="0"/>
          <w14:ligatures w14:val="none"/>
        </w:rPr>
        <w:t>Godden, Lorraine</w:t>
      </w:r>
    </w:p>
    <w:p w:rsidR="00A55698" w:rsidRPr="00393455" w:rsidRDefault="00D54A00" w:rsidP="00D54A00">
      <w:pPr>
        <w:shd w:val="clear" w:color="auto" w:fill="FFFFFF"/>
        <w:spacing w:line="276" w:lineRule="auto"/>
        <w:rPr>
          <w:rFonts w:ascii="Times New Roman" w:eastAsia="Times New Roman" w:hAnsi="Times New Roman" w:cs="Times New Roman"/>
          <w:color w:val="000000" w:themeColor="text1"/>
          <w:kern w:val="0"/>
          <w14:ligatures w14:val="none"/>
        </w:rPr>
      </w:pPr>
      <w:r w:rsidRPr="00393455">
        <w:rPr>
          <w:rFonts w:ascii="Times New Roman" w:eastAsia="Times New Roman" w:hAnsi="Times New Roman" w:cs="Times New Roman"/>
          <w:color w:val="000000" w:themeColor="text1"/>
          <w:kern w:val="0"/>
          <w14:ligatures w14:val="none"/>
        </w:rPr>
        <w:t>Consultant, Higher Education and Beyond</w:t>
      </w:r>
    </w:p>
    <w:p w:rsidR="00D54A00" w:rsidRPr="00393455" w:rsidRDefault="00D54A00" w:rsidP="00D54A00">
      <w:pPr>
        <w:shd w:val="clear" w:color="auto" w:fill="FFFFFF"/>
        <w:spacing w:line="276" w:lineRule="auto"/>
        <w:rPr>
          <w:rFonts w:ascii="Times New Roman" w:eastAsia="Times New Roman" w:hAnsi="Times New Roman" w:cs="Times New Roman"/>
          <w:color w:val="000000" w:themeColor="text1"/>
          <w:kern w:val="0"/>
          <w14:ligatures w14:val="none"/>
        </w:rPr>
      </w:pPr>
      <w:hyperlink r:id="rId5" w:history="1">
        <w:r w:rsidRPr="00393455">
          <w:rPr>
            <w:rStyle w:val="Hyperlink"/>
            <w:rFonts w:ascii="Times New Roman" w:eastAsia="Times New Roman" w:hAnsi="Times New Roman" w:cs="Times New Roman"/>
            <w:color w:val="000000" w:themeColor="text1"/>
            <w:kern w:val="0"/>
            <w14:ligatures w14:val="none"/>
          </w:rPr>
          <w:t>lorraine@hedbeyond.ca</w:t>
        </w:r>
      </w:hyperlink>
    </w:p>
    <w:p w:rsidR="00D54A00" w:rsidRPr="00393455" w:rsidRDefault="00D54A00" w:rsidP="00D54A00">
      <w:pPr>
        <w:shd w:val="clear" w:color="auto" w:fill="FFFFFF"/>
        <w:spacing w:line="276" w:lineRule="auto"/>
        <w:rPr>
          <w:rFonts w:ascii="Times New Roman" w:eastAsia="Times New Roman" w:hAnsi="Times New Roman" w:cs="Times New Roman"/>
          <w:color w:val="000000" w:themeColor="text1"/>
          <w:kern w:val="0"/>
          <w14:ligatures w14:val="none"/>
        </w:rPr>
      </w:pPr>
      <w:r w:rsidRPr="00393455">
        <w:rPr>
          <w:rFonts w:ascii="Times New Roman" w:eastAsia="Times New Roman" w:hAnsi="Times New Roman" w:cs="Times New Roman"/>
          <w:color w:val="000000" w:themeColor="text1"/>
          <w:kern w:val="0"/>
          <w14:ligatures w14:val="none"/>
        </w:rPr>
        <w:t>Higher Education &amp; Beyond</w:t>
      </w:r>
    </w:p>
    <w:p w:rsidR="00D54A00" w:rsidRPr="00393455" w:rsidRDefault="00D54A00" w:rsidP="00D54A00">
      <w:pPr>
        <w:shd w:val="clear" w:color="auto" w:fill="FFFFFF"/>
        <w:spacing w:line="276" w:lineRule="auto"/>
        <w:rPr>
          <w:rFonts w:ascii="Times New Roman" w:eastAsia="Times New Roman" w:hAnsi="Times New Roman" w:cs="Times New Roman"/>
          <w:color w:val="000000" w:themeColor="text1"/>
          <w:kern w:val="0"/>
          <w14:ligatures w14:val="none"/>
        </w:rPr>
      </w:pPr>
    </w:p>
    <w:p w:rsidR="00D54A00" w:rsidRPr="00393455" w:rsidRDefault="00D54A00" w:rsidP="00D54A00">
      <w:pPr>
        <w:shd w:val="clear" w:color="auto" w:fill="FFFFFF"/>
        <w:spacing w:line="276" w:lineRule="auto"/>
        <w:rPr>
          <w:rFonts w:ascii="Times New Roman" w:hAnsi="Times New Roman" w:cs="Times New Roman"/>
          <w:color w:val="000000" w:themeColor="text1"/>
        </w:rPr>
      </w:pPr>
      <w:r w:rsidRPr="00393455">
        <w:rPr>
          <w:rFonts w:ascii="Times New Roman" w:eastAsia="Times New Roman" w:hAnsi="Times New Roman" w:cs="Times New Roman"/>
          <w:b/>
          <w:bCs/>
          <w:color w:val="000000" w:themeColor="text1"/>
          <w:kern w:val="0"/>
          <w14:ligatures w14:val="none"/>
        </w:rPr>
        <w:t>Title:</w:t>
      </w:r>
      <w:r w:rsidRPr="00393455">
        <w:rPr>
          <w:rFonts w:ascii="Times New Roman" w:hAnsi="Times New Roman" w:cs="Times New Roman"/>
          <w:color w:val="000000" w:themeColor="text1"/>
        </w:rPr>
        <w:t xml:space="preserve"> </w:t>
      </w:r>
    </w:p>
    <w:p w:rsidR="00D54A00" w:rsidRPr="00393455" w:rsidRDefault="00D54A00" w:rsidP="00D54A00">
      <w:pPr>
        <w:shd w:val="clear" w:color="auto" w:fill="FFFFFF"/>
        <w:spacing w:line="276" w:lineRule="auto"/>
        <w:rPr>
          <w:rFonts w:ascii="Times New Roman" w:eastAsia="Times New Roman" w:hAnsi="Times New Roman" w:cs="Times New Roman"/>
          <w:color w:val="000000" w:themeColor="text1"/>
          <w:kern w:val="0"/>
          <w14:ligatures w14:val="none"/>
        </w:rPr>
      </w:pPr>
      <w:r w:rsidRPr="00393455">
        <w:rPr>
          <w:rFonts w:ascii="Times New Roman" w:hAnsi="Times New Roman" w:cs="Times New Roman"/>
          <w:color w:val="000000" w:themeColor="text1"/>
        </w:rPr>
        <w:t xml:space="preserve">Creating </w:t>
      </w:r>
      <w:r w:rsidRPr="00393455">
        <w:rPr>
          <w:rFonts w:ascii="Times New Roman" w:hAnsi="Times New Roman" w:cs="Times New Roman"/>
          <w:color w:val="000000" w:themeColor="text1"/>
        </w:rPr>
        <w:t xml:space="preserve">Accessible, </w:t>
      </w:r>
      <w:r w:rsidRPr="00393455">
        <w:rPr>
          <w:rFonts w:ascii="Times New Roman" w:hAnsi="Times New Roman" w:cs="Times New Roman"/>
          <w:color w:val="000000" w:themeColor="text1"/>
        </w:rPr>
        <w:t xml:space="preserve">Inclusive </w:t>
      </w:r>
      <w:r w:rsidRPr="00393455">
        <w:rPr>
          <w:rFonts w:ascii="Times New Roman" w:hAnsi="Times New Roman" w:cs="Times New Roman"/>
          <w:color w:val="000000" w:themeColor="text1"/>
        </w:rPr>
        <w:t xml:space="preserve">and Equitable </w:t>
      </w:r>
      <w:r w:rsidRPr="00393455">
        <w:rPr>
          <w:rFonts w:ascii="Times New Roman" w:hAnsi="Times New Roman" w:cs="Times New Roman"/>
          <w:color w:val="000000" w:themeColor="text1"/>
        </w:rPr>
        <w:t xml:space="preserve">Work-Integrated Learning </w:t>
      </w:r>
    </w:p>
    <w:p w:rsidR="00D54A00" w:rsidRPr="00393455" w:rsidRDefault="00D54A00" w:rsidP="00D54A00">
      <w:pPr>
        <w:shd w:val="clear" w:color="auto" w:fill="FFFFFF"/>
        <w:spacing w:line="276" w:lineRule="auto"/>
        <w:rPr>
          <w:rFonts w:ascii="Times New Roman" w:eastAsia="Times New Roman" w:hAnsi="Times New Roman" w:cs="Times New Roman"/>
          <w:b/>
          <w:bCs/>
          <w:color w:val="000000" w:themeColor="text1"/>
          <w:kern w:val="0"/>
          <w14:ligatures w14:val="none"/>
        </w:rPr>
      </w:pPr>
    </w:p>
    <w:p w:rsidR="00D54A00" w:rsidRPr="00393455" w:rsidRDefault="00D54A00" w:rsidP="00D54A00">
      <w:pPr>
        <w:shd w:val="clear" w:color="auto" w:fill="FFFFFF"/>
        <w:spacing w:line="276" w:lineRule="auto"/>
        <w:rPr>
          <w:rFonts w:ascii="Times New Roman" w:eastAsia="Times New Roman" w:hAnsi="Times New Roman" w:cs="Times New Roman"/>
          <w:b/>
          <w:bCs/>
          <w:color w:val="000000" w:themeColor="text1"/>
          <w:kern w:val="0"/>
          <w14:ligatures w14:val="none"/>
        </w:rPr>
      </w:pPr>
    </w:p>
    <w:p w:rsidR="00D54A00" w:rsidRPr="00393455" w:rsidRDefault="00D54A00" w:rsidP="00D54A00">
      <w:pPr>
        <w:shd w:val="clear" w:color="auto" w:fill="FFFFFF"/>
        <w:spacing w:line="276" w:lineRule="auto"/>
        <w:rPr>
          <w:rFonts w:ascii="Times New Roman" w:eastAsia="Times New Roman" w:hAnsi="Times New Roman" w:cs="Times New Roman"/>
          <w:b/>
          <w:bCs/>
          <w:color w:val="000000" w:themeColor="text1"/>
          <w:kern w:val="0"/>
          <w14:ligatures w14:val="none"/>
        </w:rPr>
      </w:pPr>
      <w:r w:rsidRPr="00393455">
        <w:rPr>
          <w:rFonts w:ascii="Times New Roman" w:eastAsia="Times New Roman" w:hAnsi="Times New Roman" w:cs="Times New Roman"/>
          <w:b/>
          <w:bCs/>
          <w:color w:val="000000" w:themeColor="text1"/>
          <w:kern w:val="0"/>
          <w14:ligatures w14:val="none"/>
        </w:rPr>
        <w:t>Conference Theme:</w:t>
      </w:r>
      <w:r w:rsidRPr="00393455">
        <w:rPr>
          <w:rFonts w:ascii="Times New Roman" w:hAnsi="Times New Roman" w:cs="Times New Roman"/>
          <w:color w:val="000000" w:themeColor="text1"/>
        </w:rPr>
        <w:t xml:space="preserve"> </w:t>
      </w:r>
    </w:p>
    <w:p w:rsidR="00D54A00" w:rsidRPr="00393455" w:rsidRDefault="006029E5" w:rsidP="00355DB0">
      <w:pPr>
        <w:spacing w:after="360" w:line="276" w:lineRule="auto"/>
        <w:outlineLvl w:val="1"/>
        <w:rPr>
          <w:rFonts w:ascii="Times New Roman" w:eastAsia="Times New Roman" w:hAnsi="Times New Roman" w:cs="Times New Roman"/>
          <w:b/>
          <w:bCs/>
          <w:color w:val="000000" w:themeColor="text1"/>
          <w:spacing w:val="-5"/>
          <w:kern w:val="0"/>
          <w14:ligatures w14:val="none"/>
        </w:rPr>
      </w:pPr>
      <w:r w:rsidRPr="006029E5">
        <w:rPr>
          <w:rFonts w:ascii="Times New Roman" w:eastAsia="Times New Roman" w:hAnsi="Times New Roman" w:cs="Times New Roman"/>
          <w:color w:val="000000" w:themeColor="text1"/>
          <w:spacing w:val="-5"/>
          <w:kern w:val="0"/>
          <w14:ligatures w14:val="none"/>
        </w:rPr>
        <w:t xml:space="preserve">This workshop proposal aligns with </w:t>
      </w:r>
      <w:r w:rsidR="00D54A00" w:rsidRPr="00284481">
        <w:rPr>
          <w:rFonts w:ascii="Times New Roman" w:eastAsia="Times New Roman" w:hAnsi="Times New Roman" w:cs="Times New Roman"/>
          <w:color w:val="000000" w:themeColor="text1"/>
          <w:spacing w:val="-5"/>
          <w:kern w:val="0"/>
          <w14:ligatures w14:val="none"/>
        </w:rPr>
        <w:t xml:space="preserve">Best Practice – </w:t>
      </w:r>
      <w:proofErr w:type="spellStart"/>
      <w:r w:rsidR="00D54A00" w:rsidRPr="00284481">
        <w:rPr>
          <w:rFonts w:ascii="Times New Roman" w:eastAsia="Times New Roman" w:hAnsi="Times New Roman" w:cs="Times New Roman"/>
          <w:color w:val="000000" w:themeColor="text1"/>
          <w:spacing w:val="-5"/>
          <w:kern w:val="0"/>
          <w14:ligatures w14:val="none"/>
        </w:rPr>
        <w:t>Tupuānuk</w:t>
      </w:r>
      <w:proofErr w:type="spellEnd"/>
      <w:r>
        <w:rPr>
          <w:rFonts w:ascii="Times New Roman" w:eastAsia="Times New Roman" w:hAnsi="Times New Roman" w:cs="Times New Roman"/>
          <w:color w:val="000000" w:themeColor="text1"/>
          <w:spacing w:val="-5"/>
          <w:kern w:val="0"/>
          <w14:ligatures w14:val="none"/>
        </w:rPr>
        <w:t xml:space="preserve">, with its focus on </w:t>
      </w:r>
      <w:r>
        <w:rPr>
          <w:rFonts w:ascii="Times New Roman" w:hAnsi="Times New Roman" w:cs="Times New Roman"/>
          <w:color w:val="000000" w:themeColor="text1"/>
          <w:spacing w:val="-2"/>
          <w:shd w:val="clear" w:color="auto" w:fill="FFFFFF"/>
        </w:rPr>
        <w:t>n</w:t>
      </w:r>
      <w:r w:rsidR="00D54A00" w:rsidRPr="00393455">
        <w:rPr>
          <w:rFonts w:ascii="Times New Roman" w:hAnsi="Times New Roman" w:cs="Times New Roman"/>
          <w:color w:val="000000" w:themeColor="text1"/>
          <w:spacing w:val="-2"/>
          <w:shd w:val="clear" w:color="auto" w:fill="FFFFFF"/>
        </w:rPr>
        <w:t xml:space="preserve">urturing </w:t>
      </w:r>
      <w:r>
        <w:rPr>
          <w:rFonts w:ascii="Times New Roman" w:hAnsi="Times New Roman" w:cs="Times New Roman"/>
          <w:color w:val="000000" w:themeColor="text1"/>
          <w:spacing w:val="-2"/>
          <w:shd w:val="clear" w:color="auto" w:fill="FFFFFF"/>
        </w:rPr>
        <w:t>b</w:t>
      </w:r>
      <w:r w:rsidR="00D54A00" w:rsidRPr="00393455">
        <w:rPr>
          <w:rFonts w:ascii="Times New Roman" w:hAnsi="Times New Roman" w:cs="Times New Roman"/>
          <w:color w:val="000000" w:themeColor="text1"/>
          <w:spacing w:val="-2"/>
          <w:shd w:val="clear" w:color="auto" w:fill="FFFFFF"/>
        </w:rPr>
        <w:t xml:space="preserve">est </w:t>
      </w:r>
      <w:r>
        <w:rPr>
          <w:rFonts w:ascii="Times New Roman" w:hAnsi="Times New Roman" w:cs="Times New Roman"/>
          <w:color w:val="000000" w:themeColor="text1"/>
          <w:spacing w:val="-2"/>
          <w:shd w:val="clear" w:color="auto" w:fill="FFFFFF"/>
        </w:rPr>
        <w:t>p</w:t>
      </w:r>
      <w:r w:rsidR="00D54A00" w:rsidRPr="00393455">
        <w:rPr>
          <w:rFonts w:ascii="Times New Roman" w:hAnsi="Times New Roman" w:cs="Times New Roman"/>
          <w:color w:val="000000" w:themeColor="text1"/>
          <w:spacing w:val="-2"/>
          <w:shd w:val="clear" w:color="auto" w:fill="FFFFFF"/>
        </w:rPr>
        <w:t xml:space="preserve">ractices from the </w:t>
      </w:r>
      <w:r>
        <w:rPr>
          <w:rFonts w:ascii="Times New Roman" w:hAnsi="Times New Roman" w:cs="Times New Roman"/>
          <w:color w:val="000000" w:themeColor="text1"/>
          <w:spacing w:val="-2"/>
          <w:shd w:val="clear" w:color="auto" w:fill="FFFFFF"/>
        </w:rPr>
        <w:t>g</w:t>
      </w:r>
      <w:r w:rsidR="00D54A00" w:rsidRPr="00393455">
        <w:rPr>
          <w:rFonts w:ascii="Times New Roman" w:hAnsi="Times New Roman" w:cs="Times New Roman"/>
          <w:color w:val="000000" w:themeColor="text1"/>
          <w:spacing w:val="-2"/>
          <w:shd w:val="clear" w:color="auto" w:fill="FFFFFF"/>
        </w:rPr>
        <w:t xml:space="preserve">round </w:t>
      </w:r>
      <w:r>
        <w:rPr>
          <w:rFonts w:ascii="Times New Roman" w:hAnsi="Times New Roman" w:cs="Times New Roman"/>
          <w:color w:val="000000" w:themeColor="text1"/>
          <w:spacing w:val="-2"/>
          <w:shd w:val="clear" w:color="auto" w:fill="FFFFFF"/>
        </w:rPr>
        <w:t>u</w:t>
      </w:r>
      <w:r w:rsidR="00D54A00" w:rsidRPr="00393455">
        <w:rPr>
          <w:rFonts w:ascii="Times New Roman" w:hAnsi="Times New Roman" w:cs="Times New Roman"/>
          <w:color w:val="000000" w:themeColor="text1"/>
          <w:spacing w:val="-2"/>
          <w:shd w:val="clear" w:color="auto" w:fill="FFFFFF"/>
        </w:rPr>
        <w:t>p</w:t>
      </w:r>
      <w:r>
        <w:rPr>
          <w:rFonts w:ascii="Times New Roman" w:hAnsi="Times New Roman" w:cs="Times New Roman"/>
          <w:color w:val="000000" w:themeColor="text1"/>
          <w:spacing w:val="-2"/>
          <w:shd w:val="clear" w:color="auto" w:fill="FFFFFF"/>
        </w:rPr>
        <w:t xml:space="preserve"> in work-integrated learning. In particular, our OBEL Equity Cube helps to create sustainable accessible, inclusive and equitable ways for students to engage with learning in the workplace and other experiential learning spaces. </w:t>
      </w:r>
    </w:p>
    <w:p w:rsidR="00D54A00" w:rsidRPr="00393455" w:rsidRDefault="00D54A00" w:rsidP="00D54A00">
      <w:pPr>
        <w:shd w:val="clear" w:color="auto" w:fill="FFFFFF"/>
        <w:spacing w:line="276" w:lineRule="auto"/>
        <w:rPr>
          <w:rFonts w:ascii="Times New Roman" w:eastAsia="Times New Roman" w:hAnsi="Times New Roman" w:cs="Times New Roman"/>
          <w:b/>
          <w:bCs/>
          <w:color w:val="000000" w:themeColor="text1"/>
          <w:kern w:val="0"/>
          <w14:ligatures w14:val="none"/>
        </w:rPr>
      </w:pPr>
      <w:r w:rsidRPr="00393455">
        <w:rPr>
          <w:rFonts w:ascii="Times New Roman" w:eastAsia="Times New Roman" w:hAnsi="Times New Roman" w:cs="Times New Roman"/>
          <w:b/>
          <w:bCs/>
          <w:color w:val="000000" w:themeColor="text1"/>
          <w:kern w:val="0"/>
          <w14:ligatures w14:val="none"/>
        </w:rPr>
        <w:t>Language:</w:t>
      </w:r>
    </w:p>
    <w:p w:rsidR="00D54A00" w:rsidRPr="00393455" w:rsidRDefault="00D54A00" w:rsidP="00D54A00">
      <w:pPr>
        <w:shd w:val="clear" w:color="auto" w:fill="FFFFFF"/>
        <w:spacing w:line="276" w:lineRule="auto"/>
        <w:rPr>
          <w:rFonts w:ascii="Times New Roman" w:eastAsia="Times New Roman" w:hAnsi="Times New Roman" w:cs="Times New Roman"/>
          <w:color w:val="000000" w:themeColor="text1"/>
          <w:kern w:val="0"/>
          <w14:ligatures w14:val="none"/>
        </w:rPr>
      </w:pPr>
      <w:r w:rsidRPr="00393455">
        <w:rPr>
          <w:rFonts w:ascii="Times New Roman" w:eastAsia="Times New Roman" w:hAnsi="Times New Roman" w:cs="Times New Roman"/>
          <w:color w:val="000000" w:themeColor="text1"/>
          <w:kern w:val="0"/>
          <w14:ligatures w14:val="none"/>
        </w:rPr>
        <w:t>English</w:t>
      </w:r>
    </w:p>
    <w:p w:rsidR="00A55698" w:rsidRPr="00393455" w:rsidRDefault="00A55698" w:rsidP="00D54A00">
      <w:pPr>
        <w:shd w:val="clear" w:color="auto" w:fill="FFFFFF"/>
        <w:spacing w:line="276" w:lineRule="auto"/>
        <w:rPr>
          <w:rFonts w:ascii="Times New Roman" w:eastAsia="Times New Roman" w:hAnsi="Times New Roman" w:cs="Times New Roman"/>
          <w:color w:val="000000" w:themeColor="text1"/>
          <w:kern w:val="0"/>
          <w14:ligatures w14:val="none"/>
        </w:rPr>
      </w:pPr>
    </w:p>
    <w:p w:rsidR="00A55698" w:rsidRPr="00393455" w:rsidRDefault="00D54A00" w:rsidP="00D54A00">
      <w:pPr>
        <w:shd w:val="clear" w:color="auto" w:fill="FFFFFF"/>
        <w:spacing w:line="276" w:lineRule="auto"/>
        <w:rPr>
          <w:rFonts w:ascii="Times New Roman" w:eastAsia="Times New Roman" w:hAnsi="Times New Roman" w:cs="Times New Roman"/>
          <w:b/>
          <w:bCs/>
          <w:color w:val="000000" w:themeColor="text1"/>
          <w:kern w:val="0"/>
          <w14:ligatures w14:val="none"/>
        </w:rPr>
      </w:pPr>
      <w:r w:rsidRPr="00393455">
        <w:rPr>
          <w:rFonts w:ascii="Times New Roman" w:eastAsia="Times New Roman" w:hAnsi="Times New Roman" w:cs="Times New Roman"/>
          <w:b/>
          <w:bCs/>
          <w:color w:val="000000" w:themeColor="text1"/>
          <w:kern w:val="0"/>
          <w14:ligatures w14:val="none"/>
        </w:rPr>
        <w:t>Abstract</w:t>
      </w:r>
    </w:p>
    <w:p w:rsidR="00A55698" w:rsidRPr="00393455" w:rsidRDefault="00A55698" w:rsidP="00D54A00">
      <w:pPr>
        <w:spacing w:line="276" w:lineRule="auto"/>
        <w:rPr>
          <w:rFonts w:ascii="Times New Roman" w:hAnsi="Times New Roman" w:cs="Times New Roman"/>
          <w:color w:val="323232"/>
        </w:rPr>
      </w:pPr>
      <w:r w:rsidRPr="00393455">
        <w:rPr>
          <w:rFonts w:ascii="Times New Roman" w:hAnsi="Times New Roman" w:cs="Times New Roman"/>
          <w:color w:val="000000" w:themeColor="text1"/>
        </w:rPr>
        <w:t xml:space="preserve">This interactive workshop guides you through the practical OBEL-equity (Outcome-Based Experiential Learning) framework and process of identifying relevant dimensions of diversity, identifying their impact on the five OBEL design components for workplace learning, and selecting priorities and practical strategies for enhancing access, inclusion and equity in </w:t>
      </w:r>
      <w:r w:rsidR="006029E5">
        <w:rPr>
          <w:rFonts w:ascii="Times New Roman" w:hAnsi="Times New Roman" w:cs="Times New Roman"/>
          <w:color w:val="000000" w:themeColor="text1"/>
        </w:rPr>
        <w:t xml:space="preserve">a variety of work-related learning </w:t>
      </w:r>
      <w:r w:rsidRPr="00393455">
        <w:rPr>
          <w:rFonts w:ascii="Times New Roman" w:hAnsi="Times New Roman" w:cs="Times New Roman"/>
          <w:color w:val="000000" w:themeColor="text1"/>
        </w:rPr>
        <w:t>context</w:t>
      </w:r>
      <w:r w:rsidR="006029E5">
        <w:rPr>
          <w:rFonts w:ascii="Times New Roman" w:hAnsi="Times New Roman" w:cs="Times New Roman"/>
          <w:color w:val="000000" w:themeColor="text1"/>
        </w:rPr>
        <w:t>s</w:t>
      </w:r>
      <w:r w:rsidRPr="00393455">
        <w:rPr>
          <w:rFonts w:ascii="Times New Roman" w:hAnsi="Times New Roman" w:cs="Times New Roman"/>
          <w:color w:val="000000" w:themeColor="text1"/>
        </w:rPr>
        <w:t>.</w:t>
      </w:r>
      <w:r w:rsidRPr="00393455">
        <w:rPr>
          <w:rFonts w:ascii="Times New Roman" w:hAnsi="Times New Roman" w:cs="Times New Roman"/>
          <w:color w:val="000000" w:themeColor="text1"/>
        </w:rPr>
        <w:t xml:space="preserve"> </w:t>
      </w:r>
      <w:r w:rsidRPr="00A55698">
        <w:rPr>
          <w:rFonts w:ascii="Times New Roman" w:eastAsia="Times New Roman" w:hAnsi="Times New Roman" w:cs="Times New Roman"/>
          <w:color w:val="000000" w:themeColor="text1"/>
          <w:kern w:val="0"/>
          <w14:ligatures w14:val="none"/>
        </w:rPr>
        <w:t>Creating a future of equitable workplaces and work-integrated learning (WIL) requires addressing embedded inequity</w:t>
      </w:r>
      <w:r w:rsidR="006029E5">
        <w:rPr>
          <w:rFonts w:ascii="Times New Roman" w:eastAsia="Times New Roman" w:hAnsi="Times New Roman" w:cs="Times New Roman"/>
          <w:color w:val="000000" w:themeColor="text1"/>
          <w:kern w:val="0"/>
          <w14:ligatures w14:val="none"/>
        </w:rPr>
        <w:t>, and t</w:t>
      </w:r>
      <w:r w:rsidRPr="00A55698">
        <w:rPr>
          <w:rFonts w:ascii="Times New Roman" w:eastAsia="Times New Roman" w:hAnsi="Times New Roman" w:cs="Times New Roman"/>
          <w:color w:val="000000" w:themeColor="text1"/>
          <w:kern w:val="0"/>
          <w14:ligatures w14:val="none"/>
        </w:rPr>
        <w:t>here are many disparities in access, retention, experiences, and impacts on future career planning for equity-seeking groups of students participating in WIL</w:t>
      </w:r>
      <w:r w:rsidR="006029E5">
        <w:rPr>
          <w:rFonts w:ascii="Times New Roman" w:eastAsia="Times New Roman" w:hAnsi="Times New Roman" w:cs="Times New Roman"/>
          <w:color w:val="000000" w:themeColor="text1"/>
          <w:kern w:val="0"/>
          <w14:ligatures w14:val="none"/>
        </w:rPr>
        <w:t xml:space="preserve"> that need addressing</w:t>
      </w:r>
      <w:r w:rsidRPr="00A55698">
        <w:rPr>
          <w:rFonts w:ascii="Times New Roman" w:eastAsia="Times New Roman" w:hAnsi="Times New Roman" w:cs="Times New Roman"/>
          <w:color w:val="000000" w:themeColor="text1"/>
          <w:kern w:val="0"/>
          <w14:ligatures w14:val="none"/>
        </w:rPr>
        <w:t xml:space="preserve">. These disparities include cultural discrimination faced by international students, harassment and bullying and tangible barriers faced by students with visible and non-visible disabilities, and </w:t>
      </w:r>
      <w:r w:rsidRPr="00A55698">
        <w:rPr>
          <w:rFonts w:ascii="Times New Roman" w:eastAsia="Times New Roman" w:hAnsi="Times New Roman" w:cs="Times New Roman"/>
          <w:color w:val="000000"/>
          <w:kern w:val="0"/>
          <w14:ligatures w14:val="none"/>
        </w:rPr>
        <w:t xml:space="preserve">discriminatory attitudes and underrepresentation faced by 2SLGBTQI+ and female students within WIL placements. Limitations, in a social model of disability, are addressed as barriers in the environment rather than as something wrong with the person. Inequity and equity in WIL thus reflect built design. We describe how equity, access and inclusion can be built into the five OBEL design factors for a more equitable WIL experience. This </w:t>
      </w:r>
      <w:r w:rsidR="006029E5">
        <w:rPr>
          <w:rFonts w:ascii="Times New Roman" w:eastAsia="Times New Roman" w:hAnsi="Times New Roman" w:cs="Times New Roman"/>
          <w:color w:val="000000"/>
          <w:kern w:val="0"/>
          <w14:ligatures w14:val="none"/>
        </w:rPr>
        <w:t xml:space="preserve">workshop </w:t>
      </w:r>
      <w:r w:rsidRPr="00A55698">
        <w:rPr>
          <w:rFonts w:ascii="Times New Roman" w:eastAsia="Times New Roman" w:hAnsi="Times New Roman" w:cs="Times New Roman"/>
          <w:color w:val="000000"/>
          <w:kern w:val="0"/>
          <w14:ligatures w14:val="none"/>
        </w:rPr>
        <w:t xml:space="preserve">offers WIL </w:t>
      </w:r>
      <w:r w:rsidR="006029E5">
        <w:rPr>
          <w:rFonts w:ascii="Times New Roman" w:eastAsia="Times New Roman" w:hAnsi="Times New Roman" w:cs="Times New Roman"/>
          <w:color w:val="000000"/>
          <w:kern w:val="0"/>
          <w14:ligatures w14:val="none"/>
        </w:rPr>
        <w:t>stakeholders</w:t>
      </w:r>
      <w:r w:rsidRPr="00A55698">
        <w:rPr>
          <w:rFonts w:ascii="Times New Roman" w:eastAsia="Times New Roman" w:hAnsi="Times New Roman" w:cs="Times New Roman"/>
          <w:color w:val="000000"/>
          <w:kern w:val="0"/>
          <w14:ligatures w14:val="none"/>
        </w:rPr>
        <w:t xml:space="preserve"> a practical, structured design framework for creating an equitable, inclusive and accessible future of WIL. We describe a tangible structured approach for identifying and implementing changes necessary for improved WIL access (pathways), inclusion (belonging), and equity (systemic) across nine dimensions of diversity and all five design factors for creating WIL experiences.</w:t>
      </w:r>
      <w:r w:rsidRPr="00393455">
        <w:rPr>
          <w:rFonts w:ascii="Times New Roman" w:eastAsia="Times New Roman" w:hAnsi="Times New Roman" w:cs="Times New Roman"/>
          <w:color w:val="000000"/>
          <w:kern w:val="0"/>
          <w14:ligatures w14:val="none"/>
        </w:rPr>
        <w:t xml:space="preserve"> At the end of this workshop, participants will be able to: </w:t>
      </w:r>
      <w:r w:rsidRPr="00393455">
        <w:rPr>
          <w:rFonts w:ascii="Times New Roman" w:hAnsi="Times New Roman" w:cs="Times New Roman"/>
        </w:rPr>
        <w:t>i</w:t>
      </w:r>
      <w:r w:rsidRPr="00393455">
        <w:rPr>
          <w:rFonts w:ascii="Times New Roman" w:hAnsi="Times New Roman" w:cs="Times New Roman"/>
        </w:rPr>
        <w:t>dentify relevant dimensions of diversity</w:t>
      </w:r>
      <w:r w:rsidRPr="00393455">
        <w:rPr>
          <w:rFonts w:ascii="Times New Roman" w:hAnsi="Times New Roman" w:cs="Times New Roman"/>
          <w:color w:val="323232"/>
        </w:rPr>
        <w:t xml:space="preserve">, </w:t>
      </w:r>
      <w:r w:rsidRPr="00393455">
        <w:rPr>
          <w:rFonts w:ascii="Times New Roman" w:hAnsi="Times New Roman" w:cs="Times New Roman"/>
        </w:rPr>
        <w:t>i</w:t>
      </w:r>
      <w:r w:rsidRPr="00393455">
        <w:rPr>
          <w:rFonts w:ascii="Times New Roman" w:hAnsi="Times New Roman" w:cs="Times New Roman"/>
        </w:rPr>
        <w:t xml:space="preserve">dentify the impact on five </w:t>
      </w:r>
      <w:r w:rsidRPr="00393455">
        <w:rPr>
          <w:rFonts w:ascii="Times New Roman" w:hAnsi="Times New Roman" w:cs="Times New Roman"/>
        </w:rPr>
        <w:lastRenderedPageBreak/>
        <w:t>design components for work-integrated learning</w:t>
      </w:r>
      <w:r w:rsidRPr="00393455">
        <w:rPr>
          <w:rFonts w:ascii="Times New Roman" w:hAnsi="Times New Roman" w:cs="Times New Roman"/>
          <w:color w:val="323232"/>
        </w:rPr>
        <w:t xml:space="preserve">, and </w:t>
      </w:r>
      <w:r w:rsidRPr="00393455">
        <w:rPr>
          <w:rFonts w:ascii="Times New Roman" w:hAnsi="Times New Roman" w:cs="Times New Roman"/>
        </w:rPr>
        <w:t>p</w:t>
      </w:r>
      <w:r w:rsidRPr="00393455">
        <w:rPr>
          <w:rFonts w:ascii="Times New Roman" w:hAnsi="Times New Roman" w:cs="Times New Roman"/>
        </w:rPr>
        <w:t>rioritize and plan changes for improved access, inclusion and equity</w:t>
      </w:r>
      <w:r w:rsidRPr="00393455">
        <w:rPr>
          <w:rFonts w:ascii="Times New Roman" w:hAnsi="Times New Roman" w:cs="Times New Roman"/>
        </w:rPr>
        <w:t>.</w:t>
      </w:r>
    </w:p>
    <w:p w:rsidR="00A55698" w:rsidRPr="00393455" w:rsidRDefault="00A55698" w:rsidP="00A55698">
      <w:pPr>
        <w:rPr>
          <w:rFonts w:ascii="Times New Roman" w:hAnsi="Times New Roman" w:cs="Times New Roman"/>
        </w:rPr>
      </w:pPr>
    </w:p>
    <w:p w:rsidR="00A55698" w:rsidRPr="00393455" w:rsidRDefault="00D54A00" w:rsidP="00A55698">
      <w:pPr>
        <w:rPr>
          <w:rFonts w:ascii="Times New Roman" w:hAnsi="Times New Roman" w:cs="Times New Roman"/>
        </w:rPr>
      </w:pPr>
      <w:r w:rsidRPr="00393455">
        <w:rPr>
          <w:rFonts w:ascii="Times New Roman" w:hAnsi="Times New Roman" w:cs="Times New Roman"/>
          <w:b/>
          <w:bCs/>
        </w:rPr>
        <w:t xml:space="preserve">Keywords: </w:t>
      </w:r>
      <w:r w:rsidRPr="00393455">
        <w:rPr>
          <w:rFonts w:ascii="Times New Roman" w:hAnsi="Times New Roman" w:cs="Times New Roman"/>
        </w:rPr>
        <w:t>(3-5)</w:t>
      </w:r>
      <w:r w:rsidR="00355DB0" w:rsidRPr="00393455">
        <w:rPr>
          <w:rFonts w:ascii="Times New Roman" w:hAnsi="Times New Roman" w:cs="Times New Roman"/>
        </w:rPr>
        <w:t xml:space="preserve"> Equity, accessibility, inclusion, design factors; work-integrated learning</w:t>
      </w:r>
    </w:p>
    <w:p w:rsidR="00D54A00" w:rsidRPr="00393455" w:rsidRDefault="00D54A00" w:rsidP="00A55698">
      <w:pPr>
        <w:rPr>
          <w:rFonts w:ascii="Times New Roman" w:hAnsi="Times New Roman" w:cs="Times New Roman"/>
        </w:rPr>
      </w:pPr>
    </w:p>
    <w:p w:rsidR="00D54A00" w:rsidRPr="00393455" w:rsidRDefault="00D54A00" w:rsidP="00A55698">
      <w:pPr>
        <w:rPr>
          <w:rFonts w:ascii="Times New Roman" w:hAnsi="Times New Roman" w:cs="Times New Roman"/>
        </w:rPr>
      </w:pPr>
    </w:p>
    <w:p w:rsidR="00D54A00" w:rsidRPr="00393455" w:rsidRDefault="00D54A00" w:rsidP="00A55698">
      <w:pPr>
        <w:rPr>
          <w:rFonts w:ascii="Times New Roman" w:hAnsi="Times New Roman" w:cs="Times New Roman"/>
          <w:b/>
          <w:bCs/>
        </w:rPr>
      </w:pPr>
      <w:r w:rsidRPr="00393455">
        <w:rPr>
          <w:rFonts w:ascii="Times New Roman" w:hAnsi="Times New Roman" w:cs="Times New Roman"/>
          <w:b/>
          <w:bCs/>
        </w:rPr>
        <w:t>Introduction</w:t>
      </w:r>
    </w:p>
    <w:p w:rsidR="00D54A00" w:rsidRPr="00393455" w:rsidRDefault="00E54FBA" w:rsidP="00E54FBA">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Equity-seeking groups of students participating in work-integrated learning (WIL) face disparities in access,</w:t>
      </w:r>
      <w:r w:rsidRPr="00393455">
        <w:rPr>
          <w:rFonts w:ascii="Times New Roman" w:hAnsi="Times New Roman" w:cs="Times New Roman"/>
        </w:rPr>
        <w:t xml:space="preserve"> </w:t>
      </w:r>
      <w:r w:rsidRPr="00393455">
        <w:rPr>
          <w:rFonts w:ascii="Times New Roman" w:hAnsi="Times New Roman" w:cs="Times New Roman"/>
        </w:rPr>
        <w:t>retention, and future employment, reflecting challenges and barriers associated with their intersectional identities</w:t>
      </w:r>
      <w:r w:rsidRPr="00393455">
        <w:rPr>
          <w:rFonts w:ascii="Times New Roman" w:hAnsi="Times New Roman" w:cs="Times New Roman"/>
        </w:rPr>
        <w:t xml:space="preserve"> </w:t>
      </w:r>
      <w:r w:rsidRPr="00393455">
        <w:rPr>
          <w:rFonts w:ascii="Times New Roman" w:hAnsi="Times New Roman" w:cs="Times New Roman"/>
        </w:rPr>
        <w:t>and dimensions of diversity. These disparities include international students facing cultural discrimination,</w:t>
      </w:r>
      <w:r w:rsidRPr="00393455">
        <w:rPr>
          <w:rFonts w:ascii="Times New Roman" w:hAnsi="Times New Roman" w:cs="Times New Roman"/>
        </w:rPr>
        <w:t xml:space="preserve"> </w:t>
      </w:r>
      <w:r w:rsidRPr="00393455">
        <w:rPr>
          <w:rFonts w:ascii="Times New Roman" w:hAnsi="Times New Roman" w:cs="Times New Roman"/>
        </w:rPr>
        <w:t>students with disabilities facing bullying, and 2SLGBTQIA+ and female students facing discriminatory attitudes</w:t>
      </w:r>
      <w:r w:rsidRPr="00393455">
        <w:rPr>
          <w:rFonts w:ascii="Times New Roman" w:hAnsi="Times New Roman" w:cs="Times New Roman"/>
        </w:rPr>
        <w:t xml:space="preserve"> </w:t>
      </w:r>
      <w:r w:rsidRPr="00393455">
        <w:rPr>
          <w:rFonts w:ascii="Times New Roman" w:hAnsi="Times New Roman" w:cs="Times New Roman"/>
        </w:rPr>
        <w:t>and underrepresentation within WIL placement. Through the lens of the social model of disability, where</w:t>
      </w:r>
      <w:r w:rsidRPr="00393455">
        <w:rPr>
          <w:rFonts w:ascii="Times New Roman" w:hAnsi="Times New Roman" w:cs="Times New Roman"/>
        </w:rPr>
        <w:t xml:space="preserve"> </w:t>
      </w:r>
      <w:r w:rsidRPr="00393455">
        <w:rPr>
          <w:rFonts w:ascii="Times New Roman" w:hAnsi="Times New Roman" w:cs="Times New Roman"/>
        </w:rPr>
        <w:t>limitations are viewed as barriers in the environment rather than personal deficits, designing for equity is essential.</w:t>
      </w:r>
      <w:r w:rsidRPr="00393455">
        <w:rPr>
          <w:rFonts w:ascii="Times New Roman" w:hAnsi="Times New Roman" w:cs="Times New Roman"/>
        </w:rPr>
        <w:t xml:space="preserve"> </w:t>
      </w:r>
      <w:r w:rsidRPr="00393455">
        <w:rPr>
          <w:rFonts w:ascii="Times New Roman" w:hAnsi="Times New Roman" w:cs="Times New Roman"/>
        </w:rPr>
        <w:t xml:space="preserve">This </w:t>
      </w:r>
      <w:r w:rsidRPr="00393455">
        <w:rPr>
          <w:rFonts w:ascii="Times New Roman" w:hAnsi="Times New Roman" w:cs="Times New Roman"/>
        </w:rPr>
        <w:t>workshop</w:t>
      </w:r>
      <w:r w:rsidRPr="00393455">
        <w:rPr>
          <w:rFonts w:ascii="Times New Roman" w:hAnsi="Times New Roman" w:cs="Times New Roman"/>
        </w:rPr>
        <w:t xml:space="preserve"> offers guidance to WIL </w:t>
      </w:r>
      <w:r w:rsidRPr="00393455">
        <w:rPr>
          <w:rFonts w:ascii="Times New Roman" w:hAnsi="Times New Roman" w:cs="Times New Roman"/>
        </w:rPr>
        <w:t>stakeholders</w:t>
      </w:r>
      <w:r w:rsidRPr="00393455">
        <w:rPr>
          <w:rFonts w:ascii="Times New Roman" w:hAnsi="Times New Roman" w:cs="Times New Roman"/>
        </w:rPr>
        <w:t xml:space="preserve"> wrestling with expanding diversity and improving</w:t>
      </w:r>
      <w:r w:rsidRPr="00393455">
        <w:rPr>
          <w:rFonts w:ascii="Times New Roman" w:hAnsi="Times New Roman" w:cs="Times New Roman"/>
        </w:rPr>
        <w:t xml:space="preserve"> </w:t>
      </w:r>
      <w:r w:rsidRPr="00393455">
        <w:rPr>
          <w:rFonts w:ascii="Times New Roman" w:hAnsi="Times New Roman" w:cs="Times New Roman"/>
        </w:rPr>
        <w:t>equity. Practical strategies for enhancing WIL access, inclusion, and equity are described for five identified design</w:t>
      </w:r>
      <w:r w:rsidRPr="00393455">
        <w:rPr>
          <w:rFonts w:ascii="Times New Roman" w:hAnsi="Times New Roman" w:cs="Times New Roman"/>
        </w:rPr>
        <w:t xml:space="preserve"> </w:t>
      </w:r>
      <w:r w:rsidRPr="00393455">
        <w:rPr>
          <w:rFonts w:ascii="Times New Roman" w:hAnsi="Times New Roman" w:cs="Times New Roman"/>
        </w:rPr>
        <w:t>factors: context, timing, level of independence, degree of scaffolding (support), and connection with theory</w:t>
      </w:r>
      <w:r w:rsidRPr="00393455">
        <w:rPr>
          <w:rFonts w:ascii="Times New Roman" w:hAnsi="Times New Roman" w:cs="Times New Roman"/>
        </w:rPr>
        <w:t>.</w:t>
      </w:r>
    </w:p>
    <w:p w:rsidR="00355DB0" w:rsidRPr="00393455" w:rsidRDefault="00355DB0" w:rsidP="00A55698">
      <w:pPr>
        <w:rPr>
          <w:rFonts w:ascii="Times New Roman" w:hAnsi="Times New Roman" w:cs="Times New Roman"/>
        </w:rPr>
      </w:pPr>
    </w:p>
    <w:p w:rsidR="00D54A00" w:rsidRPr="00393455" w:rsidRDefault="00D54A00" w:rsidP="00A55698">
      <w:pPr>
        <w:rPr>
          <w:rFonts w:ascii="Times New Roman" w:hAnsi="Times New Roman" w:cs="Times New Roman"/>
          <w:b/>
          <w:bCs/>
        </w:rPr>
      </w:pPr>
      <w:r w:rsidRPr="00393455">
        <w:rPr>
          <w:rFonts w:ascii="Times New Roman" w:hAnsi="Times New Roman" w:cs="Times New Roman"/>
          <w:b/>
          <w:bCs/>
        </w:rPr>
        <w:t>Objectives</w:t>
      </w:r>
    </w:p>
    <w:p w:rsidR="00E54FBA" w:rsidRPr="00393455" w:rsidRDefault="00E54FBA" w:rsidP="00E54FBA">
      <w:pPr>
        <w:spacing w:line="276" w:lineRule="auto"/>
        <w:rPr>
          <w:rFonts w:ascii="Times New Roman" w:hAnsi="Times New Roman" w:cs="Times New Roman"/>
          <w:color w:val="323232"/>
        </w:rPr>
      </w:pPr>
      <w:r w:rsidRPr="00393455">
        <w:rPr>
          <w:rFonts w:ascii="Times New Roman" w:hAnsi="Times New Roman" w:cs="Times New Roman"/>
          <w:color w:val="000000" w:themeColor="text1"/>
        </w:rPr>
        <w:t>This interactive workshop guides you through the practical OBEL-equity (Outcome-Based Experiential Learning) framework and process of identifying relevant dimensions of diversity, identifying their impact on the five OBEL design components for workplace learning, and selecting priorities and practical strategies for enhancing access, inclusion and equity in your context.</w:t>
      </w:r>
      <w:r w:rsidRPr="00393455">
        <w:rPr>
          <w:rFonts w:ascii="Times New Roman" w:eastAsia="Times New Roman" w:hAnsi="Times New Roman" w:cs="Times New Roman"/>
          <w:color w:val="000000"/>
          <w:kern w:val="0"/>
          <w14:ligatures w14:val="none"/>
        </w:rPr>
        <w:t xml:space="preserve"> </w:t>
      </w:r>
      <w:r w:rsidRPr="00393455">
        <w:rPr>
          <w:rFonts w:ascii="Times New Roman" w:eastAsia="Times New Roman" w:hAnsi="Times New Roman" w:cs="Times New Roman"/>
          <w:color w:val="000000"/>
          <w:kern w:val="0"/>
          <w14:ligatures w14:val="none"/>
        </w:rPr>
        <w:t xml:space="preserve">At the end of this workshop, participants will be able to: </w:t>
      </w:r>
      <w:r w:rsidRPr="00393455">
        <w:rPr>
          <w:rFonts w:ascii="Times New Roman" w:hAnsi="Times New Roman" w:cs="Times New Roman"/>
        </w:rPr>
        <w:t>identify relevant dimensions of diversity</w:t>
      </w:r>
      <w:r w:rsidRPr="00393455">
        <w:rPr>
          <w:rFonts w:ascii="Times New Roman" w:hAnsi="Times New Roman" w:cs="Times New Roman"/>
          <w:color w:val="323232"/>
        </w:rPr>
        <w:t xml:space="preserve">, </w:t>
      </w:r>
      <w:r w:rsidRPr="00393455">
        <w:rPr>
          <w:rFonts w:ascii="Times New Roman" w:hAnsi="Times New Roman" w:cs="Times New Roman"/>
        </w:rPr>
        <w:t>identify the impact on five design components for work-integrated learning</w:t>
      </w:r>
      <w:r w:rsidRPr="00393455">
        <w:rPr>
          <w:rFonts w:ascii="Times New Roman" w:hAnsi="Times New Roman" w:cs="Times New Roman"/>
          <w:color w:val="323232"/>
        </w:rPr>
        <w:t xml:space="preserve">, and </w:t>
      </w:r>
      <w:r w:rsidRPr="00393455">
        <w:rPr>
          <w:rFonts w:ascii="Times New Roman" w:hAnsi="Times New Roman" w:cs="Times New Roman"/>
        </w:rPr>
        <w:t>prioritize and plan changes for improved access, inclusion and equity.</w:t>
      </w:r>
    </w:p>
    <w:p w:rsidR="00D54A00" w:rsidRPr="00393455" w:rsidRDefault="00D54A00" w:rsidP="00A55698">
      <w:pPr>
        <w:rPr>
          <w:rFonts w:ascii="Times New Roman" w:hAnsi="Times New Roman" w:cs="Times New Roman"/>
        </w:rPr>
      </w:pPr>
    </w:p>
    <w:p w:rsidR="00D54A00" w:rsidRPr="00393455" w:rsidRDefault="00D54A00" w:rsidP="00A55698">
      <w:pPr>
        <w:rPr>
          <w:rFonts w:ascii="Times New Roman" w:hAnsi="Times New Roman" w:cs="Times New Roman"/>
          <w:b/>
          <w:bCs/>
        </w:rPr>
      </w:pPr>
      <w:r w:rsidRPr="00393455">
        <w:rPr>
          <w:rFonts w:ascii="Times New Roman" w:hAnsi="Times New Roman" w:cs="Times New Roman"/>
          <w:b/>
          <w:bCs/>
        </w:rPr>
        <w:t>Theoretical Basis</w:t>
      </w:r>
    </w:p>
    <w:p w:rsidR="00D54A00" w:rsidRPr="00393455" w:rsidRDefault="00E54FBA" w:rsidP="00E54FBA">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Learners who disproportionately face barriers in work-integrated learning (WIL) include international</w:t>
      </w:r>
      <w:r w:rsidRPr="00393455">
        <w:rPr>
          <w:rFonts w:ascii="Times New Roman" w:hAnsi="Times New Roman" w:cs="Times New Roman"/>
        </w:rPr>
        <w:t xml:space="preserve"> </w:t>
      </w:r>
      <w:r w:rsidRPr="00393455">
        <w:rPr>
          <w:rFonts w:ascii="Times New Roman" w:hAnsi="Times New Roman" w:cs="Times New Roman"/>
        </w:rPr>
        <w:t>students (language and cultural challenges and discrimination), students with disabilities (harassment</w:t>
      </w:r>
      <w:r w:rsidRPr="00393455">
        <w:rPr>
          <w:rFonts w:ascii="Times New Roman" w:hAnsi="Times New Roman" w:cs="Times New Roman"/>
        </w:rPr>
        <w:t xml:space="preserve"> </w:t>
      </w:r>
      <w:r w:rsidRPr="00393455">
        <w:rPr>
          <w:rFonts w:ascii="Times New Roman" w:hAnsi="Times New Roman" w:cs="Times New Roman"/>
        </w:rPr>
        <w:t>and bullying, in addition to lack of assistive technologies, health, and pain issues, and sensory and</w:t>
      </w:r>
      <w:r w:rsidRPr="00393455">
        <w:rPr>
          <w:rFonts w:ascii="Times New Roman" w:hAnsi="Times New Roman" w:cs="Times New Roman"/>
        </w:rPr>
        <w:t xml:space="preserve"> </w:t>
      </w:r>
      <w:r w:rsidRPr="00393455">
        <w:rPr>
          <w:rFonts w:ascii="Times New Roman" w:hAnsi="Times New Roman" w:cs="Times New Roman"/>
        </w:rPr>
        <w:t>communication barriers), 2SLGBTQ+, and female students (discriminatory attitudes and</w:t>
      </w:r>
      <w:r w:rsidRPr="00393455">
        <w:rPr>
          <w:rFonts w:ascii="Times New Roman" w:hAnsi="Times New Roman" w:cs="Times New Roman"/>
        </w:rPr>
        <w:t xml:space="preserve"> </w:t>
      </w:r>
      <w:r w:rsidRPr="00393455">
        <w:rPr>
          <w:rFonts w:ascii="Times New Roman" w:hAnsi="Times New Roman" w:cs="Times New Roman"/>
        </w:rPr>
        <w:t>underrepresentation, in addition to overrepresentation in gender stereotypical roles) (see, e.g., Cocks</w:t>
      </w:r>
      <w:r w:rsidRPr="00393455">
        <w:rPr>
          <w:rFonts w:ascii="Times New Roman" w:hAnsi="Times New Roman" w:cs="Times New Roman"/>
        </w:rPr>
        <w:t xml:space="preserve"> </w:t>
      </w:r>
      <w:r w:rsidRPr="00393455">
        <w:rPr>
          <w:rFonts w:ascii="Times New Roman" w:hAnsi="Times New Roman" w:cs="Times New Roman"/>
        </w:rPr>
        <w:t>et al., 2015; Moylan &amp; Wood, 2016;  Taylor et al., 2015). Such equity-seeking groups of students</w:t>
      </w:r>
      <w:r w:rsidRPr="00393455">
        <w:rPr>
          <w:rFonts w:ascii="Times New Roman" w:hAnsi="Times New Roman" w:cs="Times New Roman"/>
        </w:rPr>
        <w:t xml:space="preserve"> </w:t>
      </w:r>
      <w:r w:rsidRPr="00393455">
        <w:rPr>
          <w:rFonts w:ascii="Times New Roman" w:hAnsi="Times New Roman" w:cs="Times New Roman"/>
        </w:rPr>
        <w:t>participating in WIL face disparities in access, retention, experiences, and impacts on future</w:t>
      </w:r>
      <w:r w:rsidRPr="00393455">
        <w:rPr>
          <w:rFonts w:ascii="Times New Roman" w:hAnsi="Times New Roman" w:cs="Times New Roman"/>
        </w:rPr>
        <w:t xml:space="preserve"> </w:t>
      </w:r>
      <w:r w:rsidRPr="00393455">
        <w:rPr>
          <w:rFonts w:ascii="Times New Roman" w:hAnsi="Times New Roman" w:cs="Times New Roman"/>
        </w:rPr>
        <w:t>employment outcomes (</w:t>
      </w:r>
      <w:proofErr w:type="spellStart"/>
      <w:r w:rsidRPr="00393455">
        <w:rPr>
          <w:rFonts w:ascii="Times New Roman" w:hAnsi="Times New Roman" w:cs="Times New Roman"/>
        </w:rPr>
        <w:t>Cukier</w:t>
      </w:r>
      <w:proofErr w:type="spellEnd"/>
      <w:r w:rsidRPr="00393455">
        <w:rPr>
          <w:rFonts w:ascii="Times New Roman" w:hAnsi="Times New Roman" w:cs="Times New Roman"/>
        </w:rPr>
        <w:t xml:space="preserve"> et al., 2018). Hiring preferences and criteria derived from social capital,</w:t>
      </w:r>
      <w:r w:rsidRPr="00393455">
        <w:rPr>
          <w:rFonts w:ascii="Times New Roman" w:hAnsi="Times New Roman" w:cs="Times New Roman"/>
        </w:rPr>
        <w:t xml:space="preserve"> </w:t>
      </w:r>
      <w:r w:rsidRPr="00393455">
        <w:rPr>
          <w:rFonts w:ascii="Times New Roman" w:hAnsi="Times New Roman" w:cs="Times New Roman"/>
        </w:rPr>
        <w:t>educational attainment, and citizenship status may also reinforce discrimination (</w:t>
      </w:r>
      <w:proofErr w:type="spellStart"/>
      <w:r w:rsidRPr="00393455">
        <w:rPr>
          <w:rFonts w:ascii="Times New Roman" w:hAnsi="Times New Roman" w:cs="Times New Roman"/>
        </w:rPr>
        <w:t>Mackaway</w:t>
      </w:r>
      <w:proofErr w:type="spellEnd"/>
      <w:r w:rsidRPr="00393455">
        <w:rPr>
          <w:rFonts w:ascii="Times New Roman" w:hAnsi="Times New Roman" w:cs="Times New Roman"/>
        </w:rPr>
        <w:t xml:space="preserve"> &amp;</w:t>
      </w:r>
      <w:r w:rsidRPr="00393455">
        <w:rPr>
          <w:rFonts w:ascii="Times New Roman" w:hAnsi="Times New Roman" w:cs="Times New Roman"/>
        </w:rPr>
        <w:t xml:space="preserve"> </w:t>
      </w:r>
      <w:r w:rsidRPr="00393455">
        <w:rPr>
          <w:rFonts w:ascii="Times New Roman" w:hAnsi="Times New Roman" w:cs="Times New Roman"/>
        </w:rPr>
        <w:t>Winchester-</w:t>
      </w:r>
      <w:proofErr w:type="spellStart"/>
      <w:r w:rsidRPr="00393455">
        <w:rPr>
          <w:rFonts w:ascii="Times New Roman" w:hAnsi="Times New Roman" w:cs="Times New Roman"/>
        </w:rPr>
        <w:t>Seeto</w:t>
      </w:r>
      <w:proofErr w:type="spellEnd"/>
      <w:r w:rsidRPr="00393455">
        <w:rPr>
          <w:rFonts w:ascii="Times New Roman" w:hAnsi="Times New Roman" w:cs="Times New Roman"/>
        </w:rPr>
        <w:t>, 2018). Nielsen et al. (2022) summarized compounding barriers for Indigenous</w:t>
      </w:r>
      <w:r w:rsidRPr="00393455">
        <w:rPr>
          <w:rFonts w:ascii="Times New Roman" w:hAnsi="Times New Roman" w:cs="Times New Roman"/>
        </w:rPr>
        <w:t xml:space="preserve"> </w:t>
      </w:r>
      <w:r w:rsidRPr="00393455">
        <w:rPr>
          <w:rFonts w:ascii="Times New Roman" w:hAnsi="Times New Roman" w:cs="Times New Roman"/>
        </w:rPr>
        <w:t>learners, including exclusion and tokenization (Pidgeon, 2016), misinterpretations and appropriations</w:t>
      </w:r>
      <w:r w:rsidRPr="00393455">
        <w:rPr>
          <w:rFonts w:ascii="Times New Roman" w:hAnsi="Times New Roman" w:cs="Times New Roman"/>
        </w:rPr>
        <w:t xml:space="preserve"> </w:t>
      </w:r>
      <w:r w:rsidRPr="00393455">
        <w:rPr>
          <w:rFonts w:ascii="Times New Roman" w:hAnsi="Times New Roman" w:cs="Times New Roman"/>
        </w:rPr>
        <w:t>of Indigenous knowledge (Kovach, 2009), and privileging written traditions and positivist assumptions</w:t>
      </w:r>
      <w:r w:rsidRPr="00393455">
        <w:rPr>
          <w:rFonts w:ascii="Times New Roman" w:hAnsi="Times New Roman" w:cs="Times New Roman"/>
        </w:rPr>
        <w:t xml:space="preserve"> </w:t>
      </w:r>
      <w:r w:rsidRPr="00393455">
        <w:rPr>
          <w:rFonts w:ascii="Times New Roman" w:hAnsi="Times New Roman" w:cs="Times New Roman"/>
        </w:rPr>
        <w:t>(Atleo, 2004), as well as intersectional impacts of finances and family structures/dependent care</w:t>
      </w:r>
      <w:r w:rsidRPr="00393455">
        <w:rPr>
          <w:rFonts w:ascii="Times New Roman" w:hAnsi="Times New Roman" w:cs="Times New Roman"/>
        </w:rPr>
        <w:t xml:space="preserve"> </w:t>
      </w:r>
      <w:r w:rsidRPr="00393455">
        <w:rPr>
          <w:rFonts w:ascii="Times New Roman" w:hAnsi="Times New Roman" w:cs="Times New Roman"/>
        </w:rPr>
        <w:t>(Nielsen et al., 2022).</w:t>
      </w:r>
    </w:p>
    <w:p w:rsidR="00D54A00" w:rsidRPr="00393455" w:rsidRDefault="00D54A00" w:rsidP="00A55698">
      <w:pPr>
        <w:rPr>
          <w:rFonts w:ascii="Times New Roman" w:hAnsi="Times New Roman" w:cs="Times New Roman"/>
        </w:rPr>
      </w:pPr>
    </w:p>
    <w:p w:rsidR="00D54A00" w:rsidRPr="00393455" w:rsidRDefault="00D54A00" w:rsidP="00A55698">
      <w:pPr>
        <w:rPr>
          <w:rFonts w:ascii="Times New Roman" w:hAnsi="Times New Roman" w:cs="Times New Roman"/>
          <w:b/>
          <w:bCs/>
        </w:rPr>
      </w:pPr>
      <w:r w:rsidRPr="00393455">
        <w:rPr>
          <w:rFonts w:ascii="Times New Roman" w:hAnsi="Times New Roman" w:cs="Times New Roman"/>
          <w:b/>
          <w:bCs/>
        </w:rPr>
        <w:t>Methodology</w:t>
      </w:r>
    </w:p>
    <w:p w:rsidR="00E54FBA" w:rsidRPr="00393455" w:rsidRDefault="00E54FBA" w:rsidP="00A55698">
      <w:pPr>
        <w:rPr>
          <w:rFonts w:ascii="Times New Roman" w:hAnsi="Times New Roman" w:cs="Times New Roman"/>
        </w:rPr>
      </w:pPr>
    </w:p>
    <w:p w:rsidR="00E54FBA" w:rsidRPr="00393455" w:rsidRDefault="00E54FBA" w:rsidP="00E54FBA">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To offer strategies for (re)designing WIL’s assessments, processes, policies, structures, and learning</w:t>
      </w:r>
      <w:r w:rsidRPr="00393455">
        <w:rPr>
          <w:rFonts w:ascii="Times New Roman" w:hAnsi="Times New Roman" w:cs="Times New Roman"/>
        </w:rPr>
        <w:t xml:space="preserve"> </w:t>
      </w:r>
      <w:r w:rsidRPr="00393455">
        <w:rPr>
          <w:rFonts w:ascii="Times New Roman" w:hAnsi="Times New Roman" w:cs="Times New Roman"/>
        </w:rPr>
        <w:t xml:space="preserve">environments, this </w:t>
      </w:r>
      <w:r w:rsidR="006029E5">
        <w:rPr>
          <w:rFonts w:ascii="Times New Roman" w:hAnsi="Times New Roman" w:cs="Times New Roman"/>
        </w:rPr>
        <w:t>workshop will share how we</w:t>
      </w:r>
      <w:r w:rsidRPr="00393455">
        <w:rPr>
          <w:rFonts w:ascii="Times New Roman" w:hAnsi="Times New Roman" w:cs="Times New Roman"/>
        </w:rPr>
        <w:t xml:space="preserve"> applie</w:t>
      </w:r>
      <w:r w:rsidR="006029E5">
        <w:rPr>
          <w:rFonts w:ascii="Times New Roman" w:hAnsi="Times New Roman" w:cs="Times New Roman"/>
        </w:rPr>
        <w:t>d</w:t>
      </w:r>
      <w:r w:rsidRPr="00393455">
        <w:rPr>
          <w:rFonts w:ascii="Times New Roman" w:hAnsi="Times New Roman" w:cs="Times New Roman"/>
        </w:rPr>
        <w:t xml:space="preserve"> the five design factors from the Outcome-Based Experiential Learning</w:t>
      </w:r>
      <w:r w:rsidRPr="00393455">
        <w:rPr>
          <w:rFonts w:ascii="Times New Roman" w:hAnsi="Times New Roman" w:cs="Times New Roman"/>
        </w:rPr>
        <w:t xml:space="preserve"> </w:t>
      </w:r>
      <w:r w:rsidRPr="00393455">
        <w:rPr>
          <w:rFonts w:ascii="Times New Roman" w:hAnsi="Times New Roman" w:cs="Times New Roman"/>
        </w:rPr>
        <w:t>(OBEL) framework (</w:t>
      </w:r>
      <w:proofErr w:type="spellStart"/>
      <w:r w:rsidRPr="00393455">
        <w:rPr>
          <w:rFonts w:ascii="Times New Roman" w:hAnsi="Times New Roman" w:cs="Times New Roman"/>
        </w:rPr>
        <w:t>Hoessler</w:t>
      </w:r>
      <w:proofErr w:type="spellEnd"/>
      <w:r w:rsidRPr="00393455">
        <w:rPr>
          <w:rFonts w:ascii="Times New Roman" w:hAnsi="Times New Roman" w:cs="Times New Roman"/>
        </w:rPr>
        <w:t xml:space="preserve"> &amp; Godden, 2021) and Universal Design for Learning (UDL) as a conscious</w:t>
      </w:r>
      <w:r w:rsidRPr="00393455">
        <w:rPr>
          <w:rFonts w:ascii="Times New Roman" w:hAnsi="Times New Roman" w:cs="Times New Roman"/>
        </w:rPr>
        <w:t xml:space="preserve"> </w:t>
      </w:r>
      <w:r w:rsidRPr="00393455">
        <w:rPr>
          <w:rFonts w:ascii="Times New Roman" w:hAnsi="Times New Roman" w:cs="Times New Roman"/>
        </w:rPr>
        <w:t>process of planning decisions to help all students learn and achieve expected outcomes from WIL</w:t>
      </w:r>
      <w:r w:rsidRPr="00393455">
        <w:rPr>
          <w:rFonts w:ascii="Times New Roman" w:hAnsi="Times New Roman" w:cs="Times New Roman"/>
        </w:rPr>
        <w:t xml:space="preserve"> </w:t>
      </w:r>
      <w:r w:rsidRPr="00393455">
        <w:rPr>
          <w:rFonts w:ascii="Times New Roman" w:hAnsi="Times New Roman" w:cs="Times New Roman"/>
        </w:rPr>
        <w:t>(Novak, 2016).</w:t>
      </w:r>
      <w:r w:rsidRPr="00393455">
        <w:rPr>
          <w:rFonts w:ascii="Times New Roman" w:hAnsi="Times New Roman" w:cs="Times New Roman"/>
        </w:rPr>
        <w:t xml:space="preserve"> </w:t>
      </w:r>
      <w:r w:rsidRPr="00393455">
        <w:rPr>
          <w:rFonts w:ascii="Calibri" w:hAnsi="Calibri" w:cs="Calibri"/>
        </w:rPr>
        <w:t>﻿</w:t>
      </w:r>
      <w:proofErr w:type="spellStart"/>
      <w:r w:rsidRPr="00393455">
        <w:rPr>
          <w:rFonts w:ascii="Times New Roman" w:hAnsi="Times New Roman" w:cs="Times New Roman"/>
        </w:rPr>
        <w:t>Hoessler</w:t>
      </w:r>
      <w:proofErr w:type="spellEnd"/>
      <w:r w:rsidRPr="00393455">
        <w:rPr>
          <w:rFonts w:ascii="Times New Roman" w:hAnsi="Times New Roman" w:cs="Times New Roman"/>
        </w:rPr>
        <w:t xml:space="preserve"> and Godden’s (2021) five design factors for leaders, employers, coordinators and other</w:t>
      </w:r>
      <w:r w:rsidRPr="00393455">
        <w:rPr>
          <w:rFonts w:ascii="Times New Roman" w:hAnsi="Times New Roman" w:cs="Times New Roman"/>
        </w:rPr>
        <w:t xml:space="preserve"> </w:t>
      </w:r>
      <w:r w:rsidRPr="00393455">
        <w:rPr>
          <w:rFonts w:ascii="Times New Roman" w:hAnsi="Times New Roman" w:cs="Times New Roman"/>
        </w:rPr>
        <w:t>stakeholders to consider when enhancing WIL design are:</w:t>
      </w:r>
    </w:p>
    <w:p w:rsidR="00E54FBA" w:rsidRPr="006029E5" w:rsidRDefault="00E54FBA" w:rsidP="006029E5">
      <w:pPr>
        <w:pStyle w:val="ListParagraph"/>
        <w:numPr>
          <w:ilvl w:val="0"/>
          <w:numId w:val="2"/>
        </w:numPr>
        <w:rPr>
          <w:rFonts w:ascii="Times New Roman" w:hAnsi="Times New Roman" w:cs="Times New Roman"/>
        </w:rPr>
      </w:pPr>
      <w:r w:rsidRPr="006029E5">
        <w:rPr>
          <w:rFonts w:ascii="Times New Roman" w:hAnsi="Times New Roman" w:cs="Times New Roman"/>
        </w:rPr>
        <w:t>Social and physical context (e.g., layouts, desks, lunch culture),</w:t>
      </w:r>
    </w:p>
    <w:p w:rsidR="006029E5" w:rsidRDefault="00E54FBA" w:rsidP="00E54FBA">
      <w:pPr>
        <w:pStyle w:val="ListParagraph"/>
        <w:numPr>
          <w:ilvl w:val="0"/>
          <w:numId w:val="2"/>
        </w:numPr>
        <w:rPr>
          <w:rFonts w:ascii="Times New Roman" w:hAnsi="Times New Roman" w:cs="Times New Roman"/>
        </w:rPr>
      </w:pPr>
      <w:r w:rsidRPr="006029E5">
        <w:rPr>
          <w:rFonts w:ascii="Times New Roman" w:hAnsi="Times New Roman" w:cs="Times New Roman"/>
        </w:rPr>
        <w:t>Frequency and length of the experience (e.g., 5 days a week for a month or 1 day a week for a</w:t>
      </w:r>
      <w:r w:rsidR="006029E5">
        <w:rPr>
          <w:rFonts w:ascii="Times New Roman" w:hAnsi="Times New Roman" w:cs="Times New Roman"/>
        </w:rPr>
        <w:t xml:space="preserve"> </w:t>
      </w:r>
      <w:r w:rsidRPr="006029E5">
        <w:rPr>
          <w:rFonts w:ascii="Times New Roman" w:hAnsi="Times New Roman" w:cs="Times New Roman"/>
        </w:rPr>
        <w:t>term),</w:t>
      </w:r>
    </w:p>
    <w:p w:rsidR="006029E5" w:rsidRDefault="00E54FBA" w:rsidP="00E54FBA">
      <w:pPr>
        <w:pStyle w:val="ListParagraph"/>
        <w:numPr>
          <w:ilvl w:val="0"/>
          <w:numId w:val="2"/>
        </w:numPr>
        <w:rPr>
          <w:rFonts w:ascii="Times New Roman" w:hAnsi="Times New Roman" w:cs="Times New Roman"/>
        </w:rPr>
      </w:pPr>
      <w:r w:rsidRPr="006029E5">
        <w:rPr>
          <w:rFonts w:ascii="Times New Roman" w:hAnsi="Times New Roman" w:cs="Times New Roman"/>
        </w:rPr>
        <w:t>Level of independence and responsibility reflecting the leap from current to expected practice,</w:t>
      </w:r>
    </w:p>
    <w:p w:rsidR="006029E5" w:rsidRDefault="00E54FBA" w:rsidP="00E54FBA">
      <w:pPr>
        <w:pStyle w:val="ListParagraph"/>
        <w:numPr>
          <w:ilvl w:val="0"/>
          <w:numId w:val="2"/>
        </w:numPr>
        <w:rPr>
          <w:rFonts w:ascii="Times New Roman" w:hAnsi="Times New Roman" w:cs="Times New Roman"/>
        </w:rPr>
      </w:pPr>
      <w:r w:rsidRPr="006029E5">
        <w:rPr>
          <w:rFonts w:ascii="Times New Roman" w:hAnsi="Times New Roman" w:cs="Times New Roman"/>
        </w:rPr>
        <w:t>Degree of scaffolding specifying the level of guidance and feedback provided, and</w:t>
      </w:r>
    </w:p>
    <w:p w:rsidR="00E54FBA" w:rsidRPr="006029E5" w:rsidRDefault="00E54FBA" w:rsidP="00E54FBA">
      <w:pPr>
        <w:pStyle w:val="ListParagraph"/>
        <w:numPr>
          <w:ilvl w:val="0"/>
          <w:numId w:val="2"/>
        </w:numPr>
        <w:rPr>
          <w:rFonts w:ascii="Times New Roman" w:hAnsi="Times New Roman" w:cs="Times New Roman"/>
        </w:rPr>
      </w:pPr>
      <w:r w:rsidRPr="006029E5">
        <w:rPr>
          <w:rFonts w:ascii="Times New Roman" w:hAnsi="Times New Roman" w:cs="Times New Roman"/>
        </w:rPr>
        <w:t>Sequencing of theory and application (e.g., theory then work experience or work experience</w:t>
      </w:r>
      <w:r w:rsidR="006029E5">
        <w:rPr>
          <w:rFonts w:ascii="Times New Roman" w:hAnsi="Times New Roman" w:cs="Times New Roman"/>
        </w:rPr>
        <w:t xml:space="preserve"> </w:t>
      </w:r>
      <w:r w:rsidRPr="006029E5">
        <w:rPr>
          <w:rFonts w:ascii="Times New Roman" w:hAnsi="Times New Roman" w:cs="Times New Roman"/>
        </w:rPr>
        <w:t>than theory).</w:t>
      </w:r>
    </w:p>
    <w:p w:rsidR="00E54FBA" w:rsidRPr="00393455" w:rsidRDefault="00E54FBA" w:rsidP="00E54FBA">
      <w:pPr>
        <w:rPr>
          <w:rFonts w:ascii="Times New Roman" w:hAnsi="Times New Roman" w:cs="Times New Roman"/>
        </w:rPr>
      </w:pPr>
    </w:p>
    <w:p w:rsidR="00E54FBA" w:rsidRPr="006029E5" w:rsidRDefault="00E54FBA" w:rsidP="00E54FBA">
      <w:pPr>
        <w:rPr>
          <w:rFonts w:ascii="Times New Roman" w:hAnsi="Times New Roman" w:cs="Times New Roman"/>
          <w:b/>
          <w:bCs/>
        </w:rPr>
      </w:pPr>
      <w:r w:rsidRPr="006029E5">
        <w:rPr>
          <w:rFonts w:ascii="Times New Roman" w:hAnsi="Times New Roman" w:cs="Times New Roman"/>
          <w:b/>
          <w:bCs/>
        </w:rPr>
        <w:t>Diverse Learners</w:t>
      </w:r>
    </w:p>
    <w:p w:rsidR="00E54FBA" w:rsidRPr="00393455" w:rsidRDefault="00E54FBA" w:rsidP="00E54FBA">
      <w:pPr>
        <w:rPr>
          <w:rFonts w:ascii="Times New Roman" w:hAnsi="Times New Roman" w:cs="Times New Roman"/>
        </w:rPr>
      </w:pPr>
      <w:r w:rsidRPr="00393455">
        <w:rPr>
          <w:rFonts w:ascii="Times New Roman" w:hAnsi="Times New Roman" w:cs="Times New Roman"/>
        </w:rPr>
        <w:t xml:space="preserve">Drawing on </w:t>
      </w:r>
      <w:proofErr w:type="spellStart"/>
      <w:r w:rsidRPr="00393455">
        <w:rPr>
          <w:rFonts w:ascii="Times New Roman" w:hAnsi="Times New Roman" w:cs="Times New Roman"/>
        </w:rPr>
        <w:t>Gardenswartz</w:t>
      </w:r>
      <w:proofErr w:type="spellEnd"/>
      <w:r w:rsidRPr="00393455">
        <w:rPr>
          <w:rFonts w:ascii="Times New Roman" w:hAnsi="Times New Roman" w:cs="Times New Roman"/>
        </w:rPr>
        <w:t xml:space="preserve"> and Rowe’s (2003) internal (e.g., 2, 3, 4, 5) and external (e.g., 1, 6, 7, 8)</w:t>
      </w:r>
      <w:r w:rsidRPr="00393455">
        <w:rPr>
          <w:rFonts w:ascii="Times New Roman" w:hAnsi="Times New Roman" w:cs="Times New Roman"/>
        </w:rPr>
        <w:t xml:space="preserve"> </w:t>
      </w:r>
      <w:r w:rsidRPr="00393455">
        <w:rPr>
          <w:rFonts w:ascii="Times New Roman" w:hAnsi="Times New Roman" w:cs="Times New Roman"/>
        </w:rPr>
        <w:t xml:space="preserve">diversity dimensions, </w:t>
      </w:r>
      <w:r w:rsidR="00DF1D27" w:rsidRPr="00393455">
        <w:rPr>
          <w:rFonts w:ascii="Times New Roman" w:hAnsi="Times New Roman" w:cs="Times New Roman"/>
        </w:rPr>
        <w:t>our work</w:t>
      </w:r>
      <w:r w:rsidRPr="00393455">
        <w:rPr>
          <w:rFonts w:ascii="Times New Roman" w:hAnsi="Times New Roman" w:cs="Times New Roman"/>
        </w:rPr>
        <w:t xml:space="preserve"> examines the implications for WIL design on access, inclusion, and</w:t>
      </w:r>
      <w:r w:rsidRPr="00393455">
        <w:rPr>
          <w:rFonts w:ascii="Times New Roman" w:hAnsi="Times New Roman" w:cs="Times New Roman"/>
        </w:rPr>
        <w:t xml:space="preserve"> </w:t>
      </w:r>
      <w:r w:rsidRPr="00393455">
        <w:rPr>
          <w:rFonts w:ascii="Times New Roman" w:hAnsi="Times New Roman" w:cs="Times New Roman"/>
        </w:rPr>
        <w:t>equity for eight dimensions of diversity</w:t>
      </w:r>
      <w:r w:rsidR="006029E5">
        <w:rPr>
          <w:rFonts w:ascii="Times New Roman" w:hAnsi="Times New Roman" w:cs="Times New Roman"/>
        </w:rPr>
        <w:t xml:space="preserve"> (acknowledging there are more that should be considered)</w:t>
      </w:r>
      <w:r w:rsidRPr="00393455">
        <w:rPr>
          <w:rFonts w:ascii="Times New Roman" w:hAnsi="Times New Roman" w:cs="Times New Roman"/>
        </w:rPr>
        <w:t>:</w:t>
      </w:r>
    </w:p>
    <w:p w:rsidR="00E54FBA" w:rsidRPr="006029E5" w:rsidRDefault="00E54FBA" w:rsidP="006029E5">
      <w:pPr>
        <w:pStyle w:val="ListParagraph"/>
        <w:numPr>
          <w:ilvl w:val="0"/>
          <w:numId w:val="3"/>
        </w:numPr>
        <w:rPr>
          <w:rFonts w:ascii="Times New Roman" w:hAnsi="Times New Roman" w:cs="Times New Roman"/>
        </w:rPr>
      </w:pPr>
      <w:r w:rsidRPr="006029E5">
        <w:rPr>
          <w:rFonts w:ascii="Times New Roman" w:hAnsi="Times New Roman" w:cs="Times New Roman"/>
        </w:rPr>
        <w:t>Financial,</w:t>
      </w:r>
    </w:p>
    <w:p w:rsidR="00E54FBA" w:rsidRDefault="00E54FBA" w:rsidP="00E54FBA">
      <w:pPr>
        <w:pStyle w:val="ListParagraph"/>
        <w:numPr>
          <w:ilvl w:val="0"/>
          <w:numId w:val="3"/>
        </w:numPr>
        <w:rPr>
          <w:rFonts w:ascii="Times New Roman" w:hAnsi="Times New Roman" w:cs="Times New Roman"/>
        </w:rPr>
      </w:pPr>
      <w:r w:rsidRPr="006029E5">
        <w:rPr>
          <w:rFonts w:ascii="Times New Roman" w:hAnsi="Times New Roman" w:cs="Times New Roman"/>
        </w:rPr>
        <w:t>Neurodiversity,</w:t>
      </w:r>
    </w:p>
    <w:p w:rsidR="006029E5" w:rsidRDefault="00E54FBA" w:rsidP="00E54FBA">
      <w:pPr>
        <w:pStyle w:val="ListParagraph"/>
        <w:numPr>
          <w:ilvl w:val="0"/>
          <w:numId w:val="3"/>
        </w:numPr>
        <w:rPr>
          <w:rFonts w:ascii="Times New Roman" w:hAnsi="Times New Roman" w:cs="Times New Roman"/>
        </w:rPr>
      </w:pPr>
      <w:r w:rsidRPr="006029E5">
        <w:rPr>
          <w:rFonts w:ascii="Times New Roman" w:hAnsi="Times New Roman" w:cs="Times New Roman"/>
        </w:rPr>
        <w:t>Physical ability/disabilities,</w:t>
      </w:r>
    </w:p>
    <w:p w:rsidR="006029E5" w:rsidRDefault="00E54FBA" w:rsidP="00E54FBA">
      <w:pPr>
        <w:pStyle w:val="ListParagraph"/>
        <w:numPr>
          <w:ilvl w:val="0"/>
          <w:numId w:val="3"/>
        </w:numPr>
        <w:rPr>
          <w:rFonts w:ascii="Times New Roman" w:hAnsi="Times New Roman" w:cs="Times New Roman"/>
        </w:rPr>
      </w:pPr>
      <w:r w:rsidRPr="006029E5">
        <w:rPr>
          <w:rFonts w:ascii="Times New Roman" w:hAnsi="Times New Roman" w:cs="Times New Roman"/>
        </w:rPr>
        <w:t>Subjected to decolonized/colonized perceptions &amp; practices (including people who experience</w:t>
      </w:r>
      <w:r w:rsidR="006029E5">
        <w:rPr>
          <w:rFonts w:ascii="Times New Roman" w:hAnsi="Times New Roman" w:cs="Times New Roman"/>
        </w:rPr>
        <w:t xml:space="preserve"> </w:t>
      </w:r>
      <w:r w:rsidRPr="006029E5">
        <w:rPr>
          <w:rFonts w:ascii="Times New Roman" w:hAnsi="Times New Roman" w:cs="Times New Roman"/>
        </w:rPr>
        <w:t>racism),</w:t>
      </w:r>
    </w:p>
    <w:p w:rsidR="006029E5" w:rsidRDefault="00E54FBA" w:rsidP="00E54FBA">
      <w:pPr>
        <w:pStyle w:val="ListParagraph"/>
        <w:numPr>
          <w:ilvl w:val="0"/>
          <w:numId w:val="3"/>
        </w:numPr>
        <w:rPr>
          <w:rFonts w:ascii="Times New Roman" w:hAnsi="Times New Roman" w:cs="Times New Roman"/>
        </w:rPr>
      </w:pPr>
      <w:r w:rsidRPr="006029E5">
        <w:rPr>
          <w:rFonts w:ascii="Times New Roman" w:hAnsi="Times New Roman" w:cs="Times New Roman"/>
        </w:rPr>
        <w:t>Gender (including relative risk of harassment),</w:t>
      </w:r>
    </w:p>
    <w:p w:rsidR="006029E5" w:rsidRDefault="00E54FBA" w:rsidP="00E54FBA">
      <w:pPr>
        <w:pStyle w:val="ListParagraph"/>
        <w:numPr>
          <w:ilvl w:val="0"/>
          <w:numId w:val="3"/>
        </w:numPr>
        <w:rPr>
          <w:rFonts w:ascii="Times New Roman" w:hAnsi="Times New Roman" w:cs="Times New Roman"/>
        </w:rPr>
      </w:pPr>
      <w:r w:rsidRPr="006029E5">
        <w:rPr>
          <w:rFonts w:ascii="Times New Roman" w:hAnsi="Times New Roman" w:cs="Times New Roman"/>
        </w:rPr>
        <w:t>Family structure/dependents,</w:t>
      </w:r>
    </w:p>
    <w:p w:rsidR="006029E5" w:rsidRDefault="00E54FBA" w:rsidP="00E54FBA">
      <w:pPr>
        <w:pStyle w:val="ListParagraph"/>
        <w:numPr>
          <w:ilvl w:val="0"/>
          <w:numId w:val="3"/>
        </w:numPr>
        <w:rPr>
          <w:rFonts w:ascii="Times New Roman" w:hAnsi="Times New Roman" w:cs="Times New Roman"/>
        </w:rPr>
      </w:pPr>
      <w:r w:rsidRPr="006029E5">
        <w:rPr>
          <w:rFonts w:ascii="Times New Roman" w:hAnsi="Times New Roman" w:cs="Times New Roman"/>
        </w:rPr>
        <w:t>Religion and culture (including the identifiers, social norms and embodied mores by which</w:t>
      </w:r>
      <w:r w:rsidR="006029E5">
        <w:rPr>
          <w:rFonts w:ascii="Times New Roman" w:hAnsi="Times New Roman" w:cs="Times New Roman"/>
        </w:rPr>
        <w:t xml:space="preserve"> </w:t>
      </w:r>
      <w:r w:rsidRPr="006029E5">
        <w:rPr>
          <w:rFonts w:ascii="Times New Roman" w:hAnsi="Times New Roman" w:cs="Times New Roman"/>
        </w:rPr>
        <w:t>human sub-groups defined themselves and are defined), and</w:t>
      </w:r>
    </w:p>
    <w:p w:rsidR="00E54FBA" w:rsidRPr="006029E5" w:rsidRDefault="00E54FBA" w:rsidP="00E54FBA">
      <w:pPr>
        <w:pStyle w:val="ListParagraph"/>
        <w:numPr>
          <w:ilvl w:val="0"/>
          <w:numId w:val="3"/>
        </w:numPr>
        <w:rPr>
          <w:rFonts w:ascii="Times New Roman" w:hAnsi="Times New Roman" w:cs="Times New Roman"/>
        </w:rPr>
      </w:pPr>
      <w:r w:rsidRPr="006029E5">
        <w:rPr>
          <w:rFonts w:ascii="Times New Roman" w:hAnsi="Times New Roman" w:cs="Times New Roman"/>
        </w:rPr>
        <w:t>Rural/urban.</w:t>
      </w:r>
    </w:p>
    <w:p w:rsidR="006029E5" w:rsidRDefault="006029E5" w:rsidP="00DF1D27">
      <w:pPr>
        <w:rPr>
          <w:rFonts w:ascii="Times New Roman" w:hAnsi="Times New Roman" w:cs="Times New Roman"/>
        </w:rPr>
      </w:pPr>
    </w:p>
    <w:p w:rsidR="00D54A00" w:rsidRPr="00393455" w:rsidRDefault="00DF1D27" w:rsidP="00DF1D27">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Each learner has more than one dimension of diversity, and that intersectionality is reflected in their</w:t>
      </w:r>
      <w:r w:rsidRPr="00393455">
        <w:rPr>
          <w:rFonts w:ascii="Times New Roman" w:hAnsi="Times New Roman" w:cs="Times New Roman"/>
        </w:rPr>
        <w:t xml:space="preserve"> </w:t>
      </w:r>
      <w:r w:rsidRPr="00393455">
        <w:rPr>
          <w:rFonts w:ascii="Times New Roman" w:hAnsi="Times New Roman" w:cs="Times New Roman"/>
        </w:rPr>
        <w:t>lived realities (Crenshaw, 1989). The importance of considering</w:t>
      </w:r>
      <w:r w:rsidR="006029E5">
        <w:rPr>
          <w:rFonts w:ascii="Times New Roman" w:hAnsi="Times New Roman" w:cs="Times New Roman"/>
        </w:rPr>
        <w:t xml:space="preserve"> </w:t>
      </w:r>
      <w:r w:rsidRPr="00393455">
        <w:rPr>
          <w:rFonts w:ascii="Times New Roman" w:hAnsi="Times New Roman" w:cs="Times New Roman"/>
        </w:rPr>
        <w:t>intersectionality is highlighted by</w:t>
      </w:r>
      <w:r w:rsidRPr="00393455">
        <w:rPr>
          <w:rFonts w:ascii="Times New Roman" w:hAnsi="Times New Roman" w:cs="Times New Roman"/>
        </w:rPr>
        <w:t xml:space="preserve"> </w:t>
      </w:r>
      <w:r w:rsidRPr="00393455">
        <w:rPr>
          <w:rFonts w:ascii="Times New Roman" w:hAnsi="Times New Roman" w:cs="Times New Roman"/>
        </w:rPr>
        <w:t>recommendations for Indigenous learners by Nielsen and colleagues (2022), who note the impact on</w:t>
      </w:r>
      <w:r w:rsidRPr="00393455">
        <w:rPr>
          <w:rFonts w:ascii="Times New Roman" w:hAnsi="Times New Roman" w:cs="Times New Roman"/>
        </w:rPr>
        <w:t xml:space="preserve"> </w:t>
      </w:r>
      <w:r w:rsidRPr="00393455">
        <w:rPr>
          <w:rFonts w:ascii="Times New Roman" w:hAnsi="Times New Roman" w:cs="Times New Roman"/>
        </w:rPr>
        <w:t>access based on financial and family intersecting with colonial barriers.</w:t>
      </w:r>
      <w:r w:rsidR="006029E5">
        <w:rPr>
          <w:rFonts w:ascii="Times New Roman" w:hAnsi="Times New Roman" w:cs="Times New Roman"/>
        </w:rPr>
        <w:t xml:space="preserve"> In addition, w</w:t>
      </w:r>
      <w:r w:rsidRPr="00393455">
        <w:rPr>
          <w:rFonts w:ascii="Times New Roman" w:hAnsi="Times New Roman" w:cs="Times New Roman"/>
        </w:rPr>
        <w:t>omen with physical</w:t>
      </w:r>
      <w:r w:rsidRPr="00393455">
        <w:rPr>
          <w:rFonts w:ascii="Times New Roman" w:hAnsi="Times New Roman" w:cs="Times New Roman"/>
        </w:rPr>
        <w:t xml:space="preserve"> </w:t>
      </w:r>
      <w:r w:rsidRPr="00393455">
        <w:rPr>
          <w:rFonts w:ascii="Times New Roman" w:hAnsi="Times New Roman" w:cs="Times New Roman"/>
        </w:rPr>
        <w:t>disabilities face heightened disadvantages including “more psychologically affected by inequitable</w:t>
      </w:r>
      <w:r w:rsidRPr="00393455">
        <w:rPr>
          <w:rFonts w:ascii="Times New Roman" w:hAnsi="Times New Roman" w:cs="Times New Roman"/>
        </w:rPr>
        <w:t xml:space="preserve"> </w:t>
      </w:r>
      <w:r w:rsidRPr="00393455">
        <w:rPr>
          <w:rFonts w:ascii="Times New Roman" w:hAnsi="Times New Roman" w:cs="Times New Roman"/>
        </w:rPr>
        <w:t>workplace conditions, partly because they earn less, are exposed to more workplace stress, and are less</w:t>
      </w:r>
      <w:r w:rsidRPr="00393455">
        <w:rPr>
          <w:rFonts w:ascii="Times New Roman" w:hAnsi="Times New Roman" w:cs="Times New Roman"/>
        </w:rPr>
        <w:t xml:space="preserve"> </w:t>
      </w:r>
      <w:r w:rsidRPr="00393455">
        <w:rPr>
          <w:rFonts w:ascii="Times New Roman" w:hAnsi="Times New Roman" w:cs="Times New Roman"/>
        </w:rPr>
        <w:t>likely to experience autonomous working conditions” (Brown &amp; Moloney, 2019, p. 94), with Lee (2015)</w:t>
      </w:r>
      <w:r w:rsidRPr="00393455">
        <w:rPr>
          <w:rFonts w:ascii="Times New Roman" w:hAnsi="Times New Roman" w:cs="Times New Roman"/>
        </w:rPr>
        <w:t xml:space="preserve"> </w:t>
      </w:r>
      <w:r w:rsidRPr="00393455">
        <w:rPr>
          <w:rFonts w:ascii="Times New Roman" w:hAnsi="Times New Roman" w:cs="Times New Roman"/>
        </w:rPr>
        <w:t>recommending strategic considerations to “reduce structural, environmental and attitudinal barriers to</w:t>
      </w:r>
      <w:r w:rsidRPr="00393455">
        <w:rPr>
          <w:rFonts w:ascii="Times New Roman" w:hAnsi="Times New Roman" w:cs="Times New Roman"/>
        </w:rPr>
        <w:t xml:space="preserve"> </w:t>
      </w:r>
      <w:r w:rsidRPr="00393455">
        <w:rPr>
          <w:rFonts w:ascii="Times New Roman" w:hAnsi="Times New Roman" w:cs="Times New Roman"/>
        </w:rPr>
        <w:t>employment equity” (Lee, 2015, p. 89) for women with disabilities.</w:t>
      </w:r>
    </w:p>
    <w:p w:rsidR="00D54A00" w:rsidRPr="00393455" w:rsidRDefault="00D54A00" w:rsidP="00A55698">
      <w:pPr>
        <w:rPr>
          <w:rFonts w:ascii="Times New Roman" w:hAnsi="Times New Roman" w:cs="Times New Roman"/>
        </w:rPr>
      </w:pPr>
    </w:p>
    <w:p w:rsidR="006029E5" w:rsidRDefault="006029E5" w:rsidP="00A55698">
      <w:pPr>
        <w:rPr>
          <w:rFonts w:ascii="Times New Roman" w:hAnsi="Times New Roman" w:cs="Times New Roman"/>
          <w:b/>
          <w:bCs/>
        </w:rPr>
      </w:pPr>
    </w:p>
    <w:p w:rsidR="006029E5" w:rsidRDefault="006029E5" w:rsidP="00A55698">
      <w:pPr>
        <w:rPr>
          <w:rFonts w:ascii="Times New Roman" w:hAnsi="Times New Roman" w:cs="Times New Roman"/>
          <w:b/>
          <w:bCs/>
        </w:rPr>
      </w:pPr>
    </w:p>
    <w:p w:rsidR="00D54A00" w:rsidRPr="00393455" w:rsidRDefault="00D54A00" w:rsidP="00A55698">
      <w:pPr>
        <w:rPr>
          <w:rFonts w:ascii="Times New Roman" w:hAnsi="Times New Roman" w:cs="Times New Roman"/>
          <w:b/>
          <w:bCs/>
        </w:rPr>
      </w:pPr>
      <w:r w:rsidRPr="00393455">
        <w:rPr>
          <w:rFonts w:ascii="Times New Roman" w:hAnsi="Times New Roman" w:cs="Times New Roman"/>
          <w:b/>
          <w:bCs/>
        </w:rPr>
        <w:lastRenderedPageBreak/>
        <w:t>Results</w:t>
      </w:r>
    </w:p>
    <w:p w:rsidR="00DF1D27" w:rsidRPr="00393455" w:rsidRDefault="00DF1D27" w:rsidP="00A55698">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To untangle the complex puzzle of improving equity, access and inclusion for WIL students, Figure 1</w:t>
      </w:r>
      <w:r w:rsidRPr="00393455">
        <w:rPr>
          <w:rFonts w:ascii="Times New Roman" w:hAnsi="Times New Roman" w:cs="Times New Roman"/>
        </w:rPr>
        <w:t xml:space="preserve"> </w:t>
      </w:r>
      <w:r w:rsidRPr="00393455">
        <w:rPr>
          <w:rFonts w:ascii="Times New Roman" w:hAnsi="Times New Roman" w:cs="Times New Roman"/>
        </w:rPr>
        <w:t>provides a visual representation of the puzzle. In this dimensional cube are ‘blocks’ that leaders,</w:t>
      </w:r>
      <w:r w:rsidRPr="00393455">
        <w:rPr>
          <w:rFonts w:ascii="Times New Roman" w:hAnsi="Times New Roman" w:cs="Times New Roman"/>
        </w:rPr>
        <w:t xml:space="preserve"> </w:t>
      </w:r>
      <w:r w:rsidRPr="00393455">
        <w:rPr>
          <w:rFonts w:ascii="Times New Roman" w:hAnsi="Times New Roman" w:cs="Times New Roman"/>
        </w:rPr>
        <w:t>educators, coordinators and employers can focus on when (re)designing programs for inclusive WIL.</w:t>
      </w:r>
      <w:r w:rsidRPr="00393455">
        <w:rPr>
          <w:rFonts w:ascii="Times New Roman" w:hAnsi="Times New Roman" w:cs="Times New Roman"/>
        </w:rPr>
        <w:t xml:space="preserve"> </w:t>
      </w:r>
      <w:r w:rsidRPr="00393455">
        <w:rPr>
          <w:rFonts w:ascii="Times New Roman" w:hAnsi="Times New Roman" w:cs="Times New Roman"/>
        </w:rPr>
        <w:t>Each block considers how one design factor impacts access, inclusion, or equity for one dimension of</w:t>
      </w:r>
      <w:r w:rsidRPr="00393455">
        <w:rPr>
          <w:rFonts w:ascii="Times New Roman" w:hAnsi="Times New Roman" w:cs="Times New Roman"/>
        </w:rPr>
        <w:t xml:space="preserve"> </w:t>
      </w:r>
      <w:r w:rsidRPr="00393455">
        <w:rPr>
          <w:rFonts w:ascii="Times New Roman" w:hAnsi="Times New Roman" w:cs="Times New Roman"/>
        </w:rPr>
        <w:t>diversity. This three-dimensional cube representation approach was based upon Bray and Thomas</w:t>
      </w:r>
      <w:r w:rsidRPr="00393455">
        <w:rPr>
          <w:rFonts w:ascii="Times New Roman" w:hAnsi="Times New Roman" w:cs="Times New Roman"/>
        </w:rPr>
        <w:t xml:space="preserve"> </w:t>
      </w:r>
      <w:r w:rsidRPr="00393455">
        <w:rPr>
          <w:rFonts w:ascii="Times New Roman" w:hAnsi="Times New Roman" w:cs="Times New Roman"/>
        </w:rPr>
        <w:t>(1995) and Godden’s (2016) work that use a cube’s visual form to</w:t>
      </w:r>
      <w:r w:rsidRPr="00393455">
        <w:rPr>
          <w:rFonts w:ascii="Times New Roman" w:hAnsi="Times New Roman" w:cs="Times New Roman"/>
        </w:rPr>
        <w:t xml:space="preserve"> </w:t>
      </w:r>
      <w:r w:rsidRPr="00393455">
        <w:rPr>
          <w:rFonts w:ascii="Times New Roman" w:hAnsi="Times New Roman" w:cs="Times New Roman"/>
        </w:rPr>
        <w:t>prompt nuanced consideration of</w:t>
      </w:r>
      <w:r w:rsidRPr="00393455">
        <w:rPr>
          <w:rFonts w:ascii="Times New Roman" w:hAnsi="Times New Roman" w:cs="Times New Roman"/>
        </w:rPr>
        <w:t xml:space="preserve"> </w:t>
      </w:r>
      <w:r w:rsidRPr="00393455">
        <w:rPr>
          <w:rFonts w:ascii="Times New Roman" w:hAnsi="Times New Roman" w:cs="Times New Roman"/>
        </w:rPr>
        <w:t>policy implementation.</w:t>
      </w:r>
    </w:p>
    <w:p w:rsidR="00DF1D27" w:rsidRPr="00393455" w:rsidRDefault="00DF1D27" w:rsidP="00A55698">
      <w:pPr>
        <w:rPr>
          <w:rFonts w:ascii="Times New Roman" w:hAnsi="Times New Roman" w:cs="Times New Roman"/>
        </w:rPr>
      </w:pPr>
    </w:p>
    <w:p w:rsidR="00DF1D27" w:rsidRPr="00393455" w:rsidRDefault="00DF1D27" w:rsidP="00A55698">
      <w:pPr>
        <w:rPr>
          <w:rFonts w:ascii="Times New Roman" w:hAnsi="Times New Roman" w:cs="Times New Roman"/>
        </w:rPr>
      </w:pPr>
      <w:r w:rsidRPr="00393455">
        <w:rPr>
          <w:rFonts w:ascii="Times New Roman" w:hAnsi="Times New Roman" w:cs="Times New Roman"/>
          <w:noProof/>
        </w:rPr>
        <w:drawing>
          <wp:inline distT="0" distB="0" distL="0" distR="0">
            <wp:extent cx="5943600" cy="3462020"/>
            <wp:effectExtent l="0" t="0" r="0" b="5080"/>
            <wp:docPr id="8724215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21519" name="Picture 872421519"/>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462020"/>
                    </a:xfrm>
                    <a:prstGeom prst="rect">
                      <a:avLst/>
                    </a:prstGeom>
                  </pic:spPr>
                </pic:pic>
              </a:graphicData>
            </a:graphic>
          </wp:inline>
        </w:drawing>
      </w:r>
    </w:p>
    <w:p w:rsidR="00DF1D27" w:rsidRPr="00393455" w:rsidRDefault="00DF1D27" w:rsidP="00DF1D27">
      <w:pPr>
        <w:rPr>
          <w:rFonts w:ascii="Times New Roman" w:hAnsi="Times New Roman" w:cs="Times New Roman"/>
          <w:sz w:val="20"/>
          <w:szCs w:val="20"/>
        </w:rPr>
      </w:pPr>
      <w:r w:rsidRPr="00393455">
        <w:rPr>
          <w:rFonts w:ascii="Calibri" w:hAnsi="Calibri" w:cs="Calibri"/>
        </w:rPr>
        <w:t>﻿</w:t>
      </w:r>
      <w:r w:rsidRPr="00393455">
        <w:rPr>
          <w:rFonts w:ascii="Times New Roman" w:hAnsi="Times New Roman" w:cs="Times New Roman"/>
          <w:i/>
          <w:iCs/>
          <w:sz w:val="20"/>
          <w:szCs w:val="20"/>
        </w:rPr>
        <w:t>Note.</w:t>
      </w:r>
      <w:r w:rsidRPr="00393455">
        <w:rPr>
          <w:rFonts w:ascii="Times New Roman" w:hAnsi="Times New Roman" w:cs="Times New Roman"/>
          <w:sz w:val="20"/>
          <w:szCs w:val="20"/>
        </w:rPr>
        <w:t xml:space="preserve"> The cube is five rows, three columns and eight spaces deep. The five design factors are rows along the vertical y</w:t>
      </w:r>
      <w:r w:rsidRPr="00393455">
        <w:rPr>
          <w:rFonts w:ascii="Times New Roman" w:hAnsi="Times New Roman" w:cs="Times New Roman"/>
          <w:sz w:val="20"/>
          <w:szCs w:val="20"/>
        </w:rPr>
        <w:t xml:space="preserve"> </w:t>
      </w:r>
      <w:r w:rsidRPr="00393455">
        <w:rPr>
          <w:rFonts w:ascii="Times New Roman" w:hAnsi="Times New Roman" w:cs="Times New Roman"/>
          <w:sz w:val="20"/>
          <w:szCs w:val="20"/>
        </w:rPr>
        <w:t>axis. Access, inclusion and equity are the three columns along the horizontal x-axis, and the 8+ dimensions of diversity</w:t>
      </w:r>
      <w:r w:rsidRPr="00393455">
        <w:rPr>
          <w:rFonts w:ascii="Times New Roman" w:hAnsi="Times New Roman" w:cs="Times New Roman"/>
          <w:sz w:val="20"/>
          <w:szCs w:val="20"/>
        </w:rPr>
        <w:t xml:space="preserve"> </w:t>
      </w:r>
      <w:r w:rsidRPr="00393455">
        <w:rPr>
          <w:rFonts w:ascii="Times New Roman" w:hAnsi="Times New Roman" w:cs="Times New Roman"/>
          <w:sz w:val="20"/>
          <w:szCs w:val="20"/>
        </w:rPr>
        <w:t>are blocks along the z-axis.</w:t>
      </w:r>
    </w:p>
    <w:p w:rsidR="00DF1D27" w:rsidRPr="00393455" w:rsidRDefault="00DF1D27" w:rsidP="00A55698">
      <w:pPr>
        <w:rPr>
          <w:rFonts w:ascii="Times New Roman" w:hAnsi="Times New Roman" w:cs="Times New Roman"/>
        </w:rPr>
      </w:pPr>
    </w:p>
    <w:p w:rsidR="00DF1D27" w:rsidRPr="00393455" w:rsidRDefault="00DF1D27" w:rsidP="00A55698">
      <w:pPr>
        <w:rPr>
          <w:rFonts w:ascii="Times New Roman" w:hAnsi="Times New Roman" w:cs="Times New Roman"/>
        </w:rPr>
      </w:pPr>
    </w:p>
    <w:p w:rsidR="00DF1D27" w:rsidRPr="00393455" w:rsidRDefault="00DF1D27" w:rsidP="00A55698">
      <w:pPr>
        <w:rPr>
          <w:rFonts w:ascii="Times New Roman" w:hAnsi="Times New Roman" w:cs="Times New Roman"/>
        </w:rPr>
      </w:pPr>
    </w:p>
    <w:p w:rsidR="00DF1D27" w:rsidRPr="00393455" w:rsidRDefault="00DF1D27" w:rsidP="00DF1D27">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Applying an OBEL Equity Cube approach, an educator, employer, or program coordinator would: (a)</w:t>
      </w:r>
      <w:r w:rsidRPr="00393455">
        <w:rPr>
          <w:rFonts w:ascii="Times New Roman" w:hAnsi="Times New Roman" w:cs="Times New Roman"/>
        </w:rPr>
        <w:t xml:space="preserve"> </w:t>
      </w:r>
      <w:r w:rsidRPr="00393455">
        <w:rPr>
          <w:rFonts w:ascii="Times New Roman" w:hAnsi="Times New Roman" w:cs="Times New Roman"/>
        </w:rPr>
        <w:t>select a block by choosing a goal of enhancing access, inclusion or equity; (b) select a design factor; and</w:t>
      </w:r>
      <w:r w:rsidRPr="00393455">
        <w:rPr>
          <w:rFonts w:ascii="Times New Roman" w:hAnsi="Times New Roman" w:cs="Times New Roman"/>
        </w:rPr>
        <w:t xml:space="preserve"> </w:t>
      </w:r>
      <w:r w:rsidRPr="00393455">
        <w:rPr>
          <w:rFonts w:ascii="Times New Roman" w:hAnsi="Times New Roman" w:cs="Times New Roman"/>
        </w:rPr>
        <w:t>(c) identify implications of a proposed or existing design for one or more dimensions of diversity. For</w:t>
      </w:r>
      <w:r w:rsidRPr="00393455">
        <w:rPr>
          <w:rFonts w:ascii="Times New Roman" w:hAnsi="Times New Roman" w:cs="Times New Roman"/>
        </w:rPr>
        <w:t xml:space="preserve"> </w:t>
      </w:r>
      <w:r w:rsidRPr="00393455">
        <w:rPr>
          <w:rFonts w:ascii="Times New Roman" w:hAnsi="Times New Roman" w:cs="Times New Roman"/>
        </w:rPr>
        <w:t>example, the shaded bottom left block (Access, Sequencing, Financial) examines how access is impacted</w:t>
      </w:r>
      <w:r w:rsidRPr="00393455">
        <w:rPr>
          <w:rFonts w:ascii="Times New Roman" w:hAnsi="Times New Roman" w:cs="Times New Roman"/>
        </w:rPr>
        <w:t xml:space="preserve"> </w:t>
      </w:r>
      <w:r w:rsidRPr="00393455">
        <w:rPr>
          <w:rFonts w:ascii="Times New Roman" w:hAnsi="Times New Roman" w:cs="Times New Roman"/>
        </w:rPr>
        <w:t>by sequencing for people of varied or lower financial circumstances, including how unpaid final year</w:t>
      </w:r>
      <w:r w:rsidRPr="00393455">
        <w:rPr>
          <w:rFonts w:ascii="Times New Roman" w:hAnsi="Times New Roman" w:cs="Times New Roman"/>
        </w:rPr>
        <w:t xml:space="preserve"> </w:t>
      </w:r>
      <w:r w:rsidRPr="00393455">
        <w:rPr>
          <w:rFonts w:ascii="Times New Roman" w:hAnsi="Times New Roman" w:cs="Times New Roman"/>
        </w:rPr>
        <w:t>placements may impede participation after years of tuition payments even though learners benefit from</w:t>
      </w:r>
      <w:r w:rsidRPr="00393455">
        <w:rPr>
          <w:rFonts w:ascii="Times New Roman" w:hAnsi="Times New Roman" w:cs="Times New Roman"/>
        </w:rPr>
        <w:t xml:space="preserve"> </w:t>
      </w:r>
      <w:r w:rsidRPr="00393455">
        <w:rPr>
          <w:rFonts w:ascii="Times New Roman" w:hAnsi="Times New Roman" w:cs="Times New Roman"/>
        </w:rPr>
        <w:t>having the theory.</w:t>
      </w:r>
    </w:p>
    <w:p w:rsidR="00DF1D27" w:rsidRPr="00393455" w:rsidRDefault="00DF1D27" w:rsidP="00A55698">
      <w:pPr>
        <w:rPr>
          <w:rFonts w:ascii="Times New Roman" w:hAnsi="Times New Roman" w:cs="Times New Roman"/>
        </w:rPr>
      </w:pPr>
    </w:p>
    <w:p w:rsidR="00D54A00" w:rsidRPr="00393455" w:rsidRDefault="00D54A00" w:rsidP="00A55698">
      <w:pPr>
        <w:rPr>
          <w:rFonts w:ascii="Times New Roman" w:hAnsi="Times New Roman" w:cs="Times New Roman"/>
          <w:b/>
          <w:bCs/>
        </w:rPr>
      </w:pPr>
      <w:r w:rsidRPr="00393455">
        <w:rPr>
          <w:rFonts w:ascii="Times New Roman" w:hAnsi="Times New Roman" w:cs="Times New Roman"/>
          <w:b/>
          <w:bCs/>
        </w:rPr>
        <w:t>Conclusions</w:t>
      </w:r>
    </w:p>
    <w:p w:rsidR="00D54A00" w:rsidRPr="00393455" w:rsidRDefault="00DF1D27" w:rsidP="00DF1D27">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This paper invites leaders, employers, educators, coordinators, and programs to engage in a tangible</w:t>
      </w:r>
      <w:r w:rsidRPr="00393455">
        <w:rPr>
          <w:rFonts w:ascii="Times New Roman" w:hAnsi="Times New Roman" w:cs="Times New Roman"/>
        </w:rPr>
        <w:t xml:space="preserve"> </w:t>
      </w:r>
      <w:r w:rsidRPr="00393455">
        <w:rPr>
          <w:rFonts w:ascii="Times New Roman" w:hAnsi="Times New Roman" w:cs="Times New Roman"/>
        </w:rPr>
        <w:t>process for (re)designing WIL for improved access, inclusion, and equity. Embedding equity into WIL</w:t>
      </w:r>
      <w:r w:rsidRPr="00393455">
        <w:rPr>
          <w:rFonts w:ascii="Times New Roman" w:hAnsi="Times New Roman" w:cs="Times New Roman"/>
        </w:rPr>
        <w:t xml:space="preserve"> </w:t>
      </w:r>
      <w:r w:rsidRPr="00393455">
        <w:rPr>
          <w:rFonts w:ascii="Times New Roman" w:hAnsi="Times New Roman" w:cs="Times New Roman"/>
        </w:rPr>
        <w:t xml:space="preserve">design draws on Universal Design for learning (CAST, 2018) options for </w:t>
      </w:r>
      <w:r w:rsidRPr="00393455">
        <w:rPr>
          <w:rFonts w:ascii="Times New Roman" w:hAnsi="Times New Roman" w:cs="Times New Roman"/>
        </w:rPr>
        <w:lastRenderedPageBreak/>
        <w:t>engagement, materials, and</w:t>
      </w:r>
      <w:r w:rsidRPr="00393455">
        <w:rPr>
          <w:rFonts w:ascii="Times New Roman" w:hAnsi="Times New Roman" w:cs="Times New Roman"/>
        </w:rPr>
        <w:t xml:space="preserve"> </w:t>
      </w:r>
      <w:r w:rsidRPr="00393455">
        <w:rPr>
          <w:rFonts w:ascii="Times New Roman" w:hAnsi="Times New Roman" w:cs="Times New Roman"/>
        </w:rPr>
        <w:t>demonstrating competence with considerations of power and privilege (</w:t>
      </w:r>
      <w:proofErr w:type="spellStart"/>
      <w:r w:rsidRPr="00393455">
        <w:rPr>
          <w:rFonts w:ascii="Times New Roman" w:hAnsi="Times New Roman" w:cs="Times New Roman"/>
        </w:rPr>
        <w:t>Fritzgerald</w:t>
      </w:r>
      <w:proofErr w:type="spellEnd"/>
      <w:r w:rsidRPr="00393455">
        <w:rPr>
          <w:rFonts w:ascii="Times New Roman" w:hAnsi="Times New Roman" w:cs="Times New Roman"/>
        </w:rPr>
        <w:t>, 2020). Research</w:t>
      </w:r>
      <w:r w:rsidRPr="00393455">
        <w:rPr>
          <w:rFonts w:ascii="Times New Roman" w:hAnsi="Times New Roman" w:cs="Times New Roman"/>
        </w:rPr>
        <w:t xml:space="preserve"> </w:t>
      </w:r>
      <w:r w:rsidRPr="00393455">
        <w:rPr>
          <w:rFonts w:ascii="Times New Roman" w:hAnsi="Times New Roman" w:cs="Times New Roman"/>
        </w:rPr>
        <w:t>specifically into intersectional lived realities and needs in WIL experiences and programs, and specific</w:t>
      </w:r>
      <w:r w:rsidRPr="00393455">
        <w:rPr>
          <w:rFonts w:ascii="Times New Roman" w:hAnsi="Times New Roman" w:cs="Times New Roman"/>
        </w:rPr>
        <w:t xml:space="preserve"> </w:t>
      </w:r>
      <w:r w:rsidRPr="00393455">
        <w:rPr>
          <w:rFonts w:ascii="Calibri" w:hAnsi="Calibri" w:cs="Calibri"/>
        </w:rPr>
        <w:t>﻿</w:t>
      </w:r>
      <w:r w:rsidRPr="00393455">
        <w:rPr>
          <w:rFonts w:ascii="Times New Roman" w:hAnsi="Times New Roman" w:cs="Times New Roman"/>
        </w:rPr>
        <w:t>settings (e.g., Campbell, 2009 on equity in ice arenas), particularly for partnerships with Indigenous</w:t>
      </w:r>
      <w:r w:rsidRPr="00393455">
        <w:rPr>
          <w:rFonts w:ascii="Times New Roman" w:hAnsi="Times New Roman" w:cs="Times New Roman"/>
        </w:rPr>
        <w:t xml:space="preserve"> </w:t>
      </w:r>
      <w:r w:rsidRPr="00393455">
        <w:rPr>
          <w:rFonts w:ascii="Times New Roman" w:hAnsi="Times New Roman" w:cs="Times New Roman"/>
        </w:rPr>
        <w:t>communities (e.g., Nielsen et al., 2022) are key directions going forward.</w:t>
      </w:r>
      <w:r w:rsidRPr="00393455">
        <w:rPr>
          <w:rFonts w:ascii="Times New Roman" w:hAnsi="Times New Roman" w:cs="Times New Roman"/>
        </w:rPr>
        <w:t xml:space="preserve"> </w:t>
      </w:r>
      <w:r w:rsidRPr="00393455">
        <w:rPr>
          <w:rFonts w:ascii="Times New Roman" w:hAnsi="Times New Roman" w:cs="Times New Roman"/>
        </w:rPr>
        <w:t>The OBEL Equity Cube allows employers, educators, and program coordinators to focus on specific</w:t>
      </w:r>
      <w:r w:rsidRPr="00393455">
        <w:rPr>
          <w:rFonts w:ascii="Times New Roman" w:hAnsi="Times New Roman" w:cs="Times New Roman"/>
        </w:rPr>
        <w:t xml:space="preserve"> </w:t>
      </w:r>
      <w:r w:rsidRPr="00393455">
        <w:rPr>
          <w:rFonts w:ascii="Times New Roman" w:hAnsi="Times New Roman" w:cs="Times New Roman"/>
        </w:rPr>
        <w:t>WIL design factors to identify and integrate impact on access, inclusion, and equity in WIL for multiple</w:t>
      </w:r>
      <w:r w:rsidRPr="00393455">
        <w:rPr>
          <w:rFonts w:ascii="Times New Roman" w:hAnsi="Times New Roman" w:cs="Times New Roman"/>
        </w:rPr>
        <w:t xml:space="preserve"> </w:t>
      </w:r>
      <w:r w:rsidRPr="00393455">
        <w:rPr>
          <w:rFonts w:ascii="Times New Roman" w:hAnsi="Times New Roman" w:cs="Times New Roman"/>
        </w:rPr>
        <w:t>dimensions of diversity. The OBEL Equity Cube facilitates worthwhile practices including mentorship</w:t>
      </w:r>
      <w:r w:rsidRPr="00393455">
        <w:rPr>
          <w:rFonts w:ascii="Times New Roman" w:hAnsi="Times New Roman" w:cs="Times New Roman"/>
        </w:rPr>
        <w:t xml:space="preserve"> </w:t>
      </w:r>
      <w:r w:rsidRPr="00393455">
        <w:rPr>
          <w:rFonts w:ascii="Times New Roman" w:hAnsi="Times New Roman" w:cs="Times New Roman"/>
        </w:rPr>
        <w:t>for the process and building skills in partners and educators in addressing discriminatory norms (e.g.,</w:t>
      </w:r>
      <w:r w:rsidRPr="00393455">
        <w:rPr>
          <w:rFonts w:ascii="Times New Roman" w:hAnsi="Times New Roman" w:cs="Times New Roman"/>
        </w:rPr>
        <w:t xml:space="preserve"> </w:t>
      </w:r>
      <w:r w:rsidRPr="00393455">
        <w:rPr>
          <w:rFonts w:ascii="Times New Roman" w:hAnsi="Times New Roman" w:cs="Times New Roman"/>
        </w:rPr>
        <w:t>Nielsen et al., 2022). WIL advocates, policymakers, educators, employers, mentors, supervisors, and</w:t>
      </w:r>
      <w:r w:rsidRPr="00393455">
        <w:rPr>
          <w:rFonts w:ascii="Times New Roman" w:hAnsi="Times New Roman" w:cs="Times New Roman"/>
        </w:rPr>
        <w:t xml:space="preserve"> </w:t>
      </w:r>
      <w:r w:rsidRPr="00393455">
        <w:rPr>
          <w:rFonts w:ascii="Times New Roman" w:hAnsi="Times New Roman" w:cs="Times New Roman"/>
        </w:rPr>
        <w:t>learners now have a structured tangible process for addressing the needs of learners and transforming</w:t>
      </w:r>
      <w:r w:rsidRPr="00393455">
        <w:rPr>
          <w:rFonts w:ascii="Times New Roman" w:hAnsi="Times New Roman" w:cs="Times New Roman"/>
        </w:rPr>
        <w:t xml:space="preserve"> </w:t>
      </w:r>
      <w:r w:rsidRPr="00393455">
        <w:rPr>
          <w:rFonts w:ascii="Times New Roman" w:hAnsi="Times New Roman" w:cs="Times New Roman"/>
        </w:rPr>
        <w:t>WIL design for learner and organizational thriving.</w:t>
      </w:r>
    </w:p>
    <w:p w:rsidR="00D54A00" w:rsidRPr="00393455" w:rsidRDefault="00D54A00" w:rsidP="00A55698">
      <w:pPr>
        <w:rPr>
          <w:rFonts w:ascii="Times New Roman" w:hAnsi="Times New Roman" w:cs="Times New Roman"/>
        </w:rPr>
      </w:pPr>
    </w:p>
    <w:p w:rsidR="00D54A00" w:rsidRPr="00393455" w:rsidRDefault="00D54A00" w:rsidP="00A55698">
      <w:pPr>
        <w:rPr>
          <w:rFonts w:ascii="Times New Roman" w:hAnsi="Times New Roman" w:cs="Times New Roman"/>
        </w:rPr>
      </w:pPr>
    </w:p>
    <w:p w:rsidR="00D54A00" w:rsidRPr="00393455" w:rsidRDefault="00D54A00" w:rsidP="00A55698">
      <w:pPr>
        <w:rPr>
          <w:rFonts w:ascii="Times New Roman" w:hAnsi="Times New Roman" w:cs="Times New Roman"/>
          <w:b/>
          <w:bCs/>
        </w:rPr>
      </w:pPr>
      <w:r w:rsidRPr="00393455">
        <w:rPr>
          <w:rFonts w:ascii="Times New Roman" w:hAnsi="Times New Roman" w:cs="Times New Roman"/>
          <w:b/>
          <w:bCs/>
        </w:rPr>
        <w:t>References</w:t>
      </w:r>
    </w:p>
    <w:p w:rsidR="00D54A00" w:rsidRPr="00393455" w:rsidRDefault="00D54A00" w:rsidP="00A55698">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 xml:space="preserve">Atleo, E. R. (2004). </w:t>
      </w:r>
      <w:proofErr w:type="spellStart"/>
      <w:r w:rsidRPr="00393455">
        <w:rPr>
          <w:rFonts w:ascii="Times New Roman" w:hAnsi="Times New Roman" w:cs="Times New Roman"/>
          <w:i/>
          <w:iCs/>
        </w:rPr>
        <w:t>Tsawalk</w:t>
      </w:r>
      <w:proofErr w:type="spellEnd"/>
      <w:r w:rsidRPr="00393455">
        <w:rPr>
          <w:rFonts w:ascii="Times New Roman" w:hAnsi="Times New Roman" w:cs="Times New Roman"/>
          <w:i/>
          <w:iCs/>
        </w:rPr>
        <w:t>: A Nuu-chah-nulth worldview</w:t>
      </w:r>
      <w:r w:rsidRPr="00393455">
        <w:rPr>
          <w:rFonts w:ascii="Times New Roman" w:hAnsi="Times New Roman" w:cs="Times New Roman"/>
        </w:rPr>
        <w:t>. UBC Press</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 xml:space="preserve">Bray, M., &amp; Thomas, R. M. (1995). Levels of comparison in educational studies: Different insights from different literatures and the value of multilevel analyses. </w:t>
      </w:r>
      <w:r w:rsidRPr="00393455">
        <w:rPr>
          <w:rFonts w:ascii="Times New Roman" w:hAnsi="Times New Roman" w:cs="Times New Roman"/>
          <w:i/>
          <w:iCs/>
        </w:rPr>
        <w:t>Harvard Educational Review, 65</w:t>
      </w:r>
      <w:r w:rsidRPr="00393455">
        <w:rPr>
          <w:rFonts w:ascii="Times New Roman" w:hAnsi="Times New Roman" w:cs="Times New Roman"/>
        </w:rPr>
        <w:t>(3), 472 - 90.</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Times New Roman" w:hAnsi="Times New Roman" w:cs="Times New Roman"/>
        </w:rPr>
        <w:t xml:space="preserve">Brown, R. L., &amp; Moloney, M. E. (2019). Intersectionality, work, and well-being: The effects of gender and disability. </w:t>
      </w:r>
      <w:r w:rsidRPr="00393455">
        <w:rPr>
          <w:rFonts w:ascii="Times New Roman" w:hAnsi="Times New Roman" w:cs="Times New Roman"/>
          <w:i/>
          <w:iCs/>
        </w:rPr>
        <w:t>Gender &amp; Society, 33</w:t>
      </w:r>
      <w:r w:rsidRPr="00393455">
        <w:rPr>
          <w:rFonts w:ascii="Times New Roman" w:hAnsi="Times New Roman" w:cs="Times New Roman"/>
        </w:rPr>
        <w:t>(1), 94–122. https://doi.org/10.1177/0891243218800636</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 xml:space="preserve"> </w:t>
      </w:r>
      <w:r w:rsidRPr="00393455">
        <w:rPr>
          <w:rFonts w:ascii="Calibri" w:hAnsi="Calibri" w:cs="Calibri"/>
        </w:rPr>
        <w:t>﻿</w:t>
      </w:r>
      <w:r w:rsidRPr="00393455">
        <w:rPr>
          <w:rFonts w:ascii="Times New Roman" w:hAnsi="Times New Roman" w:cs="Times New Roman"/>
        </w:rPr>
        <w:t xml:space="preserve">Campbell, L. M. (2009). </w:t>
      </w:r>
      <w:r w:rsidRPr="00393455">
        <w:rPr>
          <w:rFonts w:ascii="Times New Roman" w:hAnsi="Times New Roman" w:cs="Times New Roman"/>
          <w:i/>
          <w:iCs/>
        </w:rPr>
        <w:t>Creating and maintaining gender (in)equity in Ontario ice arenas: A case study of London, Ontario and Windsor, Ontario</w:t>
      </w:r>
      <w:r w:rsidRPr="00393455">
        <w:rPr>
          <w:rFonts w:ascii="Times New Roman" w:hAnsi="Times New Roman" w:cs="Times New Roman"/>
        </w:rPr>
        <w:t xml:space="preserve"> (Publication No. 7165) [Master’s thesis, University of Windsor]. Electronic Theses and Dissertations. https://scholar.uwindsor.ca/etd/7165</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Times New Roman" w:hAnsi="Times New Roman" w:cs="Times New Roman"/>
        </w:rPr>
        <w:t xml:space="preserve">CAST. (2018). </w:t>
      </w:r>
      <w:r w:rsidRPr="00393455">
        <w:rPr>
          <w:rFonts w:ascii="Times New Roman" w:hAnsi="Times New Roman" w:cs="Times New Roman"/>
          <w:i/>
          <w:iCs/>
        </w:rPr>
        <w:t>Universal design for learning guidelines</w:t>
      </w:r>
      <w:r w:rsidRPr="00393455">
        <w:rPr>
          <w:rFonts w:ascii="Times New Roman" w:hAnsi="Times New Roman" w:cs="Times New Roman"/>
        </w:rPr>
        <w:t xml:space="preserve"> </w:t>
      </w:r>
      <w:r w:rsidRPr="00393455">
        <w:rPr>
          <w:rFonts w:ascii="Times New Roman" w:hAnsi="Times New Roman" w:cs="Times New Roman"/>
          <w:i/>
          <w:iCs/>
        </w:rPr>
        <w:t>version 2.0.</w:t>
      </w:r>
      <w:r w:rsidRPr="00393455">
        <w:rPr>
          <w:rFonts w:ascii="Times New Roman" w:hAnsi="Times New Roman" w:cs="Times New Roman"/>
        </w:rPr>
        <w:t xml:space="preserve"> https://udlguidelines.cast.org</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Times New Roman" w:hAnsi="Times New Roman" w:cs="Times New Roman"/>
        </w:rPr>
        <w:t xml:space="preserve">Cocks, E., </w:t>
      </w:r>
      <w:proofErr w:type="spellStart"/>
      <w:r w:rsidRPr="00393455">
        <w:rPr>
          <w:rFonts w:ascii="Times New Roman" w:hAnsi="Times New Roman" w:cs="Times New Roman"/>
        </w:rPr>
        <w:t>Thoresen</w:t>
      </w:r>
      <w:proofErr w:type="spellEnd"/>
      <w:r w:rsidRPr="00393455">
        <w:rPr>
          <w:rFonts w:ascii="Times New Roman" w:hAnsi="Times New Roman" w:cs="Times New Roman"/>
        </w:rPr>
        <w:t>, S. H., &amp; Lee, E. A. L. (2015). Pathways to employment and quality of life for apprenticeship and traineeship graduates with disabilities</w:t>
      </w:r>
      <w:r w:rsidRPr="00393455">
        <w:rPr>
          <w:rFonts w:ascii="Times New Roman" w:hAnsi="Times New Roman" w:cs="Times New Roman"/>
          <w:i/>
          <w:iCs/>
        </w:rPr>
        <w:t>. International Journal of Disability, Development and Education, 62</w:t>
      </w:r>
      <w:r w:rsidRPr="00393455">
        <w:rPr>
          <w:rFonts w:ascii="Times New Roman" w:hAnsi="Times New Roman" w:cs="Times New Roman"/>
        </w:rPr>
        <w:t>(4), 422- 437</w:t>
      </w:r>
    </w:p>
    <w:p w:rsidR="00707D31" w:rsidRPr="00393455" w:rsidRDefault="00707D31" w:rsidP="00707D31">
      <w:pPr>
        <w:rPr>
          <w:rFonts w:ascii="Times New Roman" w:hAnsi="Times New Roman" w:cs="Times New Roman"/>
        </w:rPr>
      </w:pPr>
      <w:r w:rsidRPr="00393455">
        <w:rPr>
          <w:rFonts w:ascii="Calibri" w:hAnsi="Calibri" w:cs="Calibri"/>
        </w:rPr>
        <w:t>﻿</w:t>
      </w:r>
    </w:p>
    <w:p w:rsidR="00707D31" w:rsidRPr="00393455" w:rsidRDefault="00707D31" w:rsidP="00707D31">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Crenshaw, K. (1989). Demarginalizing the intersection of race and sex: A black feminist critique of antidiscrimination doctrine, feminist theory and antiracist politics</w:t>
      </w:r>
      <w:r w:rsidRPr="00393455">
        <w:rPr>
          <w:rFonts w:ascii="Times New Roman" w:hAnsi="Times New Roman" w:cs="Times New Roman"/>
          <w:i/>
          <w:iCs/>
        </w:rPr>
        <w:t>. University of Chicago Legal Forum, 1, Article 8.</w:t>
      </w:r>
      <w:r w:rsidRPr="00393455">
        <w:rPr>
          <w:rFonts w:ascii="Times New Roman" w:hAnsi="Times New Roman" w:cs="Times New Roman"/>
        </w:rPr>
        <w:t xml:space="preserve"> http://chicagounbound.uchicago.edu/uclf/vol1989/iss1/8</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proofErr w:type="spellStart"/>
      <w:r w:rsidRPr="00393455">
        <w:rPr>
          <w:rFonts w:ascii="Times New Roman" w:hAnsi="Times New Roman" w:cs="Times New Roman"/>
        </w:rPr>
        <w:t>Cukier</w:t>
      </w:r>
      <w:proofErr w:type="spellEnd"/>
      <w:r w:rsidRPr="00393455">
        <w:rPr>
          <w:rFonts w:ascii="Times New Roman" w:hAnsi="Times New Roman" w:cs="Times New Roman"/>
        </w:rPr>
        <w:t xml:space="preserve">, W., Campbell, M., &amp; McNamara, L. (2018). </w:t>
      </w:r>
      <w:r w:rsidRPr="00393455">
        <w:rPr>
          <w:rFonts w:ascii="Times New Roman" w:hAnsi="Times New Roman" w:cs="Times New Roman"/>
          <w:i/>
          <w:iCs/>
        </w:rPr>
        <w:t>Ensuring equitable access to work-integrated learning in Ontario.</w:t>
      </w:r>
      <w:r w:rsidRPr="00393455">
        <w:rPr>
          <w:rFonts w:ascii="Times New Roman" w:hAnsi="Times New Roman" w:cs="Times New Roman"/>
        </w:rPr>
        <w:t xml:space="preserve"> Diversity Institute, University of Ryerson.</w:t>
      </w:r>
    </w:p>
    <w:p w:rsidR="00707D31" w:rsidRPr="00393455" w:rsidRDefault="00707D31" w:rsidP="00707D31">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 xml:space="preserve"> </w:t>
      </w:r>
    </w:p>
    <w:p w:rsidR="00707D31" w:rsidRPr="00393455" w:rsidRDefault="00707D31" w:rsidP="00707D31">
      <w:pPr>
        <w:rPr>
          <w:rFonts w:ascii="Times New Roman" w:hAnsi="Times New Roman" w:cs="Times New Roman"/>
        </w:rPr>
      </w:pPr>
      <w:r w:rsidRPr="00393455">
        <w:rPr>
          <w:rFonts w:ascii="Calibri" w:hAnsi="Calibri" w:cs="Calibri"/>
        </w:rPr>
        <w:lastRenderedPageBreak/>
        <w:t>﻿</w:t>
      </w:r>
      <w:proofErr w:type="spellStart"/>
      <w:r w:rsidRPr="00393455">
        <w:rPr>
          <w:rFonts w:ascii="Times New Roman" w:hAnsi="Times New Roman" w:cs="Times New Roman"/>
        </w:rPr>
        <w:t>Gardenswartz</w:t>
      </w:r>
      <w:proofErr w:type="spellEnd"/>
      <w:r w:rsidRPr="00393455">
        <w:rPr>
          <w:rFonts w:ascii="Times New Roman" w:hAnsi="Times New Roman" w:cs="Times New Roman"/>
        </w:rPr>
        <w:t xml:space="preserve">, L., &amp; Rowe, A. (2003). </w:t>
      </w:r>
      <w:r w:rsidRPr="00393455">
        <w:rPr>
          <w:rFonts w:ascii="Times New Roman" w:hAnsi="Times New Roman" w:cs="Times New Roman"/>
          <w:i/>
          <w:iCs/>
        </w:rPr>
        <w:t>Diverse teams at work: Capitalizing on the power of diversity.</w:t>
      </w:r>
      <w:r w:rsidRPr="00393455">
        <w:rPr>
          <w:rFonts w:ascii="Times New Roman" w:hAnsi="Times New Roman" w:cs="Times New Roman"/>
        </w:rPr>
        <w:t xml:space="preserve"> Society for Human Resource</w:t>
      </w:r>
      <w:r w:rsidRPr="00393455">
        <w:rPr>
          <w:rFonts w:ascii="Times New Roman" w:hAnsi="Times New Roman" w:cs="Times New Roman"/>
        </w:rPr>
        <w:t xml:space="preserve"> </w:t>
      </w:r>
      <w:r w:rsidRPr="00393455">
        <w:rPr>
          <w:rFonts w:ascii="Times New Roman" w:hAnsi="Times New Roman" w:cs="Times New Roman"/>
        </w:rPr>
        <w:t>Management.</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Godden, L. (2016</w:t>
      </w:r>
      <w:r w:rsidRPr="00393455">
        <w:rPr>
          <w:rFonts w:ascii="Times New Roman" w:hAnsi="Times New Roman" w:cs="Times New Roman"/>
          <w:i/>
          <w:iCs/>
        </w:rPr>
        <w:t>). Interpreting documents and making sense of public policy goals for career guidance in secondary schools: A multi-perspective comparative study</w:t>
      </w:r>
      <w:r w:rsidRPr="00393455">
        <w:rPr>
          <w:rFonts w:ascii="Times New Roman" w:hAnsi="Times New Roman" w:cs="Times New Roman"/>
        </w:rPr>
        <w:t xml:space="preserve"> (Publication No 105885588) [Doctoral dissertation, Queen’s University]. ProQuest Dissertations Publishing. https://www.proquest.com/openview/2820ba4ff9b60ef2b80c0e06e6858cf3/1?pqorigsite=gscholar&amp;cbl=18750</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Calibri" w:hAnsi="Calibri" w:cs="Calibri"/>
        </w:rPr>
        <w:t>﻿</w:t>
      </w:r>
      <w:proofErr w:type="spellStart"/>
      <w:r w:rsidRPr="00393455">
        <w:rPr>
          <w:rFonts w:ascii="Times New Roman" w:hAnsi="Times New Roman" w:cs="Times New Roman"/>
        </w:rPr>
        <w:t>Fritzgerald</w:t>
      </w:r>
      <w:proofErr w:type="spellEnd"/>
      <w:r w:rsidRPr="00393455">
        <w:rPr>
          <w:rFonts w:ascii="Times New Roman" w:hAnsi="Times New Roman" w:cs="Times New Roman"/>
        </w:rPr>
        <w:t xml:space="preserve">, A. (2020). </w:t>
      </w:r>
      <w:r w:rsidRPr="00393455">
        <w:rPr>
          <w:rFonts w:ascii="Times New Roman" w:hAnsi="Times New Roman" w:cs="Times New Roman"/>
          <w:i/>
          <w:iCs/>
        </w:rPr>
        <w:t>Antiracism and universal design for learning: Building expressways to success.</w:t>
      </w:r>
      <w:r w:rsidRPr="00393455">
        <w:rPr>
          <w:rFonts w:ascii="Times New Roman" w:hAnsi="Times New Roman" w:cs="Times New Roman"/>
        </w:rPr>
        <w:t xml:space="preserve"> CAST Professional Publishing.</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proofErr w:type="spellStart"/>
      <w:r w:rsidRPr="00393455">
        <w:rPr>
          <w:rFonts w:ascii="Times New Roman" w:hAnsi="Times New Roman" w:cs="Times New Roman"/>
        </w:rPr>
        <w:t>Hoessler</w:t>
      </w:r>
      <w:proofErr w:type="spellEnd"/>
      <w:r w:rsidRPr="00393455">
        <w:rPr>
          <w:rFonts w:ascii="Times New Roman" w:hAnsi="Times New Roman" w:cs="Times New Roman"/>
        </w:rPr>
        <w:t xml:space="preserve">, C., &amp; Godden, L. (2021). </w:t>
      </w:r>
      <w:r w:rsidRPr="00393455">
        <w:rPr>
          <w:rFonts w:ascii="Times New Roman" w:hAnsi="Times New Roman" w:cs="Times New Roman"/>
          <w:i/>
          <w:iCs/>
        </w:rPr>
        <w:t>Outcome-based experiential learning: Let’s talk about, design for, and inform teaching, learning, and career development</w:t>
      </w:r>
      <w:r w:rsidRPr="00393455">
        <w:rPr>
          <w:rFonts w:ascii="Times New Roman" w:hAnsi="Times New Roman" w:cs="Times New Roman"/>
        </w:rPr>
        <w:t>. Higher Education and Beyond.</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Times New Roman" w:hAnsi="Times New Roman" w:cs="Times New Roman"/>
        </w:rPr>
        <w:t xml:space="preserve">Kovach, M. (2009). </w:t>
      </w:r>
      <w:r w:rsidRPr="00393455">
        <w:rPr>
          <w:rFonts w:ascii="Times New Roman" w:hAnsi="Times New Roman" w:cs="Times New Roman"/>
          <w:i/>
          <w:iCs/>
        </w:rPr>
        <w:t>Indigenous methodologies: Characteristics, conversations, and contexts.</w:t>
      </w:r>
      <w:r w:rsidRPr="00393455">
        <w:rPr>
          <w:rFonts w:ascii="Times New Roman" w:hAnsi="Times New Roman" w:cs="Times New Roman"/>
        </w:rPr>
        <w:t xml:space="preserve"> University of Toronto Press</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 xml:space="preserve">Lee, S. S. (2015). Gender and disability in Canadian workplaces: Lived experiences, diversity practices, and cultural shifts. In D. W. Edgington, N. Ota, N. Sato, &amp; J. F. Steele (Eds.), </w:t>
      </w:r>
      <w:r w:rsidRPr="00393455">
        <w:rPr>
          <w:rFonts w:ascii="Times New Roman" w:hAnsi="Times New Roman" w:cs="Times New Roman"/>
          <w:i/>
          <w:iCs/>
        </w:rPr>
        <w:t>Culture, identity and citizenship in Japan and Canada</w:t>
      </w:r>
      <w:r w:rsidRPr="00393455">
        <w:rPr>
          <w:rFonts w:ascii="Times New Roman" w:hAnsi="Times New Roman" w:cs="Times New Roman"/>
        </w:rPr>
        <w:t xml:space="preserve"> (pp. 89-104). Institution of Social Science, the University of Tokyo.</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proofErr w:type="spellStart"/>
      <w:r w:rsidRPr="00393455">
        <w:rPr>
          <w:rFonts w:ascii="Times New Roman" w:hAnsi="Times New Roman" w:cs="Times New Roman"/>
        </w:rPr>
        <w:t>Mackaway</w:t>
      </w:r>
      <w:proofErr w:type="spellEnd"/>
      <w:r w:rsidRPr="00393455">
        <w:rPr>
          <w:rFonts w:ascii="Times New Roman" w:hAnsi="Times New Roman" w:cs="Times New Roman"/>
        </w:rPr>
        <w:t>, J., &amp; Winchester-</w:t>
      </w:r>
      <w:proofErr w:type="spellStart"/>
      <w:r w:rsidRPr="00393455">
        <w:rPr>
          <w:rFonts w:ascii="Times New Roman" w:hAnsi="Times New Roman" w:cs="Times New Roman"/>
        </w:rPr>
        <w:t>Seeto</w:t>
      </w:r>
      <w:proofErr w:type="spellEnd"/>
      <w:r w:rsidRPr="00393455">
        <w:rPr>
          <w:rFonts w:ascii="Times New Roman" w:hAnsi="Times New Roman" w:cs="Times New Roman"/>
        </w:rPr>
        <w:t>, T. (2018). Deciding access to work-integrated learning: Human resource professionals as gatekeepers</w:t>
      </w:r>
      <w:r w:rsidRPr="00393455">
        <w:rPr>
          <w:rFonts w:ascii="Times New Roman" w:hAnsi="Times New Roman" w:cs="Times New Roman"/>
          <w:i/>
          <w:iCs/>
        </w:rPr>
        <w:t>. International Journal of Work-Integrated Learning, 19</w:t>
      </w:r>
      <w:r w:rsidRPr="00393455">
        <w:rPr>
          <w:rFonts w:ascii="Times New Roman" w:hAnsi="Times New Roman" w:cs="Times New Roman"/>
        </w:rPr>
        <w:t>(2), 141-154</w:t>
      </w:r>
    </w:p>
    <w:p w:rsidR="00707D31" w:rsidRPr="00393455" w:rsidRDefault="00707D31" w:rsidP="00707D31">
      <w:pPr>
        <w:rPr>
          <w:rFonts w:ascii="Times New Roman" w:hAnsi="Times New Roman" w:cs="Times New Roman"/>
        </w:rPr>
      </w:pPr>
      <w:r w:rsidRPr="00393455">
        <w:rPr>
          <w:rFonts w:ascii="Calibri" w:hAnsi="Calibri" w:cs="Calibri"/>
        </w:rPr>
        <w:t>﻿</w:t>
      </w:r>
    </w:p>
    <w:p w:rsidR="00707D31" w:rsidRPr="00393455" w:rsidRDefault="00707D31" w:rsidP="00707D31">
      <w:pPr>
        <w:rPr>
          <w:rFonts w:ascii="Times New Roman" w:hAnsi="Times New Roman" w:cs="Times New Roman"/>
        </w:rPr>
      </w:pPr>
      <w:r w:rsidRPr="00393455">
        <w:rPr>
          <w:rFonts w:ascii="Times New Roman" w:hAnsi="Times New Roman" w:cs="Times New Roman"/>
        </w:rPr>
        <w:t xml:space="preserve">Moylan, C. A., &amp; Wood, L. (2016). Sexual harassment in social work field placements: Prevalence and characteristics. </w:t>
      </w:r>
      <w:proofErr w:type="spellStart"/>
      <w:r w:rsidRPr="00393455">
        <w:rPr>
          <w:rFonts w:ascii="Times New Roman" w:hAnsi="Times New Roman" w:cs="Times New Roman"/>
          <w:i/>
          <w:iCs/>
        </w:rPr>
        <w:t>Affilia</w:t>
      </w:r>
      <w:proofErr w:type="spellEnd"/>
      <w:r w:rsidRPr="00393455">
        <w:rPr>
          <w:rFonts w:ascii="Times New Roman" w:hAnsi="Times New Roman" w:cs="Times New Roman"/>
          <w:i/>
          <w:iCs/>
        </w:rPr>
        <w:t>, 31</w:t>
      </w:r>
      <w:r w:rsidRPr="00393455">
        <w:rPr>
          <w:rFonts w:ascii="Times New Roman" w:hAnsi="Times New Roman" w:cs="Times New Roman"/>
        </w:rPr>
        <w:t>(4), 405-417</w:t>
      </w:r>
    </w:p>
    <w:p w:rsidR="00707D31" w:rsidRPr="00393455" w:rsidRDefault="00707D31" w:rsidP="00707D31">
      <w:pPr>
        <w:rPr>
          <w:rFonts w:ascii="Times New Roman" w:hAnsi="Times New Roman" w:cs="Times New Roman"/>
        </w:rPr>
      </w:pPr>
      <w:r w:rsidRPr="00393455">
        <w:rPr>
          <w:rFonts w:ascii="Calibri" w:hAnsi="Calibri" w:cs="Calibri"/>
        </w:rPr>
        <w:t>﻿</w:t>
      </w:r>
    </w:p>
    <w:p w:rsidR="00707D31" w:rsidRPr="00393455" w:rsidRDefault="00707D31" w:rsidP="00707D31">
      <w:pPr>
        <w:rPr>
          <w:rFonts w:ascii="Times New Roman" w:hAnsi="Times New Roman" w:cs="Times New Roman"/>
        </w:rPr>
      </w:pPr>
      <w:r w:rsidRPr="00393455">
        <w:rPr>
          <w:rFonts w:ascii="Times New Roman" w:hAnsi="Times New Roman" w:cs="Times New Roman"/>
        </w:rPr>
        <w:t xml:space="preserve">Nielsen, J., </w:t>
      </w:r>
      <w:proofErr w:type="spellStart"/>
      <w:r w:rsidRPr="00393455">
        <w:rPr>
          <w:rFonts w:ascii="Times New Roman" w:hAnsi="Times New Roman" w:cs="Times New Roman"/>
        </w:rPr>
        <w:t>Livernoche</w:t>
      </w:r>
      <w:proofErr w:type="spellEnd"/>
      <w:r w:rsidRPr="00393455">
        <w:rPr>
          <w:rFonts w:ascii="Times New Roman" w:hAnsi="Times New Roman" w:cs="Times New Roman"/>
        </w:rPr>
        <w:t xml:space="preserve">, R., &amp; Ramji, K. (2022). The Indigenous work-integrated learning resource hub: A needs-based approach to addressing barriers and opportunities for Indigenous students. </w:t>
      </w:r>
      <w:r w:rsidRPr="00393455">
        <w:rPr>
          <w:rFonts w:ascii="Times New Roman" w:hAnsi="Times New Roman" w:cs="Times New Roman"/>
          <w:i/>
          <w:iCs/>
        </w:rPr>
        <w:t>International Journal of Work-Integrated Learning, 23</w:t>
      </w:r>
      <w:r w:rsidRPr="00393455">
        <w:rPr>
          <w:rFonts w:ascii="Times New Roman" w:hAnsi="Times New Roman" w:cs="Times New Roman"/>
        </w:rPr>
        <w:t>(2),139-152.</w:t>
      </w:r>
    </w:p>
    <w:p w:rsidR="00707D31" w:rsidRPr="00393455" w:rsidRDefault="00707D31" w:rsidP="00707D31">
      <w:pPr>
        <w:rPr>
          <w:rFonts w:ascii="Times New Roman" w:hAnsi="Times New Roman" w:cs="Times New Roman"/>
        </w:rPr>
      </w:pPr>
      <w:r w:rsidRPr="00393455">
        <w:rPr>
          <w:rFonts w:ascii="Calibri" w:hAnsi="Calibri" w:cs="Calibri"/>
        </w:rPr>
        <w:t>﻿</w:t>
      </w:r>
    </w:p>
    <w:p w:rsidR="00707D31" w:rsidRPr="00393455" w:rsidRDefault="00707D31" w:rsidP="00707D31">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 xml:space="preserve">Novak, K. (2016). </w:t>
      </w:r>
      <w:r w:rsidRPr="00393455">
        <w:rPr>
          <w:rFonts w:ascii="Times New Roman" w:hAnsi="Times New Roman" w:cs="Times New Roman"/>
          <w:i/>
          <w:iCs/>
        </w:rPr>
        <w:t>UDL Now! A teacher’s guide to applying universal design for learning in today’s classrooms.</w:t>
      </w:r>
      <w:r w:rsidRPr="00393455">
        <w:rPr>
          <w:rFonts w:ascii="Times New Roman" w:hAnsi="Times New Roman" w:cs="Times New Roman"/>
        </w:rPr>
        <w:t xml:space="preserve"> CAST Professional Publishing.</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Times New Roman" w:hAnsi="Times New Roman" w:cs="Times New Roman"/>
        </w:rPr>
        <w:t xml:space="preserve">Pidgeon, M. (2016). More than a checklist: Meaningful Indigenous inclusion in higher education. </w:t>
      </w:r>
      <w:r w:rsidRPr="00393455">
        <w:rPr>
          <w:rFonts w:ascii="Times New Roman" w:hAnsi="Times New Roman" w:cs="Times New Roman"/>
          <w:i/>
          <w:iCs/>
        </w:rPr>
        <w:t>Social Inclusion, 4</w:t>
      </w:r>
      <w:r w:rsidRPr="00393455">
        <w:rPr>
          <w:rFonts w:ascii="Times New Roman" w:hAnsi="Times New Roman" w:cs="Times New Roman"/>
        </w:rPr>
        <w:t>(1), 77-91.</w:t>
      </w:r>
      <w:r w:rsidRPr="00393455">
        <w:rPr>
          <w:rFonts w:ascii="Times New Roman" w:hAnsi="Times New Roman" w:cs="Times New Roman"/>
        </w:rPr>
        <w:t xml:space="preserve"> </w:t>
      </w:r>
      <w:r w:rsidRPr="00393455">
        <w:rPr>
          <w:rFonts w:ascii="Times New Roman" w:hAnsi="Times New Roman" w:cs="Times New Roman"/>
        </w:rPr>
        <w:t>https://doi.org/10.17645/si.v4i1.436</w:t>
      </w:r>
    </w:p>
    <w:p w:rsidR="00707D31" w:rsidRPr="00393455" w:rsidRDefault="00707D31" w:rsidP="00707D31">
      <w:pPr>
        <w:rPr>
          <w:rFonts w:ascii="Times New Roman" w:hAnsi="Times New Roman" w:cs="Times New Roman"/>
        </w:rPr>
      </w:pPr>
    </w:p>
    <w:p w:rsidR="00707D31" w:rsidRPr="00393455" w:rsidRDefault="00707D31" w:rsidP="00707D31">
      <w:pPr>
        <w:rPr>
          <w:rFonts w:ascii="Times New Roman" w:hAnsi="Times New Roman" w:cs="Times New Roman"/>
        </w:rPr>
      </w:pPr>
      <w:r w:rsidRPr="00393455">
        <w:rPr>
          <w:rFonts w:ascii="Calibri" w:hAnsi="Calibri" w:cs="Calibri"/>
        </w:rPr>
        <w:t>﻿</w:t>
      </w:r>
      <w:r w:rsidRPr="00393455">
        <w:rPr>
          <w:rFonts w:ascii="Times New Roman" w:hAnsi="Times New Roman" w:cs="Times New Roman"/>
        </w:rPr>
        <w:t xml:space="preserve">Taylor, A., Hamm, Z., &amp; </w:t>
      </w:r>
      <w:proofErr w:type="spellStart"/>
      <w:r w:rsidRPr="00393455">
        <w:rPr>
          <w:rFonts w:ascii="Times New Roman" w:hAnsi="Times New Roman" w:cs="Times New Roman"/>
        </w:rPr>
        <w:t>Raykov</w:t>
      </w:r>
      <w:proofErr w:type="spellEnd"/>
      <w:r w:rsidRPr="00393455">
        <w:rPr>
          <w:rFonts w:ascii="Times New Roman" w:hAnsi="Times New Roman" w:cs="Times New Roman"/>
        </w:rPr>
        <w:t xml:space="preserve">, M. (2015). The experiences of female youth apprentices in Canada: Just passing through? </w:t>
      </w:r>
      <w:r w:rsidRPr="00393455">
        <w:rPr>
          <w:rFonts w:ascii="Times New Roman" w:hAnsi="Times New Roman" w:cs="Times New Roman"/>
          <w:i/>
          <w:iCs/>
        </w:rPr>
        <w:t>Journal of Vocational Education &amp; Training, 67</w:t>
      </w:r>
      <w:r w:rsidRPr="00393455">
        <w:rPr>
          <w:rFonts w:ascii="Times New Roman" w:hAnsi="Times New Roman" w:cs="Times New Roman"/>
        </w:rPr>
        <w:t>(1), 93-108</w:t>
      </w:r>
    </w:p>
    <w:p w:rsidR="00DF1D27" w:rsidRPr="00393455" w:rsidRDefault="00DF1D27" w:rsidP="00A55698">
      <w:pPr>
        <w:rPr>
          <w:rFonts w:ascii="Times New Roman" w:hAnsi="Times New Roman" w:cs="Times New Roman"/>
        </w:rPr>
      </w:pPr>
    </w:p>
    <w:p w:rsidR="00DD7F80" w:rsidRDefault="00DD7F80" w:rsidP="00A55698">
      <w:pPr>
        <w:rPr>
          <w:rFonts w:ascii="Times New Roman" w:hAnsi="Times New Roman" w:cs="Times New Roman"/>
        </w:rPr>
      </w:pPr>
    </w:p>
    <w:p w:rsidR="00DD7F80" w:rsidRDefault="00DD7F80" w:rsidP="00A55698">
      <w:pPr>
        <w:rPr>
          <w:rFonts w:ascii="Times New Roman" w:hAnsi="Times New Roman" w:cs="Times New Roman"/>
        </w:rPr>
      </w:pPr>
    </w:p>
    <w:p w:rsidR="00D54A00" w:rsidRDefault="00331C66" w:rsidP="00DD7F80">
      <w:pPr>
        <w:rPr>
          <w:rFonts w:ascii="Times New Roman" w:hAnsi="Times New Roman" w:cs="Times New Roman"/>
          <w:b/>
          <w:bCs/>
        </w:rPr>
      </w:pPr>
      <w:r w:rsidRPr="00DD7F80">
        <w:rPr>
          <w:rFonts w:ascii="Times New Roman" w:hAnsi="Times New Roman" w:cs="Times New Roman"/>
          <w:b/>
          <w:bCs/>
        </w:rPr>
        <w:lastRenderedPageBreak/>
        <w:t xml:space="preserve">Content, target audience, and </w:t>
      </w:r>
      <w:r w:rsidR="00D54A00" w:rsidRPr="00DD7F80">
        <w:rPr>
          <w:rFonts w:ascii="Times New Roman" w:hAnsi="Times New Roman" w:cs="Times New Roman"/>
          <w:b/>
          <w:bCs/>
        </w:rPr>
        <w:t>format of the workshop (interactive</w:t>
      </w:r>
      <w:r w:rsidRPr="00DD7F80">
        <w:rPr>
          <w:rFonts w:ascii="Times New Roman" w:hAnsi="Times New Roman" w:cs="Times New Roman"/>
          <w:b/>
          <w:bCs/>
        </w:rPr>
        <w:t>)</w:t>
      </w:r>
    </w:p>
    <w:p w:rsidR="00D54A00" w:rsidRPr="00393455" w:rsidRDefault="00DD7F80" w:rsidP="00A55698">
      <w:pPr>
        <w:rPr>
          <w:rFonts w:ascii="Times New Roman" w:hAnsi="Times New Roman" w:cs="Times New Roman"/>
        </w:rPr>
      </w:pPr>
      <w:r w:rsidRPr="00DD7F80">
        <w:rPr>
          <w:rFonts w:ascii="Times New Roman" w:hAnsi="Times New Roman" w:cs="Times New Roman"/>
        </w:rPr>
        <w:t>The workshop will include an overview of the design factors, discussion on dimensions of diversity</w:t>
      </w:r>
      <w:r>
        <w:rPr>
          <w:rFonts w:ascii="Times New Roman" w:hAnsi="Times New Roman" w:cs="Times New Roman"/>
        </w:rPr>
        <w:t xml:space="preserve"> and sharing of the features of the OBEL Equity Cube. Participants will be able to takeaway materials they can use to apply the design factors in their own settings.  </w:t>
      </w:r>
      <w:r w:rsidR="006029E5">
        <w:rPr>
          <w:rFonts w:ascii="Times New Roman" w:hAnsi="Times New Roman" w:cs="Times New Roman"/>
        </w:rPr>
        <w:t xml:space="preserve">Our target audience for this workshop includes anyone interested in how to create accessible, inclusive, and equitable work-integrated and or experiential learning opportunities for students. We imagine this group to include </w:t>
      </w:r>
      <w:r>
        <w:rPr>
          <w:rFonts w:ascii="Times New Roman" w:hAnsi="Times New Roman" w:cs="Times New Roman"/>
        </w:rPr>
        <w:t xml:space="preserve">managers and program leaders from post-secondary institutions, faculty and instructors who teach experiential learning, policy-makers who support WIL and EL policy development, and representatives from employer groups. The workshop will be highly interactive, with many opportunities to apply key design factors to individual situations and contexts. </w:t>
      </w:r>
    </w:p>
    <w:p w:rsidR="00D54A00" w:rsidRPr="00393455" w:rsidRDefault="00D54A00" w:rsidP="00A55698">
      <w:pPr>
        <w:rPr>
          <w:rFonts w:ascii="Times New Roman" w:hAnsi="Times New Roman" w:cs="Times New Roman"/>
        </w:rPr>
      </w:pPr>
    </w:p>
    <w:p w:rsidR="00D54A00" w:rsidRPr="00393455" w:rsidRDefault="00D54A00" w:rsidP="00A55698">
      <w:pPr>
        <w:rPr>
          <w:rFonts w:ascii="Times New Roman" w:hAnsi="Times New Roman" w:cs="Times New Roman"/>
        </w:rPr>
      </w:pPr>
    </w:p>
    <w:p w:rsidR="00D54A00" w:rsidRPr="00393455" w:rsidRDefault="00D54A00" w:rsidP="00A55698">
      <w:pPr>
        <w:rPr>
          <w:rFonts w:ascii="Times New Roman" w:hAnsi="Times New Roman" w:cs="Times New Roman"/>
        </w:rPr>
      </w:pPr>
    </w:p>
    <w:sectPr w:rsidR="00D54A00" w:rsidRPr="0039345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24241"/>
    <w:multiLevelType w:val="hybridMultilevel"/>
    <w:tmpl w:val="7BC24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46617C"/>
    <w:multiLevelType w:val="hybridMultilevel"/>
    <w:tmpl w:val="624446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F411A9F"/>
    <w:multiLevelType w:val="multilevel"/>
    <w:tmpl w:val="D21E68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3251893">
    <w:abstractNumId w:val="2"/>
  </w:num>
  <w:num w:numId="2" w16cid:durableId="1591424811">
    <w:abstractNumId w:val="0"/>
  </w:num>
  <w:num w:numId="3" w16cid:durableId="18698330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481"/>
    <w:rsid w:val="00284481"/>
    <w:rsid w:val="00331C66"/>
    <w:rsid w:val="00355DB0"/>
    <w:rsid w:val="00393455"/>
    <w:rsid w:val="00530489"/>
    <w:rsid w:val="006029E5"/>
    <w:rsid w:val="00707D31"/>
    <w:rsid w:val="00A55698"/>
    <w:rsid w:val="00D54A00"/>
    <w:rsid w:val="00DD7F80"/>
    <w:rsid w:val="00DF1D27"/>
    <w:rsid w:val="00E54FB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38BB0D70"/>
  <w15:chartTrackingRefBased/>
  <w15:docId w15:val="{62EF7667-69D7-2148-AF60-0A77A48E7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84481"/>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84481"/>
    <w:rPr>
      <w:rFonts w:ascii="Times New Roman" w:eastAsia="Times New Roman" w:hAnsi="Times New Roman" w:cs="Times New Roman"/>
      <w:b/>
      <w:bCs/>
      <w:kern w:val="0"/>
      <w:sz w:val="36"/>
      <w:szCs w:val="36"/>
      <w14:ligatures w14:val="none"/>
    </w:rPr>
  </w:style>
  <w:style w:type="paragraph" w:customStyle="1" w:styleId="p1">
    <w:name w:val="p1"/>
    <w:basedOn w:val="Normal"/>
    <w:rsid w:val="00284481"/>
    <w:rPr>
      <w:rFonts w:ascii="Helvetica" w:eastAsia="Times New Roman" w:hAnsi="Helvetica" w:cs="Times New Roman"/>
      <w:color w:val="000000"/>
      <w:kern w:val="0"/>
      <w:sz w:val="18"/>
      <w:szCs w:val="18"/>
      <w14:ligatures w14:val="none"/>
    </w:rPr>
  </w:style>
  <w:style w:type="character" w:customStyle="1" w:styleId="s1">
    <w:name w:val="s1"/>
    <w:basedOn w:val="DefaultParagraphFont"/>
    <w:rsid w:val="00284481"/>
    <w:rPr>
      <w:rFonts w:ascii="Helvetica" w:hAnsi="Helvetica" w:hint="default"/>
      <w:sz w:val="15"/>
      <w:szCs w:val="15"/>
    </w:rPr>
  </w:style>
  <w:style w:type="character" w:customStyle="1" w:styleId="s2">
    <w:name w:val="s2"/>
    <w:basedOn w:val="DefaultParagraphFont"/>
    <w:rsid w:val="00284481"/>
    <w:rPr>
      <w:rFonts w:ascii="Arial" w:hAnsi="Arial" w:cs="Arial" w:hint="default"/>
      <w:sz w:val="15"/>
      <w:szCs w:val="15"/>
    </w:rPr>
  </w:style>
  <w:style w:type="paragraph" w:styleId="NormalWeb">
    <w:name w:val="Normal (Web)"/>
    <w:basedOn w:val="Normal"/>
    <w:uiPriority w:val="99"/>
    <w:semiHidden/>
    <w:unhideWhenUsed/>
    <w:rsid w:val="00A55698"/>
    <w:pPr>
      <w:spacing w:before="100" w:beforeAutospacing="1" w:after="100" w:afterAutospacing="1"/>
    </w:pPr>
    <w:rPr>
      <w:rFonts w:ascii="Times New Roman" w:eastAsia="Times New Roman" w:hAnsi="Times New Roman" w:cs="Times New Roman"/>
      <w:kern w:val="0"/>
      <w14:ligatures w14:val="none"/>
    </w:rPr>
  </w:style>
  <w:style w:type="paragraph" w:customStyle="1" w:styleId="pl-learning-objective-1">
    <w:name w:val="pl-learning-objective-1"/>
    <w:basedOn w:val="Normal"/>
    <w:rsid w:val="00A55698"/>
    <w:pPr>
      <w:spacing w:before="100" w:beforeAutospacing="1" w:after="100" w:afterAutospacing="1"/>
    </w:pPr>
    <w:rPr>
      <w:rFonts w:ascii="Times New Roman" w:eastAsia="Times New Roman" w:hAnsi="Times New Roman" w:cs="Times New Roman"/>
      <w:kern w:val="0"/>
      <w14:ligatures w14:val="none"/>
    </w:rPr>
  </w:style>
  <w:style w:type="paragraph" w:customStyle="1" w:styleId="pl-learning-objective-2">
    <w:name w:val="pl-learning-objective-2"/>
    <w:basedOn w:val="Normal"/>
    <w:rsid w:val="00A55698"/>
    <w:pPr>
      <w:spacing w:before="100" w:beforeAutospacing="1" w:after="100" w:afterAutospacing="1"/>
    </w:pPr>
    <w:rPr>
      <w:rFonts w:ascii="Times New Roman" w:eastAsia="Times New Roman" w:hAnsi="Times New Roman" w:cs="Times New Roman"/>
      <w:kern w:val="0"/>
      <w14:ligatures w14:val="none"/>
    </w:rPr>
  </w:style>
  <w:style w:type="paragraph" w:customStyle="1" w:styleId="pl-learning-objective-3">
    <w:name w:val="pl-learning-objective-3"/>
    <w:basedOn w:val="Normal"/>
    <w:rsid w:val="00A55698"/>
    <w:pPr>
      <w:spacing w:before="100" w:beforeAutospacing="1" w:after="100" w:afterAutospacing="1"/>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D54A00"/>
    <w:rPr>
      <w:color w:val="0563C1" w:themeColor="hyperlink"/>
      <w:u w:val="single"/>
    </w:rPr>
  </w:style>
  <w:style w:type="character" w:styleId="UnresolvedMention">
    <w:name w:val="Unresolved Mention"/>
    <w:basedOn w:val="DefaultParagraphFont"/>
    <w:uiPriority w:val="99"/>
    <w:semiHidden/>
    <w:unhideWhenUsed/>
    <w:rsid w:val="00D54A00"/>
    <w:rPr>
      <w:color w:val="605E5C"/>
      <w:shd w:val="clear" w:color="auto" w:fill="E1DFDD"/>
    </w:rPr>
  </w:style>
  <w:style w:type="paragraph" w:styleId="ListParagraph">
    <w:name w:val="List Paragraph"/>
    <w:basedOn w:val="Normal"/>
    <w:uiPriority w:val="34"/>
    <w:qFormat/>
    <w:rsid w:val="006029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59590008">
      <w:bodyDiv w:val="1"/>
      <w:marLeft w:val="0"/>
      <w:marRight w:val="0"/>
      <w:marTop w:val="0"/>
      <w:marBottom w:val="0"/>
      <w:divBdr>
        <w:top w:val="none" w:sz="0" w:space="0" w:color="auto"/>
        <w:left w:val="none" w:sz="0" w:space="0" w:color="auto"/>
        <w:bottom w:val="none" w:sz="0" w:space="0" w:color="auto"/>
        <w:right w:val="none" w:sz="0" w:space="0" w:color="auto"/>
      </w:divBdr>
    </w:div>
    <w:div w:id="1137602589">
      <w:bodyDiv w:val="1"/>
      <w:marLeft w:val="0"/>
      <w:marRight w:val="0"/>
      <w:marTop w:val="0"/>
      <w:marBottom w:val="0"/>
      <w:divBdr>
        <w:top w:val="none" w:sz="0" w:space="0" w:color="auto"/>
        <w:left w:val="none" w:sz="0" w:space="0" w:color="auto"/>
        <w:bottom w:val="none" w:sz="0" w:space="0" w:color="auto"/>
        <w:right w:val="none" w:sz="0" w:space="0" w:color="auto"/>
      </w:divBdr>
    </w:div>
    <w:div w:id="1296910893">
      <w:bodyDiv w:val="1"/>
      <w:marLeft w:val="0"/>
      <w:marRight w:val="0"/>
      <w:marTop w:val="0"/>
      <w:marBottom w:val="0"/>
      <w:divBdr>
        <w:top w:val="none" w:sz="0" w:space="0" w:color="auto"/>
        <w:left w:val="none" w:sz="0" w:space="0" w:color="auto"/>
        <w:bottom w:val="none" w:sz="0" w:space="0" w:color="auto"/>
        <w:right w:val="none" w:sz="0" w:space="0" w:color="auto"/>
      </w:divBdr>
    </w:div>
    <w:div w:id="196210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lorraine@hedbeyond.c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2397</Words>
  <Characters>13668</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Godden</dc:creator>
  <cp:keywords/>
  <dc:description/>
  <cp:lastModifiedBy>Lorraine Godden</cp:lastModifiedBy>
  <cp:revision>2</cp:revision>
  <dcterms:created xsi:type="dcterms:W3CDTF">2026-03-29T16:26:00Z</dcterms:created>
  <dcterms:modified xsi:type="dcterms:W3CDTF">2026-03-29T16:26:00Z</dcterms:modified>
</cp:coreProperties>
</file>