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05782" w14:textId="6E1C56D7" w:rsidR="00AD5777" w:rsidRDefault="00AD5777" w:rsidP="00AD5777">
      <w:pPr>
        <w:jc w:val="center"/>
        <w:rPr>
          <w:rFonts w:ascii="Arial" w:hAnsi="Arial" w:cs="Arial"/>
          <w:b/>
          <w:bCs/>
          <w:sz w:val="22"/>
          <w:szCs w:val="22"/>
        </w:rPr>
      </w:pPr>
      <w:r w:rsidRPr="00336402">
        <w:rPr>
          <w:rFonts w:ascii="Arial" w:hAnsi="Arial" w:cs="Arial"/>
          <w:b/>
          <w:bCs/>
          <w:sz w:val="22"/>
          <w:szCs w:val="22"/>
        </w:rPr>
        <w:t>From Stereotype to Self: Career Choice and Identity in Second-Generation Chinese New Zealanders</w:t>
      </w:r>
    </w:p>
    <w:p w14:paraId="6E4C4356" w14:textId="0C8F0968" w:rsidR="00627227" w:rsidRPr="00336402" w:rsidRDefault="00627227" w:rsidP="00AD5777">
      <w:pPr>
        <w:jc w:val="center"/>
        <w:rPr>
          <w:rFonts w:ascii="Arial" w:hAnsi="Arial" w:cs="Arial"/>
          <w:b/>
          <w:bCs/>
          <w:sz w:val="22"/>
          <w:szCs w:val="22"/>
        </w:rPr>
      </w:pPr>
      <w:r>
        <w:rPr>
          <w:rFonts w:ascii="Arial" w:hAnsi="Arial" w:cs="Arial"/>
          <w:b/>
          <w:bCs/>
          <w:sz w:val="22"/>
          <w:szCs w:val="22"/>
        </w:rPr>
        <w:t>Ting Yan</w:t>
      </w:r>
    </w:p>
    <w:p w14:paraId="3418D0FE" w14:textId="142D2E36" w:rsidR="00AD5777" w:rsidRPr="00AD5777" w:rsidRDefault="00AD5777" w:rsidP="00AD5777">
      <w:pPr>
        <w:rPr>
          <w:rFonts w:ascii="Arial" w:hAnsi="Arial" w:cs="Arial"/>
          <w:sz w:val="22"/>
          <w:szCs w:val="22"/>
        </w:rPr>
      </w:pPr>
      <w:r w:rsidRPr="00AD5777">
        <w:rPr>
          <w:rFonts w:ascii="Arial" w:hAnsi="Arial" w:cs="Arial"/>
          <w:sz w:val="22"/>
          <w:szCs w:val="22"/>
        </w:rPr>
        <w:t xml:space="preserve">This study explores how career choices shape and </w:t>
      </w:r>
      <w:proofErr w:type="gramStart"/>
      <w:r w:rsidR="00336402" w:rsidRPr="00AD5777">
        <w:rPr>
          <w:rFonts w:ascii="Arial" w:hAnsi="Arial" w:cs="Arial"/>
          <w:sz w:val="22"/>
          <w:szCs w:val="22"/>
        </w:rPr>
        <w:t>reflect</w:t>
      </w:r>
      <w:proofErr w:type="gramEnd"/>
      <w:r w:rsidRPr="00AD5777">
        <w:rPr>
          <w:rFonts w:ascii="Arial" w:hAnsi="Arial" w:cs="Arial"/>
          <w:sz w:val="22"/>
          <w:szCs w:val="22"/>
        </w:rPr>
        <w:t xml:space="preserve"> the cultural identity of second-generation Chinese immigrants in New Zealand. </w:t>
      </w:r>
      <w:r w:rsidR="00336402" w:rsidRPr="00336402">
        <w:rPr>
          <w:rFonts w:ascii="Arial" w:hAnsi="Arial" w:cs="Arial"/>
          <w:sz w:val="22"/>
          <w:szCs w:val="22"/>
        </w:rPr>
        <w:t>Although they have overcome the language barriers and employment restrictions experienced by their parents, their career choices continue to cluster in fields such as medicine, engineering, and law.</w:t>
      </w:r>
      <w:r w:rsidR="00336402">
        <w:rPr>
          <w:rFonts w:ascii="Arial" w:hAnsi="Arial" w:cs="Arial"/>
          <w:sz w:val="22"/>
          <w:szCs w:val="22"/>
        </w:rPr>
        <w:t xml:space="preserve"> </w:t>
      </w:r>
      <w:r w:rsidRPr="00AD5777">
        <w:rPr>
          <w:rFonts w:ascii="Arial" w:hAnsi="Arial" w:cs="Arial"/>
          <w:sz w:val="22"/>
          <w:szCs w:val="22"/>
        </w:rPr>
        <w:t>While the prevalence of</w:t>
      </w:r>
      <w:r w:rsidRPr="00336402">
        <w:rPr>
          <w:rFonts w:ascii="Arial" w:hAnsi="Arial" w:cs="Arial"/>
          <w:sz w:val="22"/>
          <w:szCs w:val="22"/>
        </w:rPr>
        <w:t xml:space="preserve"> these </w:t>
      </w:r>
      <w:r w:rsidRPr="00AD5777">
        <w:rPr>
          <w:rFonts w:ascii="Arial" w:hAnsi="Arial" w:cs="Arial"/>
          <w:sz w:val="22"/>
          <w:szCs w:val="22"/>
        </w:rPr>
        <w:t>model</w:t>
      </w:r>
      <w:r w:rsidRPr="00336402">
        <w:rPr>
          <w:rFonts w:ascii="Arial" w:hAnsi="Arial" w:cs="Arial"/>
          <w:sz w:val="22"/>
          <w:szCs w:val="22"/>
        </w:rPr>
        <w:t xml:space="preserve"> </w:t>
      </w:r>
      <w:r w:rsidRPr="00AD5777">
        <w:rPr>
          <w:rFonts w:ascii="Arial" w:hAnsi="Arial" w:cs="Arial"/>
          <w:sz w:val="22"/>
          <w:szCs w:val="22"/>
        </w:rPr>
        <w:t>professions</w:t>
      </w:r>
      <w:r w:rsidRPr="00336402">
        <w:rPr>
          <w:rFonts w:ascii="Arial" w:hAnsi="Arial" w:cs="Arial"/>
          <w:sz w:val="22"/>
          <w:szCs w:val="22"/>
        </w:rPr>
        <w:t xml:space="preserve"> </w:t>
      </w:r>
      <w:r w:rsidRPr="00AD5777">
        <w:rPr>
          <w:rFonts w:ascii="Arial" w:hAnsi="Arial" w:cs="Arial"/>
          <w:sz w:val="22"/>
          <w:szCs w:val="22"/>
        </w:rPr>
        <w:t>among this group is often attributed to parental expectations</w:t>
      </w:r>
      <w:r w:rsidRPr="00336402">
        <w:rPr>
          <w:rFonts w:ascii="Arial" w:hAnsi="Arial" w:cs="Arial"/>
          <w:sz w:val="22"/>
          <w:szCs w:val="22"/>
        </w:rPr>
        <w:t xml:space="preserve"> (Froiland &amp; Davison</w:t>
      </w:r>
      <w:r w:rsidRPr="00AD5777">
        <w:rPr>
          <w:rFonts w:ascii="Arial" w:hAnsi="Arial" w:cs="Arial"/>
          <w:sz w:val="22"/>
          <w:szCs w:val="22"/>
        </w:rPr>
        <w:t>,</w:t>
      </w:r>
      <w:r w:rsidRPr="00336402">
        <w:rPr>
          <w:rFonts w:ascii="Arial" w:hAnsi="Arial" w:cs="Arial"/>
          <w:sz w:val="22"/>
          <w:szCs w:val="22"/>
        </w:rPr>
        <w:t xml:space="preserve"> 2013</w:t>
      </w:r>
      <w:r w:rsidR="00336402" w:rsidRPr="00336402">
        <w:rPr>
          <w:rFonts w:ascii="Arial" w:hAnsi="Arial" w:cs="Arial"/>
          <w:sz w:val="22"/>
          <w:szCs w:val="22"/>
        </w:rPr>
        <w:t>; Leong &amp; Tang, 2016</w:t>
      </w:r>
      <w:r w:rsidRPr="00336402">
        <w:rPr>
          <w:rFonts w:ascii="Arial" w:hAnsi="Arial" w:cs="Arial"/>
          <w:sz w:val="22"/>
          <w:szCs w:val="22"/>
        </w:rPr>
        <w:t>)</w:t>
      </w:r>
      <w:r w:rsidR="00336402" w:rsidRPr="00336402">
        <w:rPr>
          <w:rFonts w:ascii="Arial" w:hAnsi="Arial" w:cs="Arial"/>
          <w:sz w:val="22"/>
          <w:szCs w:val="22"/>
        </w:rPr>
        <w:t>,</w:t>
      </w:r>
      <w:r w:rsidRPr="00AD5777">
        <w:rPr>
          <w:rFonts w:ascii="Arial" w:hAnsi="Arial" w:cs="Arial"/>
          <w:sz w:val="22"/>
          <w:szCs w:val="22"/>
        </w:rPr>
        <w:t xml:space="preserve"> less attention has been paid to how these choices are negotiated, internalised, and ultimately connected to identity formation.</w:t>
      </w:r>
    </w:p>
    <w:p w14:paraId="371660CA" w14:textId="51BF89D4" w:rsidR="00AD5777" w:rsidRPr="00AD5777" w:rsidRDefault="00336402" w:rsidP="00AD5777">
      <w:pPr>
        <w:rPr>
          <w:rFonts w:ascii="Arial" w:hAnsi="Arial" w:cs="Arial"/>
          <w:sz w:val="22"/>
          <w:szCs w:val="22"/>
        </w:rPr>
      </w:pPr>
      <w:r w:rsidRPr="00336402">
        <w:rPr>
          <w:rFonts w:ascii="Arial" w:hAnsi="Arial" w:cs="Arial"/>
          <w:sz w:val="22"/>
          <w:szCs w:val="22"/>
        </w:rPr>
        <w:t>Using</w:t>
      </w:r>
      <w:r w:rsidR="00AD5777" w:rsidRPr="00AD5777">
        <w:rPr>
          <w:rFonts w:ascii="Arial" w:hAnsi="Arial" w:cs="Arial"/>
          <w:sz w:val="22"/>
          <w:szCs w:val="22"/>
        </w:rPr>
        <w:t xml:space="preserve"> the Systems Theory Framework </w:t>
      </w:r>
      <w:r w:rsidRPr="00336402">
        <w:rPr>
          <w:rFonts w:ascii="Arial" w:hAnsi="Arial" w:cs="Arial"/>
          <w:sz w:val="22"/>
          <w:szCs w:val="22"/>
        </w:rPr>
        <w:t>(</w:t>
      </w:r>
      <w:r w:rsidR="00AD5777" w:rsidRPr="00AD5777">
        <w:rPr>
          <w:rFonts w:ascii="Arial" w:hAnsi="Arial" w:cs="Arial"/>
          <w:sz w:val="22"/>
          <w:szCs w:val="22"/>
        </w:rPr>
        <w:t xml:space="preserve">Patton </w:t>
      </w:r>
      <w:r w:rsidRPr="00336402">
        <w:rPr>
          <w:rFonts w:ascii="Arial" w:hAnsi="Arial" w:cs="Arial"/>
          <w:sz w:val="22"/>
          <w:szCs w:val="22"/>
        </w:rPr>
        <w:t>&amp;</w:t>
      </w:r>
      <w:r w:rsidR="00AD5777" w:rsidRPr="00AD5777">
        <w:rPr>
          <w:rFonts w:ascii="Arial" w:hAnsi="Arial" w:cs="Arial"/>
          <w:sz w:val="22"/>
          <w:szCs w:val="22"/>
        </w:rPr>
        <w:t xml:space="preserve"> McMahon</w:t>
      </w:r>
      <w:r w:rsidRPr="00336402">
        <w:rPr>
          <w:rFonts w:ascii="Arial" w:hAnsi="Arial" w:cs="Arial"/>
          <w:sz w:val="22"/>
          <w:szCs w:val="22"/>
        </w:rPr>
        <w:t>, 2021)</w:t>
      </w:r>
      <w:r w:rsidR="00AD5777" w:rsidRPr="00AD5777">
        <w:rPr>
          <w:rFonts w:ascii="Arial" w:hAnsi="Arial" w:cs="Arial"/>
          <w:sz w:val="22"/>
          <w:szCs w:val="22"/>
        </w:rPr>
        <w:t xml:space="preserve"> and Social Identity Theory </w:t>
      </w:r>
      <w:r w:rsidR="00F47405">
        <w:rPr>
          <w:rFonts w:ascii="Arial" w:hAnsi="Arial" w:cs="Arial"/>
          <w:sz w:val="22"/>
          <w:szCs w:val="22"/>
        </w:rPr>
        <w:t>(Ta</w:t>
      </w:r>
      <w:r w:rsidR="00AD5777" w:rsidRPr="00AD5777">
        <w:rPr>
          <w:rFonts w:ascii="Arial" w:hAnsi="Arial" w:cs="Arial"/>
          <w:sz w:val="22"/>
          <w:szCs w:val="22"/>
        </w:rPr>
        <w:t xml:space="preserve">jfel </w:t>
      </w:r>
      <w:r w:rsidR="00F47405">
        <w:rPr>
          <w:rFonts w:ascii="Arial" w:hAnsi="Arial" w:cs="Arial"/>
          <w:sz w:val="22"/>
          <w:szCs w:val="22"/>
        </w:rPr>
        <w:t>&amp;</w:t>
      </w:r>
      <w:r w:rsidR="00AD5777" w:rsidRPr="00AD5777">
        <w:rPr>
          <w:rFonts w:ascii="Arial" w:hAnsi="Arial" w:cs="Arial"/>
          <w:sz w:val="22"/>
          <w:szCs w:val="22"/>
        </w:rPr>
        <w:t>Turner</w:t>
      </w:r>
      <w:r w:rsidR="00F47405">
        <w:rPr>
          <w:rFonts w:ascii="Arial" w:hAnsi="Arial" w:cs="Arial"/>
          <w:sz w:val="22"/>
          <w:szCs w:val="22"/>
        </w:rPr>
        <w:t xml:space="preserve"> 1979)</w:t>
      </w:r>
      <w:r w:rsidR="00AD5777" w:rsidRPr="00AD5777">
        <w:rPr>
          <w:rFonts w:ascii="Arial" w:hAnsi="Arial" w:cs="Arial"/>
          <w:sz w:val="22"/>
          <w:szCs w:val="22"/>
        </w:rPr>
        <w:t xml:space="preserve">, this research examines the complex interplay between individual aspirations, familial expectations, and broader community influences in career decision-making. The study aims to address </w:t>
      </w:r>
      <w:r>
        <w:rPr>
          <w:rFonts w:ascii="Arial" w:hAnsi="Arial" w:cs="Arial"/>
          <w:sz w:val="22"/>
          <w:szCs w:val="22"/>
        </w:rPr>
        <w:t>two</w:t>
      </w:r>
      <w:r w:rsidR="00AD5777" w:rsidRPr="00AD5777">
        <w:rPr>
          <w:rFonts w:ascii="Arial" w:hAnsi="Arial" w:cs="Arial"/>
          <w:sz w:val="22"/>
          <w:szCs w:val="22"/>
        </w:rPr>
        <w:t xml:space="preserve"> questions: 1) To what extent are career choices driven by personal interest versus external expectations? </w:t>
      </w:r>
      <w:r>
        <w:rPr>
          <w:rFonts w:ascii="Arial" w:hAnsi="Arial" w:cs="Arial"/>
          <w:sz w:val="22"/>
          <w:szCs w:val="22"/>
        </w:rPr>
        <w:t>2</w:t>
      </w:r>
      <w:r w:rsidR="00AD5777" w:rsidRPr="00AD5777">
        <w:rPr>
          <w:rFonts w:ascii="Arial" w:hAnsi="Arial" w:cs="Arial"/>
          <w:sz w:val="22"/>
          <w:szCs w:val="22"/>
        </w:rPr>
        <w:t xml:space="preserve">) How do these </w:t>
      </w:r>
      <w:r w:rsidR="00F47405">
        <w:rPr>
          <w:rFonts w:ascii="Arial" w:hAnsi="Arial" w:cs="Arial"/>
          <w:sz w:val="22"/>
          <w:szCs w:val="22"/>
        </w:rPr>
        <w:t>career pathways or achievements</w:t>
      </w:r>
      <w:r w:rsidR="00AD5777" w:rsidRPr="00AD5777">
        <w:rPr>
          <w:rFonts w:ascii="Arial" w:hAnsi="Arial" w:cs="Arial"/>
          <w:sz w:val="22"/>
          <w:szCs w:val="22"/>
        </w:rPr>
        <w:t xml:space="preserve"> influence the individuals’ sense of cultural identity?</w:t>
      </w:r>
    </w:p>
    <w:p w14:paraId="708BE7EB" w14:textId="77777777" w:rsidR="00AD5777" w:rsidRPr="00AD5777" w:rsidRDefault="00AD5777" w:rsidP="00AD5777">
      <w:pPr>
        <w:rPr>
          <w:rFonts w:ascii="Arial" w:hAnsi="Arial" w:cs="Arial"/>
          <w:sz w:val="22"/>
          <w:szCs w:val="22"/>
        </w:rPr>
      </w:pPr>
      <w:r w:rsidRPr="00AD5777">
        <w:rPr>
          <w:rFonts w:ascii="Arial" w:hAnsi="Arial" w:cs="Arial"/>
          <w:sz w:val="22"/>
          <w:szCs w:val="22"/>
        </w:rPr>
        <w:t>Adopting a qualitative approach, this study draws on semi-structured, in-depth interviews with five second-generation Chinese participants of varying ages and professional backgrounds in New Zealand. The interviews facilitated rich, reflective accounts of participants’ educational and career trajectories, family dynamics, and identity negotiations over time. Data were analysed thematically, with attention to both individual narratives and shared patterns across cases.</w:t>
      </w:r>
    </w:p>
    <w:p w14:paraId="424D0799" w14:textId="77777777" w:rsidR="00AD5777" w:rsidRPr="00AD5777" w:rsidRDefault="00AD5777" w:rsidP="00AD5777">
      <w:pPr>
        <w:rPr>
          <w:rFonts w:ascii="Arial" w:hAnsi="Arial" w:cs="Arial"/>
          <w:sz w:val="22"/>
          <w:szCs w:val="22"/>
        </w:rPr>
      </w:pPr>
      <w:r w:rsidRPr="00AD5777">
        <w:rPr>
          <w:rFonts w:ascii="Arial" w:hAnsi="Arial" w:cs="Arial"/>
          <w:sz w:val="22"/>
          <w:szCs w:val="22"/>
        </w:rPr>
        <w:t xml:space="preserve">The findings challenge a simplistic interpretation of career choice as primarily shaped by parental pressure. While parental expectations remain influential, participants’ decisions are more accurately understood as embedded within a broader sociocultural ecosystem. Notably, the presence of successful Chinese role models within local communities emerged as a significant factor, reinforcing certain career pathways as both desirable and attainable. These community-level influences often operate subtly, normalising </w:t>
      </w:r>
      <w:proofErr w:type="gramStart"/>
      <w:r w:rsidRPr="00AD5777">
        <w:rPr>
          <w:rFonts w:ascii="Arial" w:hAnsi="Arial" w:cs="Arial"/>
          <w:sz w:val="22"/>
          <w:szCs w:val="22"/>
        </w:rPr>
        <w:t>particular professions</w:t>
      </w:r>
      <w:proofErr w:type="gramEnd"/>
      <w:r w:rsidRPr="00AD5777">
        <w:rPr>
          <w:rFonts w:ascii="Arial" w:hAnsi="Arial" w:cs="Arial"/>
          <w:sz w:val="22"/>
          <w:szCs w:val="22"/>
        </w:rPr>
        <w:t xml:space="preserve"> and shaping perceptions of success without direct coercion.</w:t>
      </w:r>
    </w:p>
    <w:p w14:paraId="202961B5" w14:textId="7388FD91" w:rsidR="00AD5777" w:rsidRPr="00AD5777" w:rsidRDefault="00AD5777" w:rsidP="00AD5777">
      <w:pPr>
        <w:rPr>
          <w:rFonts w:ascii="Arial" w:hAnsi="Arial" w:cs="Arial"/>
          <w:sz w:val="22"/>
          <w:szCs w:val="22"/>
        </w:rPr>
      </w:pPr>
      <w:r w:rsidRPr="00AD5777">
        <w:rPr>
          <w:rFonts w:ascii="Arial" w:hAnsi="Arial" w:cs="Arial"/>
          <w:sz w:val="22"/>
          <w:szCs w:val="22"/>
        </w:rPr>
        <w:t>Furthermore, the study reveals that career choice serves not only as an outcome of identity negotiation but also as an active contributor to identity construction. Participants reported that achieving success in culturally valued fields</w:t>
      </w:r>
      <w:r w:rsidR="00336402">
        <w:rPr>
          <w:rFonts w:ascii="Arial" w:hAnsi="Arial" w:cs="Arial"/>
          <w:sz w:val="22"/>
          <w:szCs w:val="22"/>
        </w:rPr>
        <w:t xml:space="preserve">, </w:t>
      </w:r>
      <w:r w:rsidRPr="00AD5777">
        <w:rPr>
          <w:rFonts w:ascii="Arial" w:hAnsi="Arial" w:cs="Arial"/>
          <w:sz w:val="22"/>
          <w:szCs w:val="22"/>
        </w:rPr>
        <w:t>such as science, business, or other high-status professions</w:t>
      </w:r>
      <w:r w:rsidR="00336402">
        <w:rPr>
          <w:rFonts w:ascii="Arial" w:hAnsi="Arial" w:cs="Arial"/>
          <w:sz w:val="22"/>
          <w:szCs w:val="22"/>
        </w:rPr>
        <w:t xml:space="preserve">, </w:t>
      </w:r>
      <w:r w:rsidRPr="00AD5777">
        <w:rPr>
          <w:rFonts w:ascii="Arial" w:hAnsi="Arial" w:cs="Arial"/>
          <w:sz w:val="22"/>
          <w:szCs w:val="22"/>
        </w:rPr>
        <w:t>enhanced their sense of belonging to the Chinese community. In some cases, professional identity functioned as a more salient marker of “Chineseness” than traditional cultural indicators such as language proficiency or daily cultural practices. This suggests a shift from heritage-based to achievement-based expressions of cultural identity among second-generation individuals.</w:t>
      </w:r>
    </w:p>
    <w:p w14:paraId="3E719AB5" w14:textId="7BE687BB" w:rsidR="00336402" w:rsidRPr="00AD5777" w:rsidRDefault="00AD5777" w:rsidP="00AD5777">
      <w:pPr>
        <w:rPr>
          <w:rFonts w:ascii="Arial" w:hAnsi="Arial" w:cs="Arial"/>
          <w:sz w:val="22"/>
          <w:szCs w:val="22"/>
        </w:rPr>
      </w:pPr>
      <w:r w:rsidRPr="00AD5777">
        <w:rPr>
          <w:rFonts w:ascii="Arial" w:hAnsi="Arial" w:cs="Arial"/>
          <w:sz w:val="22"/>
          <w:szCs w:val="22"/>
        </w:rPr>
        <w:t xml:space="preserve">Overall, this study contributes to a more nuanced understanding of career development and identity formation in migrant contexts. By situating individual choices within intersecting systems of influence, it underscores the importance of community dynamics and social identity processes in shaping both career </w:t>
      </w:r>
      <w:r w:rsidR="00336402">
        <w:rPr>
          <w:rFonts w:ascii="Arial" w:hAnsi="Arial" w:cs="Arial"/>
          <w:sz w:val="22"/>
          <w:szCs w:val="22"/>
        </w:rPr>
        <w:t>pathways</w:t>
      </w:r>
      <w:r w:rsidRPr="00AD5777">
        <w:rPr>
          <w:rFonts w:ascii="Arial" w:hAnsi="Arial" w:cs="Arial"/>
          <w:sz w:val="22"/>
          <w:szCs w:val="22"/>
        </w:rPr>
        <w:t xml:space="preserve"> and cultural belonging. The findings have implications for educators, career practitioners, and policymakers seeking to support diverse student populations in making authentic and fulfilling career decisions.</w:t>
      </w:r>
    </w:p>
    <w:p w14:paraId="771589D8" w14:textId="5A7A7DCA" w:rsidR="002739E7" w:rsidRDefault="00AD5777">
      <w:pPr>
        <w:rPr>
          <w:rFonts w:ascii="Arial" w:hAnsi="Arial" w:cs="Arial"/>
          <w:sz w:val="22"/>
          <w:szCs w:val="22"/>
        </w:rPr>
      </w:pPr>
      <w:r w:rsidRPr="00F47405">
        <w:rPr>
          <w:rFonts w:ascii="Arial" w:hAnsi="Arial" w:cs="Arial"/>
          <w:b/>
          <w:bCs/>
          <w:sz w:val="22"/>
          <w:szCs w:val="22"/>
        </w:rPr>
        <w:lastRenderedPageBreak/>
        <w:t>Key words:</w:t>
      </w:r>
      <w:r w:rsidRPr="00336402">
        <w:rPr>
          <w:rFonts w:ascii="Arial" w:hAnsi="Arial" w:cs="Arial"/>
          <w:sz w:val="22"/>
          <w:szCs w:val="22"/>
        </w:rPr>
        <w:t xml:space="preserve"> </w:t>
      </w:r>
      <w:r w:rsidR="00336402">
        <w:rPr>
          <w:rFonts w:ascii="Arial" w:hAnsi="Arial" w:cs="Arial"/>
          <w:sz w:val="22"/>
          <w:szCs w:val="22"/>
        </w:rPr>
        <w:t>Chinese immigrants, career choices, social identity</w:t>
      </w:r>
    </w:p>
    <w:p w14:paraId="5229828A" w14:textId="77777777" w:rsidR="00627227" w:rsidRDefault="00627227">
      <w:pPr>
        <w:rPr>
          <w:rFonts w:ascii="Arial" w:hAnsi="Arial" w:cs="Arial"/>
          <w:sz w:val="22"/>
          <w:szCs w:val="22"/>
        </w:rPr>
      </w:pPr>
    </w:p>
    <w:p w14:paraId="274BE636" w14:textId="1D96F88E" w:rsidR="00B0190B" w:rsidRPr="00F47405" w:rsidRDefault="00B0190B" w:rsidP="00F47405">
      <w:pPr>
        <w:jc w:val="center"/>
        <w:rPr>
          <w:rFonts w:ascii="Arial" w:hAnsi="Arial" w:cs="Arial"/>
          <w:b/>
          <w:bCs/>
          <w:sz w:val="22"/>
          <w:szCs w:val="22"/>
        </w:rPr>
      </w:pPr>
      <w:r w:rsidRPr="00F47405">
        <w:rPr>
          <w:rFonts w:ascii="Arial" w:hAnsi="Arial" w:cs="Arial"/>
          <w:b/>
          <w:bCs/>
          <w:sz w:val="22"/>
          <w:szCs w:val="22"/>
        </w:rPr>
        <w:t>Bibliography</w:t>
      </w:r>
    </w:p>
    <w:p w14:paraId="4F4FF0BC" w14:textId="77777777" w:rsidR="00F47405" w:rsidRPr="00F47405" w:rsidRDefault="00F47405" w:rsidP="00F47405">
      <w:pPr>
        <w:ind w:left="720" w:hanging="720"/>
        <w:rPr>
          <w:rFonts w:ascii="Arial" w:hAnsi="Arial" w:cs="Arial"/>
          <w:sz w:val="22"/>
          <w:szCs w:val="22"/>
          <w:lang w:val="en-US"/>
        </w:rPr>
      </w:pPr>
      <w:r w:rsidRPr="00F47405">
        <w:rPr>
          <w:rFonts w:ascii="Arial" w:hAnsi="Arial" w:cs="Arial"/>
          <w:sz w:val="22"/>
          <w:szCs w:val="22"/>
          <w:lang w:val="en-US"/>
        </w:rPr>
        <w:t xml:space="preserve">Froiland, J. M., &amp; Davison, M. L. (2013). Parental expectations and school relationships as contributors to adolescents’ positive outcomes. </w:t>
      </w:r>
      <w:r w:rsidRPr="00F47405">
        <w:rPr>
          <w:rFonts w:ascii="Arial" w:hAnsi="Arial" w:cs="Arial"/>
          <w:i/>
          <w:iCs/>
          <w:sz w:val="22"/>
          <w:szCs w:val="22"/>
          <w:lang w:val="en-US"/>
        </w:rPr>
        <w:t>Social Psychology of Education, 17</w:t>
      </w:r>
      <w:r w:rsidRPr="00F47405">
        <w:rPr>
          <w:rFonts w:ascii="Arial" w:hAnsi="Arial" w:cs="Arial"/>
          <w:sz w:val="22"/>
          <w:szCs w:val="22"/>
          <w:lang w:val="en-US"/>
        </w:rPr>
        <w:t xml:space="preserve">(1), 1–17. https://doi.org/10.1 007/s11218-013-9237-3 </w:t>
      </w:r>
    </w:p>
    <w:p w14:paraId="3D357CDC" w14:textId="44E39F26" w:rsidR="00F47405" w:rsidRDefault="00F47405" w:rsidP="00F47405">
      <w:pPr>
        <w:ind w:left="720" w:hanging="720"/>
        <w:rPr>
          <w:rFonts w:ascii="Arial" w:hAnsi="Arial" w:cs="Arial"/>
          <w:sz w:val="22"/>
          <w:szCs w:val="22"/>
          <w:lang w:val="en-US"/>
        </w:rPr>
      </w:pPr>
      <w:r w:rsidRPr="00F47405">
        <w:rPr>
          <w:rFonts w:ascii="Arial" w:hAnsi="Arial" w:cs="Arial"/>
          <w:sz w:val="22"/>
          <w:szCs w:val="22"/>
          <w:lang w:val="en-US"/>
        </w:rPr>
        <w:t xml:space="preserve">Leong, F. T. L., &amp; Tang, M. (2016). Career barriers for Chinese immigrants in the United States. </w:t>
      </w:r>
      <w:r w:rsidRPr="00F47405">
        <w:rPr>
          <w:rFonts w:ascii="Arial" w:hAnsi="Arial" w:cs="Arial"/>
          <w:i/>
          <w:iCs/>
          <w:sz w:val="22"/>
          <w:szCs w:val="22"/>
          <w:lang w:val="en-US"/>
        </w:rPr>
        <w:t>The Career Development Quarterly, 64</w:t>
      </w:r>
      <w:r w:rsidRPr="00F47405">
        <w:rPr>
          <w:rFonts w:ascii="Arial" w:hAnsi="Arial" w:cs="Arial"/>
          <w:sz w:val="22"/>
          <w:szCs w:val="22"/>
          <w:lang w:val="en-US"/>
        </w:rPr>
        <w:t xml:space="preserve">(3), 259–271. https://doi.org/10.1002/cdq.12059 </w:t>
      </w:r>
    </w:p>
    <w:p w14:paraId="2F412ACE" w14:textId="00515562" w:rsidR="00F47405" w:rsidRPr="00F47405" w:rsidRDefault="00F47405" w:rsidP="00F47405">
      <w:pPr>
        <w:ind w:left="720" w:hanging="720"/>
        <w:rPr>
          <w:rFonts w:ascii="Arial" w:hAnsi="Arial" w:cs="Arial"/>
          <w:sz w:val="22"/>
          <w:szCs w:val="22"/>
          <w:lang w:val="en-US"/>
        </w:rPr>
      </w:pPr>
      <w:r w:rsidRPr="00F47405">
        <w:rPr>
          <w:rFonts w:ascii="Arial" w:hAnsi="Arial" w:cs="Arial"/>
          <w:sz w:val="22"/>
          <w:szCs w:val="22"/>
          <w:lang w:val="en-US"/>
        </w:rPr>
        <w:t xml:space="preserve">Patton, W., &amp; McMahon, M. (2021). Career development and systems theory: Connecting theory and practice. In </w:t>
      </w:r>
      <w:r w:rsidRPr="00F47405">
        <w:rPr>
          <w:rFonts w:ascii="Arial" w:hAnsi="Arial" w:cs="Arial"/>
          <w:i/>
          <w:iCs/>
          <w:sz w:val="22"/>
          <w:szCs w:val="22"/>
          <w:lang w:val="en-US"/>
        </w:rPr>
        <w:t>Career Development and Systems Theory</w:t>
      </w:r>
      <w:r w:rsidRPr="00F47405">
        <w:rPr>
          <w:rFonts w:ascii="Arial" w:hAnsi="Arial" w:cs="Arial"/>
          <w:sz w:val="22"/>
          <w:szCs w:val="22"/>
          <w:lang w:val="en-US"/>
        </w:rPr>
        <w:t xml:space="preserve">. Brill. </w:t>
      </w:r>
    </w:p>
    <w:p w14:paraId="09A55601" w14:textId="43CA268B" w:rsidR="00B0190B" w:rsidRDefault="00F47405" w:rsidP="00F47405">
      <w:pPr>
        <w:ind w:left="720" w:hanging="720"/>
        <w:rPr>
          <w:rFonts w:ascii="Arial" w:hAnsi="Arial" w:cs="Arial"/>
          <w:sz w:val="22"/>
          <w:szCs w:val="22"/>
        </w:rPr>
      </w:pPr>
      <w:r w:rsidRPr="00F47405">
        <w:rPr>
          <w:rFonts w:ascii="Arial" w:hAnsi="Arial" w:cs="Arial"/>
          <w:sz w:val="22"/>
          <w:szCs w:val="22"/>
        </w:rPr>
        <w:t xml:space="preserve">Tajfel, H., &amp; Turner, J. C. (1979). An integrative theory of inter-group conflict. In W. G. </w:t>
      </w:r>
      <w:proofErr w:type="gramStart"/>
      <w:r w:rsidRPr="00F47405">
        <w:rPr>
          <w:rFonts w:ascii="Arial" w:hAnsi="Arial" w:cs="Arial"/>
          <w:sz w:val="22"/>
          <w:szCs w:val="22"/>
        </w:rPr>
        <w:t xml:space="preserve">Austin </w:t>
      </w:r>
      <w:r>
        <w:rPr>
          <w:rFonts w:ascii="Arial" w:hAnsi="Arial" w:cs="Arial"/>
          <w:sz w:val="22"/>
          <w:szCs w:val="22"/>
        </w:rPr>
        <w:t xml:space="preserve"> </w:t>
      </w:r>
      <w:r w:rsidRPr="00F47405">
        <w:rPr>
          <w:rFonts w:ascii="Arial" w:hAnsi="Arial" w:cs="Arial"/>
          <w:sz w:val="22"/>
          <w:szCs w:val="22"/>
        </w:rPr>
        <w:t>&amp;</w:t>
      </w:r>
      <w:proofErr w:type="gramEnd"/>
      <w:r w:rsidRPr="00F47405">
        <w:rPr>
          <w:rFonts w:ascii="Arial" w:hAnsi="Arial" w:cs="Arial"/>
          <w:sz w:val="22"/>
          <w:szCs w:val="22"/>
        </w:rPr>
        <w:t xml:space="preserve"> S. </w:t>
      </w:r>
      <w:proofErr w:type="spellStart"/>
      <w:r w:rsidRPr="00F47405">
        <w:rPr>
          <w:rFonts w:ascii="Arial" w:hAnsi="Arial" w:cs="Arial"/>
          <w:sz w:val="22"/>
          <w:szCs w:val="22"/>
        </w:rPr>
        <w:t>Worchel</w:t>
      </w:r>
      <w:proofErr w:type="spellEnd"/>
      <w:r w:rsidRPr="00F47405">
        <w:rPr>
          <w:rFonts w:ascii="Arial" w:hAnsi="Arial" w:cs="Arial"/>
          <w:sz w:val="22"/>
          <w:szCs w:val="22"/>
        </w:rPr>
        <w:t xml:space="preserve"> (Eds.), </w:t>
      </w:r>
      <w:r w:rsidRPr="00F47405">
        <w:rPr>
          <w:rFonts w:ascii="Arial" w:hAnsi="Arial" w:cs="Arial"/>
          <w:i/>
          <w:iCs/>
          <w:sz w:val="22"/>
          <w:szCs w:val="22"/>
        </w:rPr>
        <w:t>The social psychology of inter-group relations</w:t>
      </w:r>
      <w:r w:rsidRPr="00F47405">
        <w:rPr>
          <w:rFonts w:ascii="Arial" w:hAnsi="Arial" w:cs="Arial"/>
          <w:sz w:val="22"/>
          <w:szCs w:val="22"/>
        </w:rPr>
        <w:t> (pp. 33–47). Monterey, CA: Brooks/Cole.</w:t>
      </w:r>
    </w:p>
    <w:p w14:paraId="5A1CCAA5" w14:textId="77777777" w:rsidR="00F47405" w:rsidRPr="00336402" w:rsidRDefault="00F47405" w:rsidP="00F47405">
      <w:pPr>
        <w:ind w:left="720" w:hanging="720"/>
        <w:rPr>
          <w:rFonts w:ascii="Arial" w:hAnsi="Arial" w:cs="Arial"/>
          <w:sz w:val="22"/>
          <w:szCs w:val="22"/>
        </w:rPr>
      </w:pPr>
    </w:p>
    <w:sectPr w:rsidR="00F47405" w:rsidRPr="003364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777"/>
    <w:rsid w:val="002739E7"/>
    <w:rsid w:val="00336402"/>
    <w:rsid w:val="005C1AB7"/>
    <w:rsid w:val="00627227"/>
    <w:rsid w:val="009321D3"/>
    <w:rsid w:val="00AD5777"/>
    <w:rsid w:val="00B0190B"/>
    <w:rsid w:val="00BA0B85"/>
    <w:rsid w:val="00F47405"/>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36867"/>
  <w15:chartTrackingRefBased/>
  <w15:docId w15:val="{1E13FC3D-A5F2-44CE-A7A3-10C44534F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7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7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7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7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7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7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7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7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7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7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7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7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7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7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7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7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7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777"/>
    <w:rPr>
      <w:rFonts w:eastAsiaTheme="majorEastAsia" w:cstheme="majorBidi"/>
      <w:color w:val="272727" w:themeColor="text1" w:themeTint="D8"/>
    </w:rPr>
  </w:style>
  <w:style w:type="paragraph" w:styleId="Title">
    <w:name w:val="Title"/>
    <w:basedOn w:val="Normal"/>
    <w:next w:val="Normal"/>
    <w:link w:val="TitleChar"/>
    <w:uiPriority w:val="10"/>
    <w:qFormat/>
    <w:rsid w:val="00AD57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7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7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7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777"/>
    <w:pPr>
      <w:spacing w:before="160"/>
      <w:jc w:val="center"/>
    </w:pPr>
    <w:rPr>
      <w:i/>
      <w:iCs/>
      <w:color w:val="404040" w:themeColor="text1" w:themeTint="BF"/>
    </w:rPr>
  </w:style>
  <w:style w:type="character" w:customStyle="1" w:styleId="QuoteChar">
    <w:name w:val="Quote Char"/>
    <w:basedOn w:val="DefaultParagraphFont"/>
    <w:link w:val="Quote"/>
    <w:uiPriority w:val="29"/>
    <w:rsid w:val="00AD5777"/>
    <w:rPr>
      <w:i/>
      <w:iCs/>
      <w:color w:val="404040" w:themeColor="text1" w:themeTint="BF"/>
    </w:rPr>
  </w:style>
  <w:style w:type="paragraph" w:styleId="ListParagraph">
    <w:name w:val="List Paragraph"/>
    <w:basedOn w:val="Normal"/>
    <w:uiPriority w:val="34"/>
    <w:qFormat/>
    <w:rsid w:val="00AD5777"/>
    <w:pPr>
      <w:ind w:left="720"/>
      <w:contextualSpacing/>
    </w:pPr>
  </w:style>
  <w:style w:type="character" w:styleId="IntenseEmphasis">
    <w:name w:val="Intense Emphasis"/>
    <w:basedOn w:val="DefaultParagraphFont"/>
    <w:uiPriority w:val="21"/>
    <w:qFormat/>
    <w:rsid w:val="00AD5777"/>
    <w:rPr>
      <w:i/>
      <w:iCs/>
      <w:color w:val="0F4761" w:themeColor="accent1" w:themeShade="BF"/>
    </w:rPr>
  </w:style>
  <w:style w:type="paragraph" w:styleId="IntenseQuote">
    <w:name w:val="Intense Quote"/>
    <w:basedOn w:val="Normal"/>
    <w:next w:val="Normal"/>
    <w:link w:val="IntenseQuoteChar"/>
    <w:uiPriority w:val="30"/>
    <w:qFormat/>
    <w:rsid w:val="00AD57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777"/>
    <w:rPr>
      <w:i/>
      <w:iCs/>
      <w:color w:val="0F4761" w:themeColor="accent1" w:themeShade="BF"/>
    </w:rPr>
  </w:style>
  <w:style w:type="character" w:styleId="IntenseReference">
    <w:name w:val="Intense Reference"/>
    <w:basedOn w:val="DefaultParagraphFont"/>
    <w:uiPriority w:val="32"/>
    <w:qFormat/>
    <w:rsid w:val="00AD57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578</Words>
  <Characters>3786</Characters>
  <Application>Microsoft Office Word</Application>
  <DocSecurity>0</DocSecurity>
  <Lines>59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Ting Yan</dc:creator>
  <cp:keywords/>
  <dc:description/>
  <cp:lastModifiedBy>Ting Yan</cp:lastModifiedBy>
  <cp:revision>2</cp:revision>
  <dcterms:created xsi:type="dcterms:W3CDTF">2026-04-16T08:48:00Z</dcterms:created>
  <dcterms:modified xsi:type="dcterms:W3CDTF">2026-04-16T09:26:00Z</dcterms:modified>
</cp:coreProperties>
</file>