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38429" w14:textId="23ED33DF" w:rsidR="000740A1" w:rsidRPr="006F62D3" w:rsidRDefault="0C399727" w:rsidP="006F62D3">
      <w:pPr>
        <w:spacing w:before="30" w:after="30"/>
        <w:jc w:val="center"/>
        <w:rPr>
          <w:sz w:val="22"/>
          <w:szCs w:val="22"/>
        </w:rPr>
      </w:pPr>
      <w:r w:rsidRPr="006F62D3">
        <w:rPr>
          <w:rFonts w:ascii="Calibri" w:eastAsia="Calibri" w:hAnsi="Calibri" w:cs="Calibri"/>
          <w:b/>
          <w:bCs/>
          <w:sz w:val="22"/>
          <w:szCs w:val="22"/>
        </w:rPr>
        <w:t>Proposal Title</w:t>
      </w:r>
      <w:r w:rsidR="00000000" w:rsidRPr="006F62D3">
        <w:rPr>
          <w:sz w:val="22"/>
          <w:szCs w:val="22"/>
        </w:rPr>
        <w:br/>
      </w:r>
      <w:r w:rsidRPr="006F62D3">
        <w:rPr>
          <w:rFonts w:ascii="Calibri" w:eastAsia="Calibri" w:hAnsi="Calibri" w:cs="Calibri"/>
          <w:sz w:val="22"/>
          <w:szCs w:val="22"/>
        </w:rPr>
        <w:t xml:space="preserve"> </w:t>
      </w:r>
      <w:r w:rsidRPr="006F62D3">
        <w:rPr>
          <w:rFonts w:ascii="Calibri" w:eastAsia="Calibri" w:hAnsi="Calibri" w:cs="Calibri"/>
          <w:b/>
          <w:bCs/>
          <w:sz w:val="22"/>
          <w:szCs w:val="22"/>
        </w:rPr>
        <w:t>Indigenous Knowledge Through the Lens of Storytelling: Narrative Approaches to Pathways Navigation</w:t>
      </w:r>
    </w:p>
    <w:p w14:paraId="021E3567" w14:textId="260280AA" w:rsidR="000740A1" w:rsidRPr="006F62D3" w:rsidRDefault="0C399727" w:rsidP="006F62D3">
      <w:pPr>
        <w:spacing w:before="30" w:after="30"/>
        <w:rPr>
          <w:sz w:val="22"/>
          <w:szCs w:val="22"/>
        </w:rPr>
      </w:pPr>
      <w:r w:rsidRPr="006F62D3">
        <w:rPr>
          <w:rFonts w:ascii="Calibri" w:eastAsia="Calibri" w:hAnsi="Calibri" w:cs="Calibri"/>
          <w:b/>
          <w:bCs/>
          <w:sz w:val="22"/>
          <w:szCs w:val="22"/>
        </w:rPr>
        <w:t>Format</w:t>
      </w:r>
      <w:r w:rsidR="00000000" w:rsidRPr="006F62D3">
        <w:rPr>
          <w:sz w:val="22"/>
          <w:szCs w:val="22"/>
        </w:rPr>
        <w:br/>
      </w:r>
      <w:r w:rsidRPr="006F62D3">
        <w:rPr>
          <w:rFonts w:ascii="Calibri" w:eastAsia="Calibri" w:hAnsi="Calibri" w:cs="Calibri"/>
          <w:sz w:val="22"/>
          <w:szCs w:val="22"/>
        </w:rPr>
        <w:t xml:space="preserve"> 60-minute interactive workshop</w:t>
      </w:r>
      <w:r w:rsidR="00360E86" w:rsidRPr="006F62D3">
        <w:rPr>
          <w:rFonts w:ascii="Calibri" w:eastAsia="Calibri" w:hAnsi="Calibri" w:cs="Calibri"/>
          <w:sz w:val="22"/>
          <w:szCs w:val="22"/>
        </w:rPr>
        <w:t xml:space="preserve"> in English</w:t>
      </w:r>
      <w:r w:rsidR="006F62D3" w:rsidRPr="006F62D3">
        <w:rPr>
          <w:rFonts w:ascii="Calibri" w:eastAsia="Calibri" w:hAnsi="Calibri" w:cs="Calibri"/>
          <w:sz w:val="22"/>
          <w:szCs w:val="22"/>
        </w:rPr>
        <w:t>. Keywords: Indigenous, Storytelling, Narrative</w:t>
      </w:r>
    </w:p>
    <w:p w14:paraId="119AD439" w14:textId="2B1E5D26" w:rsidR="000740A1" w:rsidRPr="006F62D3" w:rsidRDefault="0C399727" w:rsidP="006F62D3">
      <w:pPr>
        <w:spacing w:before="30" w:after="30"/>
        <w:rPr>
          <w:sz w:val="22"/>
          <w:szCs w:val="22"/>
        </w:rPr>
      </w:pPr>
      <w:r w:rsidRPr="006F62D3">
        <w:rPr>
          <w:rFonts w:ascii="Calibri" w:eastAsia="Calibri" w:hAnsi="Calibri" w:cs="Calibri"/>
          <w:b/>
          <w:bCs/>
          <w:sz w:val="22"/>
          <w:szCs w:val="22"/>
        </w:rPr>
        <w:t>Abstract</w:t>
      </w:r>
      <w:r w:rsidR="00000000" w:rsidRPr="006F62D3">
        <w:rPr>
          <w:sz w:val="22"/>
          <w:szCs w:val="22"/>
        </w:rPr>
        <w:br/>
      </w:r>
      <w:r w:rsidRPr="006F62D3">
        <w:rPr>
          <w:rFonts w:ascii="Calibri" w:eastAsia="Calibri" w:hAnsi="Calibri" w:cs="Calibri"/>
          <w:sz w:val="22"/>
          <w:szCs w:val="22"/>
        </w:rPr>
        <w:t xml:space="preserve"> Te reo Māori is an oral language, and for generations knowledge has been carried through pūrākau, whakapapa, and kōrero. These narratives do more than preserve the past; they help people understand identity, belonging, and direction.</w:t>
      </w:r>
    </w:p>
    <w:p w14:paraId="0135050F" w14:textId="42653AE8" w:rsidR="000740A1" w:rsidRPr="006F62D3" w:rsidRDefault="0C399727" w:rsidP="006F62D3">
      <w:pPr>
        <w:spacing w:before="30" w:after="30"/>
        <w:rPr>
          <w:sz w:val="22"/>
          <w:szCs w:val="22"/>
        </w:rPr>
      </w:pPr>
      <w:r w:rsidRPr="006F62D3">
        <w:rPr>
          <w:rFonts w:ascii="Calibri" w:eastAsia="Calibri" w:hAnsi="Calibri" w:cs="Calibri"/>
          <w:sz w:val="22"/>
          <w:szCs w:val="22"/>
        </w:rPr>
        <w:t>This workshop explores how indigenous storytelling traditions can strengthen career and pathways practice. Grounded in Māori oral traditions, the stories of Māui, and Narrative Career Theory, it presents pathways navigation as a form of narrative wayfinding. Learners come to understand their futures by first understanding their stories.</w:t>
      </w:r>
    </w:p>
    <w:p w14:paraId="38495DD1" w14:textId="05FEF643" w:rsidR="000740A1" w:rsidRPr="006F62D3" w:rsidRDefault="0C399727" w:rsidP="006F62D3">
      <w:pPr>
        <w:spacing w:before="30" w:after="30"/>
        <w:rPr>
          <w:sz w:val="22"/>
          <w:szCs w:val="22"/>
        </w:rPr>
      </w:pPr>
      <w:r w:rsidRPr="006F62D3">
        <w:rPr>
          <w:rFonts w:ascii="Calibri" w:eastAsia="Calibri" w:hAnsi="Calibri" w:cs="Calibri"/>
          <w:sz w:val="22"/>
          <w:szCs w:val="22"/>
        </w:rPr>
        <w:t>Participants will explore how story can centre identity, culture, and wellbeing in pathways work, reflect on their own practice, and leave with practical strategies for using storytelling in culturally grounded and future-focused ways.</w:t>
      </w:r>
    </w:p>
    <w:p w14:paraId="5E1AB505" w14:textId="127025C7" w:rsidR="000740A1" w:rsidRPr="006F62D3" w:rsidRDefault="0C399727" w:rsidP="006F62D3">
      <w:pPr>
        <w:spacing w:before="30" w:after="30"/>
        <w:rPr>
          <w:sz w:val="22"/>
          <w:szCs w:val="22"/>
        </w:rPr>
      </w:pPr>
      <w:r w:rsidRPr="006F62D3">
        <w:rPr>
          <w:rFonts w:ascii="Calibri" w:eastAsia="Calibri" w:hAnsi="Calibri" w:cs="Calibri"/>
          <w:b/>
          <w:bCs/>
          <w:sz w:val="22"/>
          <w:szCs w:val="22"/>
        </w:rPr>
        <w:t>Rationale and Significance</w:t>
      </w:r>
      <w:r w:rsidR="00000000" w:rsidRPr="006F62D3">
        <w:rPr>
          <w:sz w:val="22"/>
          <w:szCs w:val="22"/>
        </w:rPr>
        <w:br/>
      </w:r>
      <w:r w:rsidRPr="006F62D3">
        <w:rPr>
          <w:rFonts w:ascii="Calibri" w:eastAsia="Calibri" w:hAnsi="Calibri" w:cs="Calibri"/>
          <w:sz w:val="22"/>
          <w:szCs w:val="22"/>
        </w:rPr>
        <w:t xml:space="preserve"> Mainstream career guidance often focuses on decision-making, matching, and choice. For many indigenous learners, this can feel disconnected from the ways identity and purpose are formed. Māori knowledge systems have long supported navigation through narrative:</w:t>
      </w:r>
    </w:p>
    <w:p w14:paraId="466397AB" w14:textId="2AA193E4" w:rsidR="000740A1" w:rsidRPr="006F62D3" w:rsidRDefault="0C399727" w:rsidP="006F62D3">
      <w:pPr>
        <w:pStyle w:val="ListParagraph"/>
        <w:numPr>
          <w:ilvl w:val="0"/>
          <w:numId w:val="6"/>
        </w:numPr>
        <w:spacing w:before="30" w:after="30"/>
        <w:rPr>
          <w:rFonts w:ascii="Calibri" w:eastAsia="Calibri" w:hAnsi="Calibri" w:cs="Calibri"/>
          <w:sz w:val="22"/>
          <w:szCs w:val="22"/>
        </w:rPr>
      </w:pPr>
      <w:r w:rsidRPr="006F62D3">
        <w:rPr>
          <w:rFonts w:ascii="Calibri" w:eastAsia="Calibri" w:hAnsi="Calibri" w:cs="Calibri"/>
          <w:b/>
          <w:bCs/>
          <w:sz w:val="22"/>
          <w:szCs w:val="22"/>
        </w:rPr>
        <w:t>Whakapapa</w:t>
      </w:r>
      <w:r w:rsidRPr="006F62D3">
        <w:rPr>
          <w:rFonts w:ascii="Calibri" w:eastAsia="Calibri" w:hAnsi="Calibri" w:cs="Calibri"/>
          <w:sz w:val="22"/>
          <w:szCs w:val="22"/>
        </w:rPr>
        <w:t xml:space="preserve"> </w:t>
      </w:r>
      <w:proofErr w:type="gramStart"/>
      <w:r w:rsidRPr="006F62D3">
        <w:rPr>
          <w:rFonts w:ascii="Calibri" w:eastAsia="Calibri" w:hAnsi="Calibri" w:cs="Calibri"/>
          <w:sz w:val="22"/>
          <w:szCs w:val="22"/>
        </w:rPr>
        <w:t>grounds</w:t>
      </w:r>
      <w:proofErr w:type="gramEnd"/>
      <w:r w:rsidRPr="006F62D3">
        <w:rPr>
          <w:rFonts w:ascii="Calibri" w:eastAsia="Calibri" w:hAnsi="Calibri" w:cs="Calibri"/>
          <w:sz w:val="22"/>
          <w:szCs w:val="22"/>
        </w:rPr>
        <w:t xml:space="preserve"> identity and connection </w:t>
      </w:r>
    </w:p>
    <w:p w14:paraId="3A6A87CB" w14:textId="477AC44C" w:rsidR="000740A1" w:rsidRPr="006F62D3" w:rsidRDefault="0C399727" w:rsidP="006F62D3">
      <w:pPr>
        <w:pStyle w:val="ListParagraph"/>
        <w:numPr>
          <w:ilvl w:val="0"/>
          <w:numId w:val="6"/>
        </w:numPr>
        <w:spacing w:before="30" w:after="30"/>
        <w:rPr>
          <w:rFonts w:ascii="Calibri" w:eastAsia="Calibri" w:hAnsi="Calibri" w:cs="Calibri"/>
          <w:sz w:val="22"/>
          <w:szCs w:val="22"/>
        </w:rPr>
      </w:pPr>
      <w:r w:rsidRPr="006F62D3">
        <w:rPr>
          <w:rFonts w:ascii="Calibri" w:eastAsia="Calibri" w:hAnsi="Calibri" w:cs="Calibri"/>
          <w:b/>
          <w:bCs/>
          <w:sz w:val="22"/>
          <w:szCs w:val="22"/>
        </w:rPr>
        <w:t>Pūrākau</w:t>
      </w:r>
      <w:r w:rsidRPr="006F62D3">
        <w:rPr>
          <w:rFonts w:ascii="Calibri" w:eastAsia="Calibri" w:hAnsi="Calibri" w:cs="Calibri"/>
          <w:sz w:val="22"/>
          <w:szCs w:val="22"/>
        </w:rPr>
        <w:t xml:space="preserve"> carry values, challenge, and possibility </w:t>
      </w:r>
    </w:p>
    <w:p w14:paraId="1F2FEE75" w14:textId="343570CF" w:rsidR="000740A1" w:rsidRPr="006F62D3" w:rsidRDefault="0C399727" w:rsidP="006F62D3">
      <w:pPr>
        <w:pStyle w:val="ListParagraph"/>
        <w:numPr>
          <w:ilvl w:val="0"/>
          <w:numId w:val="6"/>
        </w:numPr>
        <w:spacing w:before="30" w:after="30"/>
        <w:rPr>
          <w:rFonts w:ascii="Calibri" w:eastAsia="Calibri" w:hAnsi="Calibri" w:cs="Calibri"/>
          <w:sz w:val="22"/>
          <w:szCs w:val="22"/>
        </w:rPr>
      </w:pPr>
      <w:r w:rsidRPr="006F62D3">
        <w:rPr>
          <w:rFonts w:ascii="Calibri" w:eastAsia="Calibri" w:hAnsi="Calibri" w:cs="Calibri"/>
          <w:b/>
          <w:bCs/>
          <w:sz w:val="22"/>
          <w:szCs w:val="22"/>
        </w:rPr>
        <w:t>Kōrero</w:t>
      </w:r>
      <w:r w:rsidRPr="006F62D3">
        <w:rPr>
          <w:rFonts w:ascii="Calibri" w:eastAsia="Calibri" w:hAnsi="Calibri" w:cs="Calibri"/>
          <w:sz w:val="22"/>
          <w:szCs w:val="22"/>
        </w:rPr>
        <w:t xml:space="preserve"> builds understanding through relationship and exchange </w:t>
      </w:r>
    </w:p>
    <w:p w14:paraId="2E233043" w14:textId="33B3C4B3" w:rsidR="000740A1" w:rsidRPr="006F62D3" w:rsidRDefault="0C399727" w:rsidP="006F62D3">
      <w:pPr>
        <w:spacing w:before="30" w:after="30"/>
        <w:rPr>
          <w:sz w:val="22"/>
          <w:szCs w:val="22"/>
        </w:rPr>
      </w:pPr>
      <w:r w:rsidRPr="006F62D3">
        <w:rPr>
          <w:rFonts w:ascii="Calibri" w:eastAsia="Calibri" w:hAnsi="Calibri" w:cs="Calibri"/>
          <w:sz w:val="22"/>
          <w:szCs w:val="22"/>
        </w:rPr>
        <w:t>These are living knowledge systems that remain highly relevant in a world marked by uncertainty, rapid change, and shifting futures.</w:t>
      </w:r>
    </w:p>
    <w:p w14:paraId="0C135C7E" w14:textId="6D1F5E97" w:rsidR="000740A1" w:rsidRPr="006F62D3" w:rsidRDefault="0C399727" w:rsidP="006F62D3">
      <w:pPr>
        <w:spacing w:before="30" w:after="30"/>
        <w:rPr>
          <w:sz w:val="22"/>
          <w:szCs w:val="22"/>
        </w:rPr>
      </w:pPr>
      <w:r w:rsidRPr="006F62D3">
        <w:rPr>
          <w:rFonts w:ascii="Calibri" w:eastAsia="Calibri" w:hAnsi="Calibri" w:cs="Calibri"/>
          <w:sz w:val="22"/>
          <w:szCs w:val="22"/>
        </w:rPr>
        <w:t>Narrative Career Theory provides a useful bridge to this work. Savickas argues that people build careers by making meaning through story, identifying life themes, and imagining future possibilities. This aligns strongly with Māori concepts of identity, belonging, and purposeful action.</w:t>
      </w:r>
    </w:p>
    <w:p w14:paraId="2CD76862" w14:textId="71F29D58" w:rsidR="000740A1" w:rsidRPr="006F62D3" w:rsidRDefault="0C399727" w:rsidP="006F62D3">
      <w:pPr>
        <w:spacing w:before="30" w:after="30"/>
        <w:rPr>
          <w:sz w:val="22"/>
          <w:szCs w:val="22"/>
        </w:rPr>
      </w:pPr>
      <w:r w:rsidRPr="006F62D3">
        <w:rPr>
          <w:rFonts w:ascii="Calibri" w:eastAsia="Calibri" w:hAnsi="Calibri" w:cs="Calibri"/>
          <w:b/>
          <w:bCs/>
          <w:sz w:val="22"/>
          <w:szCs w:val="22"/>
        </w:rPr>
        <w:t>Theoretical Foundations</w:t>
      </w:r>
      <w:r w:rsidR="00000000" w:rsidRPr="006F62D3">
        <w:rPr>
          <w:sz w:val="22"/>
          <w:szCs w:val="22"/>
        </w:rPr>
        <w:br/>
      </w:r>
      <w:r w:rsidRPr="006F62D3">
        <w:rPr>
          <w:rFonts w:ascii="Calibri" w:eastAsia="Calibri" w:hAnsi="Calibri" w:cs="Calibri"/>
          <w:sz w:val="22"/>
          <w:szCs w:val="22"/>
        </w:rPr>
        <w:t xml:space="preserve"> This workshop brings together:</w:t>
      </w:r>
    </w:p>
    <w:p w14:paraId="2ED49E92" w14:textId="013B607F" w:rsidR="000740A1" w:rsidRPr="006F62D3" w:rsidRDefault="0C399727" w:rsidP="006F62D3">
      <w:pPr>
        <w:pStyle w:val="ListParagraph"/>
        <w:numPr>
          <w:ilvl w:val="0"/>
          <w:numId w:val="5"/>
        </w:numPr>
        <w:spacing w:before="30" w:after="30"/>
        <w:rPr>
          <w:rFonts w:ascii="Calibri" w:eastAsia="Calibri" w:hAnsi="Calibri" w:cs="Calibri"/>
          <w:sz w:val="22"/>
          <w:szCs w:val="22"/>
        </w:rPr>
      </w:pPr>
      <w:r w:rsidRPr="006F62D3">
        <w:rPr>
          <w:rFonts w:ascii="Calibri" w:eastAsia="Calibri" w:hAnsi="Calibri" w:cs="Calibri"/>
          <w:b/>
          <w:bCs/>
          <w:sz w:val="22"/>
          <w:szCs w:val="22"/>
        </w:rPr>
        <w:t>Pūrākau</w:t>
      </w:r>
      <w:r w:rsidRPr="006F62D3">
        <w:rPr>
          <w:rFonts w:ascii="Calibri" w:eastAsia="Calibri" w:hAnsi="Calibri" w:cs="Calibri"/>
          <w:sz w:val="22"/>
          <w:szCs w:val="22"/>
        </w:rPr>
        <w:t xml:space="preserve"> as a source of knowledge, identity, and meaning </w:t>
      </w:r>
    </w:p>
    <w:p w14:paraId="5839D85A" w14:textId="6073CE5F" w:rsidR="000740A1" w:rsidRPr="006F62D3" w:rsidRDefault="0C399727" w:rsidP="006F62D3">
      <w:pPr>
        <w:pStyle w:val="ListParagraph"/>
        <w:numPr>
          <w:ilvl w:val="0"/>
          <w:numId w:val="5"/>
        </w:numPr>
        <w:spacing w:before="30" w:after="30"/>
        <w:rPr>
          <w:rFonts w:ascii="Calibri" w:eastAsia="Calibri" w:hAnsi="Calibri" w:cs="Calibri"/>
          <w:sz w:val="22"/>
          <w:szCs w:val="22"/>
        </w:rPr>
      </w:pPr>
      <w:r w:rsidRPr="006F62D3">
        <w:rPr>
          <w:rFonts w:ascii="Calibri" w:eastAsia="Calibri" w:hAnsi="Calibri" w:cs="Calibri"/>
          <w:b/>
          <w:bCs/>
          <w:sz w:val="22"/>
          <w:szCs w:val="22"/>
        </w:rPr>
        <w:t>Whakapapa</w:t>
      </w:r>
      <w:r w:rsidRPr="006F62D3">
        <w:rPr>
          <w:rFonts w:ascii="Calibri" w:eastAsia="Calibri" w:hAnsi="Calibri" w:cs="Calibri"/>
          <w:sz w:val="22"/>
          <w:szCs w:val="22"/>
        </w:rPr>
        <w:t xml:space="preserve"> as the foundation for future exploration </w:t>
      </w:r>
    </w:p>
    <w:p w14:paraId="293D1C90" w14:textId="69DDCB1B" w:rsidR="000740A1" w:rsidRPr="006F62D3" w:rsidRDefault="0C399727" w:rsidP="006F62D3">
      <w:pPr>
        <w:pStyle w:val="ListParagraph"/>
        <w:numPr>
          <w:ilvl w:val="0"/>
          <w:numId w:val="5"/>
        </w:numPr>
        <w:spacing w:before="30" w:after="30"/>
        <w:rPr>
          <w:rFonts w:ascii="Calibri" w:eastAsia="Calibri" w:hAnsi="Calibri" w:cs="Calibri"/>
          <w:sz w:val="22"/>
          <w:szCs w:val="22"/>
        </w:rPr>
      </w:pPr>
      <w:r w:rsidRPr="006F62D3">
        <w:rPr>
          <w:rFonts w:ascii="Calibri" w:eastAsia="Calibri" w:hAnsi="Calibri" w:cs="Calibri"/>
          <w:b/>
          <w:bCs/>
          <w:sz w:val="22"/>
          <w:szCs w:val="22"/>
        </w:rPr>
        <w:t>Ngā mahi a Māui</w:t>
      </w:r>
      <w:r w:rsidRPr="006F62D3">
        <w:rPr>
          <w:rFonts w:ascii="Calibri" w:eastAsia="Calibri" w:hAnsi="Calibri" w:cs="Calibri"/>
          <w:sz w:val="22"/>
          <w:szCs w:val="22"/>
        </w:rPr>
        <w:t xml:space="preserve"> as metaphors for curiosity, creativity, persistence, and resilience </w:t>
      </w:r>
    </w:p>
    <w:p w14:paraId="1BEBDA6E" w14:textId="25C719ED" w:rsidR="000740A1" w:rsidRPr="006F62D3" w:rsidRDefault="0C399727" w:rsidP="006F62D3">
      <w:pPr>
        <w:pStyle w:val="ListParagraph"/>
        <w:numPr>
          <w:ilvl w:val="0"/>
          <w:numId w:val="5"/>
        </w:numPr>
        <w:spacing w:before="30" w:after="30"/>
        <w:rPr>
          <w:rFonts w:ascii="Calibri" w:eastAsia="Calibri" w:hAnsi="Calibri" w:cs="Calibri"/>
          <w:sz w:val="22"/>
          <w:szCs w:val="22"/>
        </w:rPr>
      </w:pPr>
      <w:r w:rsidRPr="006F62D3">
        <w:rPr>
          <w:rFonts w:ascii="Calibri" w:eastAsia="Calibri" w:hAnsi="Calibri" w:cs="Calibri"/>
          <w:b/>
          <w:bCs/>
          <w:sz w:val="22"/>
          <w:szCs w:val="22"/>
        </w:rPr>
        <w:t>Talanoa / kōrero</w:t>
      </w:r>
      <w:r w:rsidRPr="006F62D3">
        <w:rPr>
          <w:rFonts w:ascii="Calibri" w:eastAsia="Calibri" w:hAnsi="Calibri" w:cs="Calibri"/>
          <w:sz w:val="22"/>
          <w:szCs w:val="22"/>
        </w:rPr>
        <w:t xml:space="preserve"> as relational methods of narrative exchange </w:t>
      </w:r>
    </w:p>
    <w:p w14:paraId="3E046B3C" w14:textId="1C3159EF" w:rsidR="000740A1" w:rsidRPr="006F62D3" w:rsidRDefault="0C399727" w:rsidP="006F62D3">
      <w:pPr>
        <w:pStyle w:val="ListParagraph"/>
        <w:numPr>
          <w:ilvl w:val="0"/>
          <w:numId w:val="5"/>
        </w:numPr>
        <w:spacing w:before="30" w:after="30"/>
        <w:rPr>
          <w:rFonts w:ascii="Calibri" w:eastAsia="Calibri" w:hAnsi="Calibri" w:cs="Calibri"/>
          <w:sz w:val="22"/>
          <w:szCs w:val="22"/>
        </w:rPr>
      </w:pPr>
      <w:r w:rsidRPr="006F62D3">
        <w:rPr>
          <w:rFonts w:ascii="Calibri" w:eastAsia="Calibri" w:hAnsi="Calibri" w:cs="Calibri"/>
          <w:b/>
          <w:bCs/>
          <w:sz w:val="22"/>
          <w:szCs w:val="22"/>
        </w:rPr>
        <w:t>Narrative Career Theory</w:t>
      </w:r>
      <w:r w:rsidRPr="006F62D3">
        <w:rPr>
          <w:rFonts w:ascii="Calibri" w:eastAsia="Calibri" w:hAnsi="Calibri" w:cs="Calibri"/>
          <w:sz w:val="22"/>
          <w:szCs w:val="22"/>
        </w:rPr>
        <w:t xml:space="preserve"> as a contemporary framework for life design and vocational identity </w:t>
      </w:r>
    </w:p>
    <w:p w14:paraId="2A20E77C" w14:textId="329C9330" w:rsidR="000740A1" w:rsidRPr="006F62D3" w:rsidRDefault="0C399727" w:rsidP="006F62D3">
      <w:pPr>
        <w:pStyle w:val="ListParagraph"/>
        <w:numPr>
          <w:ilvl w:val="0"/>
          <w:numId w:val="5"/>
        </w:numPr>
        <w:spacing w:before="30" w:after="30"/>
        <w:rPr>
          <w:rFonts w:ascii="Calibri" w:eastAsia="Calibri" w:hAnsi="Calibri" w:cs="Calibri"/>
          <w:sz w:val="22"/>
          <w:szCs w:val="22"/>
        </w:rPr>
      </w:pPr>
      <w:r w:rsidRPr="006F62D3">
        <w:rPr>
          <w:rFonts w:ascii="Calibri" w:eastAsia="Calibri" w:hAnsi="Calibri" w:cs="Calibri"/>
          <w:b/>
          <w:bCs/>
          <w:sz w:val="22"/>
          <w:szCs w:val="22"/>
        </w:rPr>
        <w:t>Wellbeing frameworks</w:t>
      </w:r>
      <w:r w:rsidRPr="006F62D3">
        <w:rPr>
          <w:rFonts w:ascii="Calibri" w:eastAsia="Calibri" w:hAnsi="Calibri" w:cs="Calibri"/>
          <w:sz w:val="22"/>
          <w:szCs w:val="22"/>
        </w:rPr>
        <w:t xml:space="preserve"> such as Te Whare Tapa Whā, Te Whare Mauri Ora, and Fonofale, which emphasise wholistic and culturally grounded pathways practice </w:t>
      </w:r>
    </w:p>
    <w:p w14:paraId="46689F73" w14:textId="4D7D1B6B" w:rsidR="000740A1" w:rsidRPr="006F62D3" w:rsidRDefault="0C399727" w:rsidP="006F62D3">
      <w:pPr>
        <w:spacing w:before="30" w:after="30"/>
        <w:rPr>
          <w:sz w:val="22"/>
          <w:szCs w:val="22"/>
        </w:rPr>
      </w:pPr>
      <w:r w:rsidRPr="006F62D3">
        <w:rPr>
          <w:rFonts w:ascii="Calibri" w:eastAsia="Calibri" w:hAnsi="Calibri" w:cs="Calibri"/>
          <w:b/>
          <w:bCs/>
          <w:sz w:val="22"/>
          <w:szCs w:val="22"/>
        </w:rPr>
        <w:t>Māui as Wayfinder</w:t>
      </w:r>
      <w:r w:rsidR="00000000" w:rsidRPr="006F62D3">
        <w:rPr>
          <w:sz w:val="22"/>
          <w:szCs w:val="22"/>
        </w:rPr>
        <w:br/>
      </w:r>
      <w:r w:rsidRPr="006F62D3">
        <w:rPr>
          <w:rFonts w:ascii="Calibri" w:eastAsia="Calibri" w:hAnsi="Calibri" w:cs="Calibri"/>
          <w:sz w:val="22"/>
          <w:szCs w:val="22"/>
        </w:rPr>
        <w:t xml:space="preserve"> The stories of Māui offer rich metaphors for navigating the future:</w:t>
      </w:r>
    </w:p>
    <w:p w14:paraId="120767A1" w14:textId="65A84A71" w:rsidR="000740A1" w:rsidRPr="006F62D3" w:rsidRDefault="0C399727" w:rsidP="006F62D3">
      <w:pPr>
        <w:pStyle w:val="ListParagraph"/>
        <w:numPr>
          <w:ilvl w:val="0"/>
          <w:numId w:val="4"/>
        </w:numPr>
        <w:spacing w:before="30" w:after="30"/>
        <w:rPr>
          <w:rFonts w:ascii="Calibri" w:eastAsia="Calibri" w:hAnsi="Calibri" w:cs="Calibri"/>
          <w:sz w:val="22"/>
          <w:szCs w:val="22"/>
        </w:rPr>
      </w:pPr>
      <w:r w:rsidRPr="006F62D3">
        <w:rPr>
          <w:rFonts w:ascii="Calibri" w:eastAsia="Calibri" w:hAnsi="Calibri" w:cs="Calibri"/>
          <w:b/>
          <w:bCs/>
          <w:sz w:val="22"/>
          <w:szCs w:val="22"/>
        </w:rPr>
        <w:t>Retrieving the sun</w:t>
      </w:r>
      <w:r w:rsidRPr="006F62D3">
        <w:rPr>
          <w:rFonts w:ascii="Calibri" w:eastAsia="Calibri" w:hAnsi="Calibri" w:cs="Calibri"/>
          <w:sz w:val="22"/>
          <w:szCs w:val="22"/>
        </w:rPr>
        <w:t xml:space="preserve"> reminds us that young people can challenge limiting conditions, not simply adapt to them </w:t>
      </w:r>
    </w:p>
    <w:p w14:paraId="070F9B01" w14:textId="2CF53BF7" w:rsidR="000740A1" w:rsidRPr="006F62D3" w:rsidRDefault="0C399727" w:rsidP="006F62D3">
      <w:pPr>
        <w:pStyle w:val="ListParagraph"/>
        <w:numPr>
          <w:ilvl w:val="0"/>
          <w:numId w:val="4"/>
        </w:numPr>
        <w:spacing w:before="30" w:after="30"/>
        <w:rPr>
          <w:rFonts w:ascii="Calibri" w:eastAsia="Calibri" w:hAnsi="Calibri" w:cs="Calibri"/>
          <w:sz w:val="22"/>
          <w:szCs w:val="22"/>
        </w:rPr>
      </w:pPr>
      <w:r w:rsidRPr="006F62D3">
        <w:rPr>
          <w:rFonts w:ascii="Calibri" w:eastAsia="Calibri" w:hAnsi="Calibri" w:cs="Calibri"/>
          <w:b/>
          <w:bCs/>
          <w:sz w:val="22"/>
          <w:szCs w:val="22"/>
        </w:rPr>
        <w:t>Fishing up Te Ika-a-Māui</w:t>
      </w:r>
      <w:r w:rsidRPr="006F62D3">
        <w:rPr>
          <w:rFonts w:ascii="Calibri" w:eastAsia="Calibri" w:hAnsi="Calibri" w:cs="Calibri"/>
          <w:sz w:val="22"/>
          <w:szCs w:val="22"/>
        </w:rPr>
        <w:t xml:space="preserve"> shows that pathways can be created, not just chosen </w:t>
      </w:r>
    </w:p>
    <w:p w14:paraId="7F52A4AC" w14:textId="6E77D91C" w:rsidR="000740A1" w:rsidRPr="006F62D3" w:rsidRDefault="0C399727" w:rsidP="006F62D3">
      <w:pPr>
        <w:pStyle w:val="ListParagraph"/>
        <w:numPr>
          <w:ilvl w:val="0"/>
          <w:numId w:val="4"/>
        </w:numPr>
        <w:spacing w:before="30" w:after="30"/>
        <w:rPr>
          <w:rFonts w:ascii="Calibri" w:eastAsia="Calibri" w:hAnsi="Calibri" w:cs="Calibri"/>
          <w:sz w:val="22"/>
          <w:szCs w:val="22"/>
        </w:rPr>
      </w:pPr>
      <w:r w:rsidRPr="006F62D3">
        <w:rPr>
          <w:rFonts w:ascii="Calibri" w:eastAsia="Calibri" w:hAnsi="Calibri" w:cs="Calibri"/>
          <w:b/>
          <w:bCs/>
          <w:sz w:val="22"/>
          <w:szCs w:val="22"/>
        </w:rPr>
        <w:t>Seeking the fire of Mahuika</w:t>
      </w:r>
      <w:r w:rsidRPr="006F62D3">
        <w:rPr>
          <w:rFonts w:ascii="Calibri" w:eastAsia="Calibri" w:hAnsi="Calibri" w:cs="Calibri"/>
          <w:sz w:val="22"/>
          <w:szCs w:val="22"/>
        </w:rPr>
        <w:t xml:space="preserve"> reflects the courage needed to seek knowledge and endure challenge </w:t>
      </w:r>
    </w:p>
    <w:p w14:paraId="08C597D9" w14:textId="60A4BD02" w:rsidR="000740A1" w:rsidRPr="006F62D3" w:rsidRDefault="0C399727" w:rsidP="006F62D3">
      <w:pPr>
        <w:pStyle w:val="ListParagraph"/>
        <w:numPr>
          <w:ilvl w:val="0"/>
          <w:numId w:val="4"/>
        </w:numPr>
        <w:spacing w:before="30" w:after="30"/>
        <w:rPr>
          <w:rFonts w:ascii="Calibri" w:eastAsia="Calibri" w:hAnsi="Calibri" w:cs="Calibri"/>
          <w:sz w:val="22"/>
          <w:szCs w:val="22"/>
        </w:rPr>
      </w:pPr>
      <w:r w:rsidRPr="006F62D3">
        <w:rPr>
          <w:rFonts w:ascii="Calibri" w:eastAsia="Calibri" w:hAnsi="Calibri" w:cs="Calibri"/>
          <w:b/>
          <w:bCs/>
          <w:sz w:val="22"/>
          <w:szCs w:val="22"/>
        </w:rPr>
        <w:t>Māui and Hine-nui-te-pō</w:t>
      </w:r>
      <w:r w:rsidRPr="006F62D3">
        <w:rPr>
          <w:rFonts w:ascii="Calibri" w:eastAsia="Calibri" w:hAnsi="Calibri" w:cs="Calibri"/>
          <w:sz w:val="22"/>
          <w:szCs w:val="22"/>
        </w:rPr>
        <w:t xml:space="preserve"> teaches that failure is part of the human journey and does not erase purpose or contribution </w:t>
      </w:r>
    </w:p>
    <w:p w14:paraId="512993A3" w14:textId="34A9068C" w:rsidR="000740A1" w:rsidRPr="006F62D3" w:rsidRDefault="0C399727" w:rsidP="006F62D3">
      <w:pPr>
        <w:spacing w:before="30" w:after="30"/>
        <w:rPr>
          <w:sz w:val="22"/>
          <w:szCs w:val="22"/>
        </w:rPr>
      </w:pPr>
      <w:r w:rsidRPr="006F62D3">
        <w:rPr>
          <w:rFonts w:ascii="Calibri" w:eastAsia="Calibri" w:hAnsi="Calibri" w:cs="Calibri"/>
          <w:sz w:val="22"/>
          <w:szCs w:val="22"/>
        </w:rPr>
        <w:t>These stories help learners see uncertainty, challenge, and possibility as natural parts of their own pathways.</w:t>
      </w:r>
    </w:p>
    <w:p w14:paraId="7F3AF63F" w14:textId="6BCE18EA" w:rsidR="000740A1" w:rsidRPr="006F62D3" w:rsidRDefault="0C399727" w:rsidP="006F62D3">
      <w:pPr>
        <w:spacing w:before="30" w:after="30"/>
        <w:rPr>
          <w:sz w:val="22"/>
          <w:szCs w:val="22"/>
        </w:rPr>
      </w:pPr>
      <w:r w:rsidRPr="006F62D3">
        <w:rPr>
          <w:rFonts w:ascii="Calibri" w:eastAsia="Calibri" w:hAnsi="Calibri" w:cs="Calibri"/>
          <w:b/>
          <w:bCs/>
          <w:sz w:val="22"/>
          <w:szCs w:val="22"/>
        </w:rPr>
        <w:t>Workshop Objectives</w:t>
      </w:r>
      <w:r w:rsidR="00000000" w:rsidRPr="006F62D3">
        <w:rPr>
          <w:sz w:val="22"/>
          <w:szCs w:val="22"/>
        </w:rPr>
        <w:br/>
      </w:r>
      <w:r w:rsidRPr="006F62D3">
        <w:rPr>
          <w:rFonts w:ascii="Calibri" w:eastAsia="Calibri" w:hAnsi="Calibri" w:cs="Calibri"/>
          <w:sz w:val="22"/>
          <w:szCs w:val="22"/>
        </w:rPr>
        <w:t xml:space="preserve"> By the end of the session, participants will be able to:</w:t>
      </w:r>
    </w:p>
    <w:p w14:paraId="018D3D88" w14:textId="0CBE6FDE" w:rsidR="000740A1" w:rsidRPr="006F62D3" w:rsidRDefault="0C399727" w:rsidP="006F62D3">
      <w:pPr>
        <w:pStyle w:val="ListParagraph"/>
        <w:numPr>
          <w:ilvl w:val="0"/>
          <w:numId w:val="3"/>
        </w:numPr>
        <w:spacing w:before="30" w:after="30"/>
        <w:rPr>
          <w:rFonts w:ascii="Calibri" w:eastAsia="Calibri" w:hAnsi="Calibri" w:cs="Calibri"/>
          <w:sz w:val="22"/>
          <w:szCs w:val="22"/>
        </w:rPr>
      </w:pPr>
      <w:r w:rsidRPr="006F62D3">
        <w:rPr>
          <w:rFonts w:ascii="Calibri" w:eastAsia="Calibri" w:hAnsi="Calibri" w:cs="Calibri"/>
          <w:sz w:val="22"/>
          <w:szCs w:val="22"/>
        </w:rPr>
        <w:t xml:space="preserve">explain how indigenous storytelling and Narrative Career Theory connect in pathways practice </w:t>
      </w:r>
    </w:p>
    <w:p w14:paraId="1A97838A" w14:textId="71FF986B" w:rsidR="000740A1" w:rsidRPr="006F62D3" w:rsidRDefault="0C399727" w:rsidP="006F62D3">
      <w:pPr>
        <w:pStyle w:val="ListParagraph"/>
        <w:numPr>
          <w:ilvl w:val="0"/>
          <w:numId w:val="3"/>
        </w:numPr>
        <w:spacing w:before="30" w:after="30"/>
        <w:rPr>
          <w:rFonts w:ascii="Calibri" w:eastAsia="Calibri" w:hAnsi="Calibri" w:cs="Calibri"/>
          <w:sz w:val="22"/>
          <w:szCs w:val="22"/>
        </w:rPr>
      </w:pPr>
      <w:r w:rsidRPr="006F62D3">
        <w:rPr>
          <w:rFonts w:ascii="Calibri" w:eastAsia="Calibri" w:hAnsi="Calibri" w:cs="Calibri"/>
          <w:sz w:val="22"/>
          <w:szCs w:val="22"/>
        </w:rPr>
        <w:t xml:space="preserve">describe how pūrākau and Māui’s stories can support navigation through uncertainty </w:t>
      </w:r>
    </w:p>
    <w:p w14:paraId="4A05D7F2" w14:textId="0A000D0B" w:rsidR="000740A1" w:rsidRPr="006F62D3" w:rsidRDefault="0C399727" w:rsidP="006F62D3">
      <w:pPr>
        <w:pStyle w:val="ListParagraph"/>
        <w:numPr>
          <w:ilvl w:val="0"/>
          <w:numId w:val="3"/>
        </w:numPr>
        <w:spacing w:before="30" w:after="30"/>
        <w:rPr>
          <w:rFonts w:ascii="Calibri" w:eastAsia="Calibri" w:hAnsi="Calibri" w:cs="Calibri"/>
          <w:sz w:val="22"/>
          <w:szCs w:val="22"/>
        </w:rPr>
      </w:pPr>
      <w:r w:rsidRPr="006F62D3">
        <w:rPr>
          <w:rFonts w:ascii="Calibri" w:eastAsia="Calibri" w:hAnsi="Calibri" w:cs="Calibri"/>
          <w:sz w:val="22"/>
          <w:szCs w:val="22"/>
        </w:rPr>
        <w:t xml:space="preserve">identify practical ways to centre identity, culture, and wellbeing in career development </w:t>
      </w:r>
    </w:p>
    <w:p w14:paraId="7FE5BAA3" w14:textId="610653BE" w:rsidR="000740A1" w:rsidRPr="006F62D3" w:rsidRDefault="0C399727" w:rsidP="006F62D3">
      <w:pPr>
        <w:pStyle w:val="ListParagraph"/>
        <w:numPr>
          <w:ilvl w:val="0"/>
          <w:numId w:val="3"/>
        </w:numPr>
        <w:spacing w:before="30" w:after="30"/>
        <w:rPr>
          <w:rFonts w:ascii="Calibri" w:eastAsia="Calibri" w:hAnsi="Calibri" w:cs="Calibri"/>
          <w:sz w:val="22"/>
          <w:szCs w:val="22"/>
        </w:rPr>
      </w:pPr>
      <w:r w:rsidRPr="006F62D3">
        <w:rPr>
          <w:rFonts w:ascii="Calibri" w:eastAsia="Calibri" w:hAnsi="Calibri" w:cs="Calibri"/>
          <w:sz w:val="22"/>
          <w:szCs w:val="22"/>
        </w:rPr>
        <w:lastRenderedPageBreak/>
        <w:t xml:space="preserve">reflect on how their own stories shape their guidance practice </w:t>
      </w:r>
    </w:p>
    <w:p w14:paraId="3FE75748" w14:textId="123E42A7" w:rsidR="000740A1" w:rsidRPr="006F62D3" w:rsidRDefault="0C399727" w:rsidP="006F62D3">
      <w:pPr>
        <w:spacing w:before="30" w:after="30"/>
        <w:rPr>
          <w:sz w:val="22"/>
          <w:szCs w:val="22"/>
        </w:rPr>
      </w:pPr>
      <w:r w:rsidRPr="006F62D3">
        <w:rPr>
          <w:rFonts w:ascii="Calibri" w:eastAsia="Calibri" w:hAnsi="Calibri" w:cs="Calibri"/>
          <w:b/>
          <w:bCs/>
          <w:sz w:val="22"/>
          <w:szCs w:val="22"/>
        </w:rPr>
        <w:t>Session Structure</w:t>
      </w:r>
      <w:r w:rsidR="00000000" w:rsidRPr="006F62D3">
        <w:rPr>
          <w:sz w:val="22"/>
          <w:szCs w:val="22"/>
        </w:rPr>
        <w:br/>
      </w:r>
      <w:r w:rsidRPr="006F62D3">
        <w:rPr>
          <w:rFonts w:ascii="Calibri" w:eastAsia="Calibri" w:hAnsi="Calibri" w:cs="Calibri"/>
          <w:sz w:val="22"/>
          <w:szCs w:val="22"/>
        </w:rPr>
        <w:t xml:space="preserve"> </w:t>
      </w:r>
      <w:r w:rsidRPr="006F62D3">
        <w:rPr>
          <w:rFonts w:ascii="Calibri" w:eastAsia="Calibri" w:hAnsi="Calibri" w:cs="Calibri"/>
          <w:b/>
          <w:bCs/>
          <w:sz w:val="22"/>
          <w:szCs w:val="22"/>
        </w:rPr>
        <w:t>Opening</w:t>
      </w:r>
      <w:r w:rsidRPr="006F62D3">
        <w:rPr>
          <w:rFonts w:ascii="Calibri" w:eastAsia="Calibri" w:hAnsi="Calibri" w:cs="Calibri"/>
          <w:sz w:val="22"/>
          <w:szCs w:val="22"/>
        </w:rPr>
        <w:t xml:space="preserve"> – introduction to storytelling as methodology and wayfinding</w:t>
      </w:r>
      <w:r w:rsidR="00000000" w:rsidRPr="006F62D3">
        <w:rPr>
          <w:sz w:val="22"/>
          <w:szCs w:val="22"/>
        </w:rPr>
        <w:br/>
      </w:r>
      <w:r w:rsidRPr="006F62D3">
        <w:rPr>
          <w:rFonts w:ascii="Calibri" w:eastAsia="Calibri" w:hAnsi="Calibri" w:cs="Calibri"/>
          <w:sz w:val="22"/>
          <w:szCs w:val="22"/>
        </w:rPr>
        <w:t xml:space="preserve"> </w:t>
      </w:r>
      <w:r w:rsidRPr="006F62D3">
        <w:rPr>
          <w:rFonts w:ascii="Calibri" w:eastAsia="Calibri" w:hAnsi="Calibri" w:cs="Calibri"/>
          <w:b/>
          <w:bCs/>
          <w:sz w:val="22"/>
          <w:szCs w:val="22"/>
        </w:rPr>
        <w:t>Ngā Mahi a Māui</w:t>
      </w:r>
      <w:r w:rsidRPr="006F62D3">
        <w:rPr>
          <w:rFonts w:ascii="Calibri" w:eastAsia="Calibri" w:hAnsi="Calibri" w:cs="Calibri"/>
          <w:sz w:val="22"/>
          <w:szCs w:val="22"/>
        </w:rPr>
        <w:t xml:space="preserve"> – interactive exploration of Māui as a framework for pathways navigation</w:t>
      </w:r>
      <w:r w:rsidR="00000000" w:rsidRPr="006F62D3">
        <w:rPr>
          <w:sz w:val="22"/>
          <w:szCs w:val="22"/>
        </w:rPr>
        <w:br/>
      </w:r>
      <w:r w:rsidRPr="006F62D3">
        <w:rPr>
          <w:rFonts w:ascii="Calibri" w:eastAsia="Calibri" w:hAnsi="Calibri" w:cs="Calibri"/>
          <w:sz w:val="22"/>
          <w:szCs w:val="22"/>
        </w:rPr>
        <w:t xml:space="preserve"> </w:t>
      </w:r>
      <w:r w:rsidRPr="006F62D3">
        <w:rPr>
          <w:rFonts w:ascii="Calibri" w:eastAsia="Calibri" w:hAnsi="Calibri" w:cs="Calibri"/>
          <w:b/>
          <w:bCs/>
          <w:sz w:val="22"/>
          <w:szCs w:val="22"/>
        </w:rPr>
        <w:t>Story in Practice</w:t>
      </w:r>
      <w:r w:rsidRPr="006F62D3">
        <w:rPr>
          <w:rFonts w:ascii="Calibri" w:eastAsia="Calibri" w:hAnsi="Calibri" w:cs="Calibri"/>
          <w:sz w:val="22"/>
          <w:szCs w:val="22"/>
        </w:rPr>
        <w:t xml:space="preserve"> – examples of using whakapapa, pūrākau, and reflective narration in guidance work</w:t>
      </w:r>
      <w:r w:rsidR="00000000" w:rsidRPr="006F62D3">
        <w:rPr>
          <w:sz w:val="22"/>
          <w:szCs w:val="22"/>
        </w:rPr>
        <w:br/>
      </w:r>
      <w:r w:rsidRPr="006F62D3">
        <w:rPr>
          <w:rFonts w:ascii="Calibri" w:eastAsia="Calibri" w:hAnsi="Calibri" w:cs="Calibri"/>
          <w:sz w:val="22"/>
          <w:szCs w:val="22"/>
        </w:rPr>
        <w:t xml:space="preserve"> </w:t>
      </w:r>
      <w:r w:rsidRPr="006F62D3">
        <w:rPr>
          <w:rFonts w:ascii="Calibri" w:eastAsia="Calibri" w:hAnsi="Calibri" w:cs="Calibri"/>
          <w:b/>
          <w:bCs/>
          <w:sz w:val="22"/>
          <w:szCs w:val="22"/>
        </w:rPr>
        <w:t>Your Story, Your Practice</w:t>
      </w:r>
      <w:r w:rsidRPr="006F62D3">
        <w:rPr>
          <w:rFonts w:ascii="Calibri" w:eastAsia="Calibri" w:hAnsi="Calibri" w:cs="Calibri"/>
          <w:sz w:val="22"/>
          <w:szCs w:val="22"/>
        </w:rPr>
        <w:t xml:space="preserve"> – participant reflection and small-group talanoa</w:t>
      </w:r>
      <w:r w:rsidR="00000000" w:rsidRPr="006F62D3">
        <w:rPr>
          <w:sz w:val="22"/>
          <w:szCs w:val="22"/>
        </w:rPr>
        <w:br/>
      </w:r>
      <w:r w:rsidRPr="006F62D3">
        <w:rPr>
          <w:rFonts w:ascii="Calibri" w:eastAsia="Calibri" w:hAnsi="Calibri" w:cs="Calibri"/>
          <w:sz w:val="22"/>
          <w:szCs w:val="22"/>
        </w:rPr>
        <w:t xml:space="preserve"> </w:t>
      </w:r>
      <w:r w:rsidRPr="006F62D3">
        <w:rPr>
          <w:rFonts w:ascii="Calibri" w:eastAsia="Calibri" w:hAnsi="Calibri" w:cs="Calibri"/>
          <w:b/>
          <w:bCs/>
          <w:sz w:val="22"/>
          <w:szCs w:val="22"/>
        </w:rPr>
        <w:t>Closing</w:t>
      </w:r>
      <w:r w:rsidRPr="006F62D3">
        <w:rPr>
          <w:rFonts w:ascii="Calibri" w:eastAsia="Calibri" w:hAnsi="Calibri" w:cs="Calibri"/>
          <w:sz w:val="22"/>
          <w:szCs w:val="22"/>
        </w:rPr>
        <w:t xml:space="preserve"> – synthesis and key takeaways</w:t>
      </w:r>
    </w:p>
    <w:p w14:paraId="0C892791" w14:textId="33F35CAE" w:rsidR="000740A1" w:rsidRPr="006F62D3" w:rsidRDefault="0C399727" w:rsidP="006F62D3">
      <w:pPr>
        <w:spacing w:before="30" w:after="30"/>
        <w:rPr>
          <w:sz w:val="22"/>
          <w:szCs w:val="22"/>
        </w:rPr>
      </w:pPr>
      <w:r w:rsidRPr="006F62D3">
        <w:rPr>
          <w:rFonts w:ascii="Calibri" w:eastAsia="Calibri" w:hAnsi="Calibri" w:cs="Calibri"/>
          <w:b/>
          <w:bCs/>
          <w:sz w:val="22"/>
          <w:szCs w:val="22"/>
        </w:rPr>
        <w:t>Workshop Methods</w:t>
      </w:r>
      <w:r w:rsidR="00000000" w:rsidRPr="006F62D3">
        <w:rPr>
          <w:sz w:val="22"/>
          <w:szCs w:val="22"/>
        </w:rPr>
        <w:br/>
      </w:r>
      <w:r w:rsidRPr="006F62D3">
        <w:rPr>
          <w:rFonts w:ascii="Calibri" w:eastAsia="Calibri" w:hAnsi="Calibri" w:cs="Calibri"/>
          <w:sz w:val="22"/>
          <w:szCs w:val="22"/>
        </w:rPr>
        <w:t xml:space="preserve"> The session is participatory and experiential, including:</w:t>
      </w:r>
    </w:p>
    <w:p w14:paraId="38048396" w14:textId="4D20FFB5" w:rsidR="000740A1" w:rsidRPr="006F62D3" w:rsidRDefault="0C399727" w:rsidP="006F62D3">
      <w:pPr>
        <w:pStyle w:val="ListParagraph"/>
        <w:numPr>
          <w:ilvl w:val="0"/>
          <w:numId w:val="2"/>
        </w:numPr>
        <w:spacing w:before="30" w:after="30"/>
        <w:rPr>
          <w:rFonts w:ascii="Calibri" w:eastAsia="Calibri" w:hAnsi="Calibri" w:cs="Calibri"/>
          <w:sz w:val="22"/>
          <w:szCs w:val="22"/>
        </w:rPr>
      </w:pPr>
      <w:r w:rsidRPr="006F62D3">
        <w:rPr>
          <w:rFonts w:ascii="Calibri" w:eastAsia="Calibri" w:hAnsi="Calibri" w:cs="Calibri"/>
          <w:sz w:val="22"/>
          <w:szCs w:val="22"/>
        </w:rPr>
        <w:t xml:space="preserve">facilitator-led pūrākau sharing </w:t>
      </w:r>
    </w:p>
    <w:p w14:paraId="4C422999" w14:textId="5414D114" w:rsidR="000740A1" w:rsidRPr="006F62D3" w:rsidRDefault="0C399727" w:rsidP="006F62D3">
      <w:pPr>
        <w:pStyle w:val="ListParagraph"/>
        <w:numPr>
          <w:ilvl w:val="0"/>
          <w:numId w:val="2"/>
        </w:numPr>
        <w:spacing w:before="30" w:after="30"/>
        <w:rPr>
          <w:rFonts w:ascii="Calibri" w:eastAsia="Calibri" w:hAnsi="Calibri" w:cs="Calibri"/>
          <w:sz w:val="22"/>
          <w:szCs w:val="22"/>
        </w:rPr>
      </w:pPr>
      <w:r w:rsidRPr="006F62D3">
        <w:rPr>
          <w:rFonts w:ascii="Calibri" w:eastAsia="Calibri" w:hAnsi="Calibri" w:cs="Calibri"/>
          <w:sz w:val="22"/>
          <w:szCs w:val="22"/>
        </w:rPr>
        <w:t xml:space="preserve">reflective writing </w:t>
      </w:r>
    </w:p>
    <w:p w14:paraId="7D6A1CA9" w14:textId="4F3F89AB" w:rsidR="000740A1" w:rsidRPr="006F62D3" w:rsidRDefault="0C399727" w:rsidP="006F62D3">
      <w:pPr>
        <w:pStyle w:val="ListParagraph"/>
        <w:numPr>
          <w:ilvl w:val="0"/>
          <w:numId w:val="2"/>
        </w:numPr>
        <w:spacing w:before="30" w:after="30"/>
        <w:rPr>
          <w:rFonts w:ascii="Calibri" w:eastAsia="Calibri" w:hAnsi="Calibri" w:cs="Calibri"/>
          <w:sz w:val="22"/>
          <w:szCs w:val="22"/>
        </w:rPr>
      </w:pPr>
      <w:r w:rsidRPr="006F62D3">
        <w:rPr>
          <w:rFonts w:ascii="Calibri" w:eastAsia="Calibri" w:hAnsi="Calibri" w:cs="Calibri"/>
          <w:sz w:val="22"/>
          <w:szCs w:val="22"/>
        </w:rPr>
        <w:t xml:space="preserve">talanoa / kōrero in small groups </w:t>
      </w:r>
    </w:p>
    <w:p w14:paraId="2BDD9243" w14:textId="36133437" w:rsidR="000740A1" w:rsidRPr="006F62D3" w:rsidRDefault="0C399727" w:rsidP="006F62D3">
      <w:pPr>
        <w:pStyle w:val="ListParagraph"/>
        <w:numPr>
          <w:ilvl w:val="0"/>
          <w:numId w:val="2"/>
        </w:numPr>
        <w:spacing w:before="30" w:after="30"/>
        <w:rPr>
          <w:rFonts w:ascii="Calibri" w:eastAsia="Calibri" w:hAnsi="Calibri" w:cs="Calibri"/>
          <w:sz w:val="22"/>
          <w:szCs w:val="22"/>
        </w:rPr>
      </w:pPr>
      <w:r w:rsidRPr="006F62D3">
        <w:rPr>
          <w:rFonts w:ascii="Calibri" w:eastAsia="Calibri" w:hAnsi="Calibri" w:cs="Calibri"/>
          <w:sz w:val="22"/>
          <w:szCs w:val="22"/>
        </w:rPr>
        <w:t xml:space="preserve">practical application to participants’ </w:t>
      </w:r>
      <w:proofErr w:type="gramStart"/>
      <w:r w:rsidRPr="006F62D3">
        <w:rPr>
          <w:rFonts w:ascii="Calibri" w:eastAsia="Calibri" w:hAnsi="Calibri" w:cs="Calibri"/>
          <w:sz w:val="22"/>
          <w:szCs w:val="22"/>
        </w:rPr>
        <w:t>own</w:t>
      </w:r>
      <w:proofErr w:type="gramEnd"/>
      <w:r w:rsidRPr="006F62D3">
        <w:rPr>
          <w:rFonts w:ascii="Calibri" w:eastAsia="Calibri" w:hAnsi="Calibri" w:cs="Calibri"/>
          <w:sz w:val="22"/>
          <w:szCs w:val="22"/>
        </w:rPr>
        <w:t xml:space="preserve"> settings </w:t>
      </w:r>
    </w:p>
    <w:p w14:paraId="74BA7F74" w14:textId="7A48D543" w:rsidR="000740A1" w:rsidRPr="006F62D3" w:rsidRDefault="0C399727" w:rsidP="006F62D3">
      <w:pPr>
        <w:spacing w:before="30" w:after="30"/>
        <w:rPr>
          <w:sz w:val="22"/>
          <w:szCs w:val="22"/>
        </w:rPr>
      </w:pPr>
      <w:r w:rsidRPr="006F62D3">
        <w:rPr>
          <w:rFonts w:ascii="Calibri" w:eastAsia="Calibri" w:hAnsi="Calibri" w:cs="Calibri"/>
          <w:sz w:val="22"/>
          <w:szCs w:val="22"/>
        </w:rPr>
        <w:t>Participants will leave with ideas and prompts they can adapt to their own cultural and professional contexts.</w:t>
      </w:r>
    </w:p>
    <w:p w14:paraId="45ADE860" w14:textId="3C0974E9" w:rsidR="000740A1" w:rsidRPr="006F62D3" w:rsidRDefault="0C399727" w:rsidP="006F62D3">
      <w:pPr>
        <w:spacing w:before="30" w:after="30"/>
        <w:rPr>
          <w:sz w:val="22"/>
          <w:szCs w:val="22"/>
        </w:rPr>
      </w:pPr>
      <w:r w:rsidRPr="006F62D3">
        <w:rPr>
          <w:rFonts w:ascii="Calibri" w:eastAsia="Calibri" w:hAnsi="Calibri" w:cs="Calibri"/>
          <w:b/>
          <w:bCs/>
          <w:sz w:val="22"/>
          <w:szCs w:val="22"/>
        </w:rPr>
        <w:t>Intended Audience</w:t>
      </w:r>
      <w:r w:rsidR="00000000" w:rsidRPr="006F62D3">
        <w:rPr>
          <w:sz w:val="22"/>
          <w:szCs w:val="22"/>
        </w:rPr>
        <w:br/>
      </w:r>
      <w:r w:rsidRPr="006F62D3">
        <w:rPr>
          <w:rFonts w:ascii="Calibri" w:eastAsia="Calibri" w:hAnsi="Calibri" w:cs="Calibri"/>
          <w:sz w:val="22"/>
          <w:szCs w:val="22"/>
        </w:rPr>
        <w:t xml:space="preserve"> This workshop is suitable for:</w:t>
      </w:r>
    </w:p>
    <w:p w14:paraId="0D0F40FA" w14:textId="5AD91288" w:rsidR="000740A1" w:rsidRPr="006F62D3" w:rsidRDefault="0C399727" w:rsidP="006F62D3">
      <w:pPr>
        <w:pStyle w:val="ListParagraph"/>
        <w:numPr>
          <w:ilvl w:val="0"/>
          <w:numId w:val="1"/>
        </w:numPr>
        <w:spacing w:before="30" w:after="30"/>
        <w:rPr>
          <w:rFonts w:ascii="Calibri" w:eastAsia="Calibri" w:hAnsi="Calibri" w:cs="Calibri"/>
          <w:sz w:val="22"/>
          <w:szCs w:val="22"/>
        </w:rPr>
      </w:pPr>
      <w:r w:rsidRPr="006F62D3">
        <w:rPr>
          <w:rFonts w:ascii="Calibri" w:eastAsia="Calibri" w:hAnsi="Calibri" w:cs="Calibri"/>
          <w:sz w:val="22"/>
          <w:szCs w:val="22"/>
        </w:rPr>
        <w:t xml:space="preserve">career guidance practitioners </w:t>
      </w:r>
    </w:p>
    <w:p w14:paraId="75F089A5" w14:textId="13638732" w:rsidR="000740A1" w:rsidRPr="006F62D3" w:rsidRDefault="0C399727" w:rsidP="006F62D3">
      <w:pPr>
        <w:pStyle w:val="ListParagraph"/>
        <w:numPr>
          <w:ilvl w:val="0"/>
          <w:numId w:val="1"/>
        </w:numPr>
        <w:spacing w:before="30" w:after="30"/>
        <w:rPr>
          <w:rFonts w:ascii="Calibri" w:eastAsia="Calibri" w:hAnsi="Calibri" w:cs="Calibri"/>
          <w:sz w:val="22"/>
          <w:szCs w:val="22"/>
        </w:rPr>
      </w:pPr>
      <w:r w:rsidRPr="006F62D3">
        <w:rPr>
          <w:rFonts w:ascii="Calibri" w:eastAsia="Calibri" w:hAnsi="Calibri" w:cs="Calibri"/>
          <w:sz w:val="22"/>
          <w:szCs w:val="22"/>
        </w:rPr>
        <w:t xml:space="preserve">educators and school leaders </w:t>
      </w:r>
    </w:p>
    <w:p w14:paraId="48B89FD3" w14:textId="7EF15ED7" w:rsidR="000740A1" w:rsidRPr="006F62D3" w:rsidRDefault="0C399727" w:rsidP="006F62D3">
      <w:pPr>
        <w:pStyle w:val="ListParagraph"/>
        <w:numPr>
          <w:ilvl w:val="0"/>
          <w:numId w:val="1"/>
        </w:numPr>
        <w:spacing w:before="30" w:after="30"/>
        <w:rPr>
          <w:rFonts w:ascii="Calibri" w:eastAsia="Calibri" w:hAnsi="Calibri" w:cs="Calibri"/>
          <w:sz w:val="22"/>
          <w:szCs w:val="22"/>
        </w:rPr>
      </w:pPr>
      <w:r w:rsidRPr="006F62D3">
        <w:rPr>
          <w:rFonts w:ascii="Calibri" w:eastAsia="Calibri" w:hAnsi="Calibri" w:cs="Calibri"/>
          <w:sz w:val="22"/>
          <w:szCs w:val="22"/>
        </w:rPr>
        <w:t xml:space="preserve">youth workers and mentors </w:t>
      </w:r>
    </w:p>
    <w:p w14:paraId="7DBFE192" w14:textId="4A9FA275" w:rsidR="000740A1" w:rsidRPr="006F62D3" w:rsidRDefault="0C399727" w:rsidP="006F62D3">
      <w:pPr>
        <w:pStyle w:val="ListParagraph"/>
        <w:numPr>
          <w:ilvl w:val="0"/>
          <w:numId w:val="1"/>
        </w:numPr>
        <w:spacing w:before="30" w:after="30"/>
        <w:rPr>
          <w:rFonts w:ascii="Calibri" w:eastAsia="Calibri" w:hAnsi="Calibri" w:cs="Calibri"/>
          <w:sz w:val="22"/>
          <w:szCs w:val="22"/>
        </w:rPr>
      </w:pPr>
      <w:r w:rsidRPr="006F62D3">
        <w:rPr>
          <w:rFonts w:ascii="Calibri" w:eastAsia="Calibri" w:hAnsi="Calibri" w:cs="Calibri"/>
          <w:sz w:val="22"/>
          <w:szCs w:val="22"/>
        </w:rPr>
        <w:t xml:space="preserve">researchers in indigenous education and career development </w:t>
      </w:r>
    </w:p>
    <w:p w14:paraId="0EAA7C74" w14:textId="2DB92DD3" w:rsidR="000740A1" w:rsidRPr="006F62D3" w:rsidRDefault="0C399727" w:rsidP="006F62D3">
      <w:pPr>
        <w:pStyle w:val="ListParagraph"/>
        <w:numPr>
          <w:ilvl w:val="0"/>
          <w:numId w:val="1"/>
        </w:numPr>
        <w:spacing w:before="30" w:after="30"/>
        <w:rPr>
          <w:rFonts w:ascii="Calibri" w:eastAsia="Calibri" w:hAnsi="Calibri" w:cs="Calibri"/>
          <w:sz w:val="22"/>
          <w:szCs w:val="22"/>
        </w:rPr>
      </w:pPr>
      <w:r w:rsidRPr="006F62D3">
        <w:rPr>
          <w:rFonts w:ascii="Calibri" w:eastAsia="Calibri" w:hAnsi="Calibri" w:cs="Calibri"/>
          <w:sz w:val="22"/>
          <w:szCs w:val="22"/>
        </w:rPr>
        <w:t xml:space="preserve">policy makers and system leaders </w:t>
      </w:r>
    </w:p>
    <w:p w14:paraId="30B6BA1A" w14:textId="5402A58C" w:rsidR="000740A1" w:rsidRPr="006F62D3" w:rsidRDefault="0C399727" w:rsidP="006F62D3">
      <w:pPr>
        <w:pStyle w:val="ListParagraph"/>
        <w:numPr>
          <w:ilvl w:val="0"/>
          <w:numId w:val="1"/>
        </w:numPr>
        <w:spacing w:before="30" w:after="30"/>
        <w:rPr>
          <w:rFonts w:ascii="Calibri" w:eastAsia="Calibri" w:hAnsi="Calibri" w:cs="Calibri"/>
          <w:sz w:val="22"/>
          <w:szCs w:val="22"/>
        </w:rPr>
      </w:pPr>
      <w:r w:rsidRPr="006F62D3">
        <w:rPr>
          <w:rFonts w:ascii="Calibri" w:eastAsia="Calibri" w:hAnsi="Calibri" w:cs="Calibri"/>
          <w:sz w:val="22"/>
          <w:szCs w:val="22"/>
        </w:rPr>
        <w:t xml:space="preserve">international participants interested in culturally grounded pathways practice </w:t>
      </w:r>
    </w:p>
    <w:p w14:paraId="630FCAE3" w14:textId="31983BAD" w:rsidR="000740A1" w:rsidRPr="006F62D3" w:rsidRDefault="0C399727" w:rsidP="006F62D3">
      <w:pPr>
        <w:spacing w:before="30" w:after="30"/>
        <w:rPr>
          <w:sz w:val="22"/>
          <w:szCs w:val="22"/>
        </w:rPr>
      </w:pPr>
      <w:r w:rsidRPr="006F62D3">
        <w:rPr>
          <w:rFonts w:ascii="Calibri" w:eastAsia="Calibri" w:hAnsi="Calibri" w:cs="Calibri"/>
          <w:b/>
          <w:bCs/>
          <w:sz w:val="22"/>
          <w:szCs w:val="22"/>
        </w:rPr>
        <w:t>Alignment with Conference Theme</w:t>
      </w:r>
      <w:r w:rsidR="00000000" w:rsidRPr="006F62D3">
        <w:rPr>
          <w:sz w:val="22"/>
          <w:szCs w:val="22"/>
        </w:rPr>
        <w:br/>
      </w:r>
      <w:r w:rsidRPr="006F62D3">
        <w:rPr>
          <w:rFonts w:ascii="Calibri" w:eastAsia="Calibri" w:hAnsi="Calibri" w:cs="Calibri"/>
          <w:sz w:val="22"/>
          <w:szCs w:val="22"/>
        </w:rPr>
        <w:t xml:space="preserve"> This proposal strongly aligns with </w:t>
      </w:r>
      <w:r w:rsidRPr="006F62D3">
        <w:rPr>
          <w:rFonts w:ascii="Calibri" w:eastAsia="Calibri" w:hAnsi="Calibri" w:cs="Calibri"/>
          <w:b/>
          <w:bCs/>
          <w:sz w:val="22"/>
          <w:szCs w:val="22"/>
        </w:rPr>
        <w:t>Navigating the Future</w:t>
      </w:r>
      <w:r w:rsidRPr="006F62D3">
        <w:rPr>
          <w:rFonts w:ascii="Calibri" w:eastAsia="Calibri" w:hAnsi="Calibri" w:cs="Calibri"/>
          <w:sz w:val="22"/>
          <w:szCs w:val="22"/>
        </w:rPr>
        <w:t xml:space="preserve"> by drawing on ancestral Pacific navigation and extending that metaphor through story. Just as tūpuna navigated by stars, environment, and cultural knowledge, young people can navigate their futures by understanding the stories they carry.</w:t>
      </w:r>
    </w:p>
    <w:p w14:paraId="5E33F20A" w14:textId="25F08C53" w:rsidR="000740A1" w:rsidRPr="006F62D3" w:rsidRDefault="0C399727" w:rsidP="006F62D3">
      <w:pPr>
        <w:spacing w:before="30" w:after="30"/>
        <w:rPr>
          <w:sz w:val="22"/>
          <w:szCs w:val="22"/>
        </w:rPr>
      </w:pPr>
      <w:r w:rsidRPr="006F62D3">
        <w:rPr>
          <w:rFonts w:ascii="Calibri" w:eastAsia="Calibri" w:hAnsi="Calibri" w:cs="Calibri"/>
          <w:sz w:val="22"/>
          <w:szCs w:val="22"/>
        </w:rPr>
        <w:t xml:space="preserve">It also aligns with the </w:t>
      </w:r>
      <w:r w:rsidRPr="006F62D3">
        <w:rPr>
          <w:rFonts w:ascii="Calibri" w:eastAsia="Calibri" w:hAnsi="Calibri" w:cs="Calibri"/>
          <w:b/>
          <w:bCs/>
          <w:sz w:val="22"/>
          <w:szCs w:val="22"/>
        </w:rPr>
        <w:t>Indigenous Knowledge</w:t>
      </w:r>
      <w:r w:rsidRPr="006F62D3">
        <w:rPr>
          <w:rFonts w:ascii="Calibri" w:eastAsia="Calibri" w:hAnsi="Calibri" w:cs="Calibri"/>
          <w:sz w:val="22"/>
          <w:szCs w:val="22"/>
        </w:rPr>
        <w:t xml:space="preserve"> sub-theme by centring Māori oral traditions, pūrākau, whakapapa, and culturally grounded approaches to pathways development.</w:t>
      </w:r>
    </w:p>
    <w:p w14:paraId="7C28ABDE" w14:textId="003CF7EA" w:rsidR="000740A1" w:rsidRPr="006F62D3" w:rsidRDefault="0C399727" w:rsidP="006F62D3">
      <w:pPr>
        <w:spacing w:before="30" w:after="30"/>
        <w:rPr>
          <w:sz w:val="22"/>
          <w:szCs w:val="22"/>
        </w:rPr>
      </w:pPr>
      <w:r w:rsidRPr="006F62D3">
        <w:rPr>
          <w:rFonts w:ascii="Calibri" w:eastAsia="Calibri" w:hAnsi="Calibri" w:cs="Calibri"/>
          <w:b/>
          <w:bCs/>
          <w:sz w:val="22"/>
          <w:szCs w:val="22"/>
        </w:rPr>
        <w:t>Cultural Considerations</w:t>
      </w:r>
      <w:r w:rsidR="00000000" w:rsidRPr="006F62D3">
        <w:rPr>
          <w:sz w:val="22"/>
          <w:szCs w:val="22"/>
        </w:rPr>
        <w:br/>
      </w:r>
      <w:r w:rsidRPr="006F62D3">
        <w:rPr>
          <w:rFonts w:ascii="Calibri" w:eastAsia="Calibri" w:hAnsi="Calibri" w:cs="Calibri"/>
          <w:sz w:val="22"/>
          <w:szCs w:val="22"/>
        </w:rPr>
        <w:t xml:space="preserve"> This workshop is offered in the spirit of sharing indigenous approaches while recognising that every culture has its own narrative traditions. Participants will be encouraged to reflect on how storytelling, identity, and relational practice may be expressed within their own contexts and communities.</w:t>
      </w:r>
    </w:p>
    <w:p w14:paraId="38BA714D" w14:textId="01793390" w:rsidR="000740A1" w:rsidRPr="006F62D3" w:rsidRDefault="0C399727" w:rsidP="006F62D3">
      <w:pPr>
        <w:spacing w:before="30" w:after="30"/>
        <w:rPr>
          <w:sz w:val="22"/>
          <w:szCs w:val="22"/>
        </w:rPr>
      </w:pPr>
      <w:r w:rsidRPr="006F62D3">
        <w:rPr>
          <w:rFonts w:ascii="Calibri" w:eastAsia="Calibri" w:hAnsi="Calibri" w:cs="Calibri"/>
          <w:b/>
          <w:bCs/>
          <w:sz w:val="22"/>
          <w:szCs w:val="22"/>
        </w:rPr>
        <w:t>Key References</w:t>
      </w:r>
      <w:r w:rsidR="00000000" w:rsidRPr="006F62D3">
        <w:rPr>
          <w:sz w:val="22"/>
          <w:szCs w:val="22"/>
        </w:rPr>
        <w:br/>
      </w:r>
      <w:r w:rsidRPr="006F62D3">
        <w:rPr>
          <w:rFonts w:ascii="Calibri" w:eastAsia="Calibri" w:hAnsi="Calibri" w:cs="Calibri"/>
          <w:sz w:val="22"/>
          <w:szCs w:val="22"/>
        </w:rPr>
        <w:t xml:space="preserve"> Durie, M. – </w:t>
      </w:r>
      <w:r w:rsidRPr="006F62D3">
        <w:rPr>
          <w:rFonts w:ascii="Calibri" w:eastAsia="Calibri" w:hAnsi="Calibri" w:cs="Calibri"/>
          <w:i/>
          <w:iCs/>
          <w:sz w:val="22"/>
          <w:szCs w:val="22"/>
        </w:rPr>
        <w:t>Te Whare Tapa Whā</w:t>
      </w:r>
      <w:r w:rsidR="00000000" w:rsidRPr="006F62D3">
        <w:rPr>
          <w:sz w:val="22"/>
          <w:szCs w:val="22"/>
        </w:rPr>
        <w:br/>
      </w:r>
      <w:r w:rsidRPr="006F62D3">
        <w:rPr>
          <w:rFonts w:ascii="Calibri" w:eastAsia="Calibri" w:hAnsi="Calibri" w:cs="Calibri"/>
          <w:sz w:val="22"/>
          <w:szCs w:val="22"/>
        </w:rPr>
        <w:t xml:space="preserve"> Lee, J. – </w:t>
      </w:r>
      <w:r w:rsidRPr="006F62D3">
        <w:rPr>
          <w:rFonts w:ascii="Calibri" w:eastAsia="Calibri" w:hAnsi="Calibri" w:cs="Calibri"/>
          <w:i/>
          <w:iCs/>
          <w:sz w:val="22"/>
          <w:szCs w:val="22"/>
        </w:rPr>
        <w:t>Pūrākau as method</w:t>
      </w:r>
      <w:r w:rsidR="00000000" w:rsidRPr="006F62D3">
        <w:rPr>
          <w:sz w:val="22"/>
          <w:szCs w:val="22"/>
        </w:rPr>
        <w:br/>
      </w:r>
      <w:r w:rsidRPr="006F62D3">
        <w:rPr>
          <w:rFonts w:ascii="Calibri" w:eastAsia="Calibri" w:hAnsi="Calibri" w:cs="Calibri"/>
          <w:sz w:val="22"/>
          <w:szCs w:val="22"/>
        </w:rPr>
        <w:t xml:space="preserve"> Royal, T. A. C. – </w:t>
      </w:r>
      <w:r w:rsidRPr="006F62D3">
        <w:rPr>
          <w:rFonts w:ascii="Calibri" w:eastAsia="Calibri" w:hAnsi="Calibri" w:cs="Calibri"/>
          <w:i/>
          <w:iCs/>
          <w:sz w:val="22"/>
          <w:szCs w:val="22"/>
        </w:rPr>
        <w:t>Pūrākau: A genre of storytelling</w:t>
      </w:r>
      <w:r w:rsidR="00000000" w:rsidRPr="006F62D3">
        <w:rPr>
          <w:sz w:val="22"/>
          <w:szCs w:val="22"/>
        </w:rPr>
        <w:br/>
      </w:r>
      <w:r w:rsidRPr="006F62D3">
        <w:rPr>
          <w:rFonts w:ascii="Calibri" w:eastAsia="Calibri" w:hAnsi="Calibri" w:cs="Calibri"/>
          <w:sz w:val="22"/>
          <w:szCs w:val="22"/>
        </w:rPr>
        <w:t xml:space="preserve"> Pulotu-Endemann, F. K. – </w:t>
      </w:r>
      <w:r w:rsidRPr="006F62D3">
        <w:rPr>
          <w:rFonts w:ascii="Calibri" w:eastAsia="Calibri" w:hAnsi="Calibri" w:cs="Calibri"/>
          <w:i/>
          <w:iCs/>
          <w:sz w:val="22"/>
          <w:szCs w:val="22"/>
        </w:rPr>
        <w:t>Fonofale Model of Health</w:t>
      </w:r>
      <w:r w:rsidR="00000000" w:rsidRPr="006F62D3">
        <w:rPr>
          <w:sz w:val="22"/>
          <w:szCs w:val="22"/>
        </w:rPr>
        <w:br/>
      </w:r>
      <w:r w:rsidRPr="006F62D3">
        <w:rPr>
          <w:rFonts w:ascii="Calibri" w:eastAsia="Calibri" w:hAnsi="Calibri" w:cs="Calibri"/>
          <w:sz w:val="22"/>
          <w:szCs w:val="22"/>
        </w:rPr>
        <w:t xml:space="preserve"> Savickas, M. L. – </w:t>
      </w:r>
      <w:r w:rsidRPr="006F62D3">
        <w:rPr>
          <w:rFonts w:ascii="Calibri" w:eastAsia="Calibri" w:hAnsi="Calibri" w:cs="Calibri"/>
          <w:i/>
          <w:iCs/>
          <w:sz w:val="22"/>
          <w:szCs w:val="22"/>
        </w:rPr>
        <w:t>Career Counseling</w:t>
      </w:r>
      <w:r w:rsidRPr="006F62D3">
        <w:rPr>
          <w:rFonts w:ascii="Calibri" w:eastAsia="Calibri" w:hAnsi="Calibri" w:cs="Calibri"/>
          <w:sz w:val="22"/>
          <w:szCs w:val="22"/>
        </w:rPr>
        <w:t xml:space="preserve">; </w:t>
      </w:r>
      <w:r w:rsidRPr="006F62D3">
        <w:rPr>
          <w:rFonts w:ascii="Calibri" w:eastAsia="Calibri" w:hAnsi="Calibri" w:cs="Calibri"/>
          <w:i/>
          <w:iCs/>
          <w:sz w:val="22"/>
          <w:szCs w:val="22"/>
        </w:rPr>
        <w:t>Life Design</w:t>
      </w:r>
      <w:r w:rsidR="00000000" w:rsidRPr="006F62D3">
        <w:rPr>
          <w:sz w:val="22"/>
          <w:szCs w:val="22"/>
        </w:rPr>
        <w:br/>
      </w:r>
      <w:r w:rsidRPr="006F62D3">
        <w:rPr>
          <w:rFonts w:ascii="Calibri" w:eastAsia="Calibri" w:hAnsi="Calibri" w:cs="Calibri"/>
          <w:sz w:val="22"/>
          <w:szCs w:val="22"/>
        </w:rPr>
        <w:t xml:space="preserve"> Deci, E. L., &amp; Ryan, R. M. – </w:t>
      </w:r>
      <w:r w:rsidRPr="006F62D3">
        <w:rPr>
          <w:rFonts w:ascii="Calibri" w:eastAsia="Calibri" w:hAnsi="Calibri" w:cs="Calibri"/>
          <w:i/>
          <w:iCs/>
          <w:sz w:val="22"/>
          <w:szCs w:val="22"/>
        </w:rPr>
        <w:t>Self-Determination Theory</w:t>
      </w:r>
      <w:r w:rsidR="00000000" w:rsidRPr="006F62D3">
        <w:rPr>
          <w:sz w:val="22"/>
          <w:szCs w:val="22"/>
        </w:rPr>
        <w:br/>
      </w:r>
      <w:r w:rsidRPr="006F62D3">
        <w:rPr>
          <w:rFonts w:ascii="Calibri" w:eastAsia="Calibri" w:hAnsi="Calibri" w:cs="Calibri"/>
          <w:sz w:val="22"/>
          <w:szCs w:val="22"/>
        </w:rPr>
        <w:t xml:space="preserve"> Bishop, R. – </w:t>
      </w:r>
      <w:r w:rsidRPr="006F62D3">
        <w:rPr>
          <w:rFonts w:ascii="Calibri" w:eastAsia="Calibri" w:hAnsi="Calibri" w:cs="Calibri"/>
          <w:i/>
          <w:iCs/>
          <w:sz w:val="22"/>
          <w:szCs w:val="22"/>
        </w:rPr>
        <w:t>Teaching to the North-East</w:t>
      </w:r>
    </w:p>
    <w:p w14:paraId="7141186F" w14:textId="67BEF720" w:rsidR="000740A1" w:rsidRPr="006F62D3" w:rsidRDefault="0C399727" w:rsidP="006F62D3">
      <w:pPr>
        <w:spacing w:before="30" w:after="30"/>
        <w:rPr>
          <w:sz w:val="22"/>
          <w:szCs w:val="22"/>
        </w:rPr>
      </w:pPr>
      <w:r w:rsidRPr="006F62D3">
        <w:rPr>
          <w:rFonts w:ascii="Calibri" w:eastAsia="Calibri" w:hAnsi="Calibri" w:cs="Calibri"/>
          <w:b/>
          <w:bCs/>
          <w:sz w:val="22"/>
          <w:szCs w:val="22"/>
        </w:rPr>
        <w:t>Presenter Information</w:t>
      </w:r>
      <w:r w:rsidR="00000000" w:rsidRPr="006F62D3">
        <w:rPr>
          <w:sz w:val="22"/>
          <w:szCs w:val="22"/>
        </w:rPr>
        <w:br/>
      </w:r>
      <w:r w:rsidRPr="006F62D3">
        <w:rPr>
          <w:rFonts w:ascii="Calibri" w:eastAsia="Calibri" w:hAnsi="Calibri" w:cs="Calibri"/>
          <w:b/>
          <w:bCs/>
          <w:sz w:val="22"/>
          <w:szCs w:val="22"/>
        </w:rPr>
        <w:t>Mel Veituna</w:t>
      </w:r>
      <w:r w:rsidRPr="006F62D3">
        <w:rPr>
          <w:rFonts w:ascii="Calibri" w:eastAsia="Calibri" w:hAnsi="Calibri" w:cs="Calibri"/>
          <w:sz w:val="22"/>
          <w:szCs w:val="22"/>
        </w:rPr>
        <w:t xml:space="preserve">, from </w:t>
      </w:r>
      <w:proofErr w:type="spellStart"/>
      <w:r w:rsidRPr="006F62D3">
        <w:rPr>
          <w:rFonts w:ascii="Calibri" w:eastAsia="Calibri" w:hAnsi="Calibri" w:cs="Calibri"/>
          <w:sz w:val="22"/>
          <w:szCs w:val="22"/>
        </w:rPr>
        <w:t>Ngā</w:t>
      </w:r>
      <w:proofErr w:type="spellEnd"/>
      <w:r w:rsidRPr="006F62D3">
        <w:rPr>
          <w:rFonts w:ascii="Calibri" w:eastAsia="Calibri" w:hAnsi="Calibri" w:cs="Calibri"/>
          <w:sz w:val="22"/>
          <w:szCs w:val="22"/>
        </w:rPr>
        <w:t xml:space="preserve"> Taiātea Wharekura, brings a strong Māori-medium perspective and a commitment to empowering rangatahi Māori to succeed as Māori in Te Ao Hurihuri.</w:t>
      </w:r>
    </w:p>
    <w:p w14:paraId="35BBED15" w14:textId="3FAA9C56" w:rsidR="000740A1" w:rsidRPr="006F62D3" w:rsidRDefault="0C399727" w:rsidP="006F62D3">
      <w:pPr>
        <w:spacing w:before="30" w:after="30"/>
        <w:rPr>
          <w:sz w:val="22"/>
          <w:szCs w:val="22"/>
        </w:rPr>
      </w:pPr>
      <w:r w:rsidRPr="006F62D3">
        <w:rPr>
          <w:rFonts w:ascii="Calibri" w:eastAsia="Calibri" w:hAnsi="Calibri" w:cs="Calibri"/>
          <w:b/>
          <w:bCs/>
          <w:sz w:val="22"/>
          <w:szCs w:val="22"/>
        </w:rPr>
        <w:t>Trudy Harrison</w:t>
      </w:r>
      <w:r w:rsidRPr="006F62D3">
        <w:rPr>
          <w:rFonts w:ascii="Calibri" w:eastAsia="Calibri" w:hAnsi="Calibri" w:cs="Calibri"/>
          <w:sz w:val="22"/>
          <w:szCs w:val="22"/>
        </w:rPr>
        <w:t>, from Te Aho o Te Kura Pounamu, brings cultural leadership and a strong commitment to weaving Māori perspectives, values, and aspirations. Her work focuses on culturally responsive practice, meaningful partnerships with whānau and hapori, and supporting young people to navigate their futures with confidence and cultural pride.</w:t>
      </w:r>
    </w:p>
    <w:p w14:paraId="5E5787A5" w14:textId="2AF72369" w:rsidR="000740A1" w:rsidRPr="006F62D3" w:rsidRDefault="000740A1" w:rsidP="006F62D3">
      <w:pPr>
        <w:spacing w:before="30" w:after="30"/>
        <w:rPr>
          <w:sz w:val="22"/>
          <w:szCs w:val="22"/>
        </w:rPr>
      </w:pPr>
    </w:p>
    <w:sectPr w:rsidR="000740A1" w:rsidRPr="006F62D3">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16767"/>
    <w:multiLevelType w:val="hybridMultilevel"/>
    <w:tmpl w:val="BAC6E7B6"/>
    <w:lvl w:ilvl="0" w:tplc="CDAA9200">
      <w:start w:val="1"/>
      <w:numFmt w:val="bullet"/>
      <w:lvlText w:val=""/>
      <w:lvlJc w:val="left"/>
      <w:pPr>
        <w:ind w:left="720" w:hanging="360"/>
      </w:pPr>
      <w:rPr>
        <w:rFonts w:ascii="Symbol" w:hAnsi="Symbol" w:hint="default"/>
      </w:rPr>
    </w:lvl>
    <w:lvl w:ilvl="1" w:tplc="A1A01E4E">
      <w:start w:val="1"/>
      <w:numFmt w:val="bullet"/>
      <w:lvlText w:val="o"/>
      <w:lvlJc w:val="left"/>
      <w:pPr>
        <w:ind w:left="1440" w:hanging="360"/>
      </w:pPr>
      <w:rPr>
        <w:rFonts w:ascii="Courier New" w:hAnsi="Courier New" w:hint="default"/>
      </w:rPr>
    </w:lvl>
    <w:lvl w:ilvl="2" w:tplc="FA0A1058">
      <w:start w:val="1"/>
      <w:numFmt w:val="bullet"/>
      <w:lvlText w:val=""/>
      <w:lvlJc w:val="left"/>
      <w:pPr>
        <w:ind w:left="2160" w:hanging="360"/>
      </w:pPr>
      <w:rPr>
        <w:rFonts w:ascii="Wingdings" w:hAnsi="Wingdings" w:hint="default"/>
      </w:rPr>
    </w:lvl>
    <w:lvl w:ilvl="3" w:tplc="71EA7B72">
      <w:start w:val="1"/>
      <w:numFmt w:val="bullet"/>
      <w:lvlText w:val=""/>
      <w:lvlJc w:val="left"/>
      <w:pPr>
        <w:ind w:left="2880" w:hanging="360"/>
      </w:pPr>
      <w:rPr>
        <w:rFonts w:ascii="Symbol" w:hAnsi="Symbol" w:hint="default"/>
      </w:rPr>
    </w:lvl>
    <w:lvl w:ilvl="4" w:tplc="4F328984">
      <w:start w:val="1"/>
      <w:numFmt w:val="bullet"/>
      <w:lvlText w:val="o"/>
      <w:lvlJc w:val="left"/>
      <w:pPr>
        <w:ind w:left="3600" w:hanging="360"/>
      </w:pPr>
      <w:rPr>
        <w:rFonts w:ascii="Courier New" w:hAnsi="Courier New" w:hint="default"/>
      </w:rPr>
    </w:lvl>
    <w:lvl w:ilvl="5" w:tplc="120008DC">
      <w:start w:val="1"/>
      <w:numFmt w:val="bullet"/>
      <w:lvlText w:val=""/>
      <w:lvlJc w:val="left"/>
      <w:pPr>
        <w:ind w:left="4320" w:hanging="360"/>
      </w:pPr>
      <w:rPr>
        <w:rFonts w:ascii="Wingdings" w:hAnsi="Wingdings" w:hint="default"/>
      </w:rPr>
    </w:lvl>
    <w:lvl w:ilvl="6" w:tplc="52E45EA6">
      <w:start w:val="1"/>
      <w:numFmt w:val="bullet"/>
      <w:lvlText w:val=""/>
      <w:lvlJc w:val="left"/>
      <w:pPr>
        <w:ind w:left="5040" w:hanging="360"/>
      </w:pPr>
      <w:rPr>
        <w:rFonts w:ascii="Symbol" w:hAnsi="Symbol" w:hint="default"/>
      </w:rPr>
    </w:lvl>
    <w:lvl w:ilvl="7" w:tplc="86CE20EE">
      <w:start w:val="1"/>
      <w:numFmt w:val="bullet"/>
      <w:lvlText w:val="o"/>
      <w:lvlJc w:val="left"/>
      <w:pPr>
        <w:ind w:left="5760" w:hanging="360"/>
      </w:pPr>
      <w:rPr>
        <w:rFonts w:ascii="Courier New" w:hAnsi="Courier New" w:hint="default"/>
      </w:rPr>
    </w:lvl>
    <w:lvl w:ilvl="8" w:tplc="9B08ED26">
      <w:start w:val="1"/>
      <w:numFmt w:val="bullet"/>
      <w:lvlText w:val=""/>
      <w:lvlJc w:val="left"/>
      <w:pPr>
        <w:ind w:left="6480" w:hanging="360"/>
      </w:pPr>
      <w:rPr>
        <w:rFonts w:ascii="Wingdings" w:hAnsi="Wingdings" w:hint="default"/>
      </w:rPr>
    </w:lvl>
  </w:abstractNum>
  <w:abstractNum w:abstractNumId="1" w15:restartNumberingAfterBreak="0">
    <w:nsid w:val="17C39FEA"/>
    <w:multiLevelType w:val="hybridMultilevel"/>
    <w:tmpl w:val="E3D280AA"/>
    <w:lvl w:ilvl="0" w:tplc="7E060C98">
      <w:start w:val="1"/>
      <w:numFmt w:val="bullet"/>
      <w:lvlText w:val=""/>
      <w:lvlJc w:val="left"/>
      <w:pPr>
        <w:ind w:left="720" w:hanging="360"/>
      </w:pPr>
      <w:rPr>
        <w:rFonts w:ascii="Symbol" w:hAnsi="Symbol" w:hint="default"/>
      </w:rPr>
    </w:lvl>
    <w:lvl w:ilvl="1" w:tplc="5F4A255C">
      <w:start w:val="1"/>
      <w:numFmt w:val="bullet"/>
      <w:lvlText w:val="o"/>
      <w:lvlJc w:val="left"/>
      <w:pPr>
        <w:ind w:left="1440" w:hanging="360"/>
      </w:pPr>
      <w:rPr>
        <w:rFonts w:ascii="Courier New" w:hAnsi="Courier New" w:hint="default"/>
      </w:rPr>
    </w:lvl>
    <w:lvl w:ilvl="2" w:tplc="AC802A62">
      <w:start w:val="1"/>
      <w:numFmt w:val="bullet"/>
      <w:lvlText w:val=""/>
      <w:lvlJc w:val="left"/>
      <w:pPr>
        <w:ind w:left="2160" w:hanging="360"/>
      </w:pPr>
      <w:rPr>
        <w:rFonts w:ascii="Wingdings" w:hAnsi="Wingdings" w:hint="default"/>
      </w:rPr>
    </w:lvl>
    <w:lvl w:ilvl="3" w:tplc="736C64B2">
      <w:start w:val="1"/>
      <w:numFmt w:val="bullet"/>
      <w:lvlText w:val=""/>
      <w:lvlJc w:val="left"/>
      <w:pPr>
        <w:ind w:left="2880" w:hanging="360"/>
      </w:pPr>
      <w:rPr>
        <w:rFonts w:ascii="Symbol" w:hAnsi="Symbol" w:hint="default"/>
      </w:rPr>
    </w:lvl>
    <w:lvl w:ilvl="4" w:tplc="9688627A">
      <w:start w:val="1"/>
      <w:numFmt w:val="bullet"/>
      <w:lvlText w:val="o"/>
      <w:lvlJc w:val="left"/>
      <w:pPr>
        <w:ind w:left="3600" w:hanging="360"/>
      </w:pPr>
      <w:rPr>
        <w:rFonts w:ascii="Courier New" w:hAnsi="Courier New" w:hint="default"/>
      </w:rPr>
    </w:lvl>
    <w:lvl w:ilvl="5" w:tplc="48D0BB04">
      <w:start w:val="1"/>
      <w:numFmt w:val="bullet"/>
      <w:lvlText w:val=""/>
      <w:lvlJc w:val="left"/>
      <w:pPr>
        <w:ind w:left="4320" w:hanging="360"/>
      </w:pPr>
      <w:rPr>
        <w:rFonts w:ascii="Wingdings" w:hAnsi="Wingdings" w:hint="default"/>
      </w:rPr>
    </w:lvl>
    <w:lvl w:ilvl="6" w:tplc="2CD8AED2">
      <w:start w:val="1"/>
      <w:numFmt w:val="bullet"/>
      <w:lvlText w:val=""/>
      <w:lvlJc w:val="left"/>
      <w:pPr>
        <w:ind w:left="5040" w:hanging="360"/>
      </w:pPr>
      <w:rPr>
        <w:rFonts w:ascii="Symbol" w:hAnsi="Symbol" w:hint="default"/>
      </w:rPr>
    </w:lvl>
    <w:lvl w:ilvl="7" w:tplc="5BCAD70A">
      <w:start w:val="1"/>
      <w:numFmt w:val="bullet"/>
      <w:lvlText w:val="o"/>
      <w:lvlJc w:val="left"/>
      <w:pPr>
        <w:ind w:left="5760" w:hanging="360"/>
      </w:pPr>
      <w:rPr>
        <w:rFonts w:ascii="Courier New" w:hAnsi="Courier New" w:hint="default"/>
      </w:rPr>
    </w:lvl>
    <w:lvl w:ilvl="8" w:tplc="5750EF52">
      <w:start w:val="1"/>
      <w:numFmt w:val="bullet"/>
      <w:lvlText w:val=""/>
      <w:lvlJc w:val="left"/>
      <w:pPr>
        <w:ind w:left="6480" w:hanging="360"/>
      </w:pPr>
      <w:rPr>
        <w:rFonts w:ascii="Wingdings" w:hAnsi="Wingdings" w:hint="default"/>
      </w:rPr>
    </w:lvl>
  </w:abstractNum>
  <w:abstractNum w:abstractNumId="2" w15:restartNumberingAfterBreak="0">
    <w:nsid w:val="32146E5D"/>
    <w:multiLevelType w:val="hybridMultilevel"/>
    <w:tmpl w:val="AD20548A"/>
    <w:lvl w:ilvl="0" w:tplc="AA2E5298">
      <w:start w:val="1"/>
      <w:numFmt w:val="bullet"/>
      <w:lvlText w:val=""/>
      <w:lvlJc w:val="left"/>
      <w:pPr>
        <w:ind w:left="720" w:hanging="360"/>
      </w:pPr>
      <w:rPr>
        <w:rFonts w:ascii="Symbol" w:hAnsi="Symbol" w:hint="default"/>
      </w:rPr>
    </w:lvl>
    <w:lvl w:ilvl="1" w:tplc="1AB27BA6">
      <w:start w:val="1"/>
      <w:numFmt w:val="bullet"/>
      <w:lvlText w:val="o"/>
      <w:lvlJc w:val="left"/>
      <w:pPr>
        <w:ind w:left="1440" w:hanging="360"/>
      </w:pPr>
      <w:rPr>
        <w:rFonts w:ascii="Courier New" w:hAnsi="Courier New" w:hint="default"/>
      </w:rPr>
    </w:lvl>
    <w:lvl w:ilvl="2" w:tplc="0BB0B20A">
      <w:start w:val="1"/>
      <w:numFmt w:val="bullet"/>
      <w:lvlText w:val=""/>
      <w:lvlJc w:val="left"/>
      <w:pPr>
        <w:ind w:left="2160" w:hanging="360"/>
      </w:pPr>
      <w:rPr>
        <w:rFonts w:ascii="Wingdings" w:hAnsi="Wingdings" w:hint="default"/>
      </w:rPr>
    </w:lvl>
    <w:lvl w:ilvl="3" w:tplc="DED0665E">
      <w:start w:val="1"/>
      <w:numFmt w:val="bullet"/>
      <w:lvlText w:val=""/>
      <w:lvlJc w:val="left"/>
      <w:pPr>
        <w:ind w:left="2880" w:hanging="360"/>
      </w:pPr>
      <w:rPr>
        <w:rFonts w:ascii="Symbol" w:hAnsi="Symbol" w:hint="default"/>
      </w:rPr>
    </w:lvl>
    <w:lvl w:ilvl="4" w:tplc="A28ED220">
      <w:start w:val="1"/>
      <w:numFmt w:val="bullet"/>
      <w:lvlText w:val="o"/>
      <w:lvlJc w:val="left"/>
      <w:pPr>
        <w:ind w:left="3600" w:hanging="360"/>
      </w:pPr>
      <w:rPr>
        <w:rFonts w:ascii="Courier New" w:hAnsi="Courier New" w:hint="default"/>
      </w:rPr>
    </w:lvl>
    <w:lvl w:ilvl="5" w:tplc="9A1EEE04">
      <w:start w:val="1"/>
      <w:numFmt w:val="bullet"/>
      <w:lvlText w:val=""/>
      <w:lvlJc w:val="left"/>
      <w:pPr>
        <w:ind w:left="4320" w:hanging="360"/>
      </w:pPr>
      <w:rPr>
        <w:rFonts w:ascii="Wingdings" w:hAnsi="Wingdings" w:hint="default"/>
      </w:rPr>
    </w:lvl>
    <w:lvl w:ilvl="6" w:tplc="AF480B16">
      <w:start w:val="1"/>
      <w:numFmt w:val="bullet"/>
      <w:lvlText w:val=""/>
      <w:lvlJc w:val="left"/>
      <w:pPr>
        <w:ind w:left="5040" w:hanging="360"/>
      </w:pPr>
      <w:rPr>
        <w:rFonts w:ascii="Symbol" w:hAnsi="Symbol" w:hint="default"/>
      </w:rPr>
    </w:lvl>
    <w:lvl w:ilvl="7" w:tplc="BC628EC0">
      <w:start w:val="1"/>
      <w:numFmt w:val="bullet"/>
      <w:lvlText w:val="o"/>
      <w:lvlJc w:val="left"/>
      <w:pPr>
        <w:ind w:left="5760" w:hanging="360"/>
      </w:pPr>
      <w:rPr>
        <w:rFonts w:ascii="Courier New" w:hAnsi="Courier New" w:hint="default"/>
      </w:rPr>
    </w:lvl>
    <w:lvl w:ilvl="8" w:tplc="D076EFB8">
      <w:start w:val="1"/>
      <w:numFmt w:val="bullet"/>
      <w:lvlText w:val=""/>
      <w:lvlJc w:val="left"/>
      <w:pPr>
        <w:ind w:left="6480" w:hanging="360"/>
      </w:pPr>
      <w:rPr>
        <w:rFonts w:ascii="Wingdings" w:hAnsi="Wingdings" w:hint="default"/>
      </w:rPr>
    </w:lvl>
  </w:abstractNum>
  <w:abstractNum w:abstractNumId="3" w15:restartNumberingAfterBreak="0">
    <w:nsid w:val="3533CFFF"/>
    <w:multiLevelType w:val="hybridMultilevel"/>
    <w:tmpl w:val="24B828DC"/>
    <w:lvl w:ilvl="0" w:tplc="EEB8A5D0">
      <w:start w:val="1"/>
      <w:numFmt w:val="bullet"/>
      <w:lvlText w:val=""/>
      <w:lvlJc w:val="left"/>
      <w:pPr>
        <w:ind w:left="720" w:hanging="360"/>
      </w:pPr>
      <w:rPr>
        <w:rFonts w:ascii="Symbol" w:hAnsi="Symbol" w:hint="default"/>
      </w:rPr>
    </w:lvl>
    <w:lvl w:ilvl="1" w:tplc="95D80F72">
      <w:start w:val="1"/>
      <w:numFmt w:val="bullet"/>
      <w:lvlText w:val="o"/>
      <w:lvlJc w:val="left"/>
      <w:pPr>
        <w:ind w:left="1440" w:hanging="360"/>
      </w:pPr>
      <w:rPr>
        <w:rFonts w:ascii="Courier New" w:hAnsi="Courier New" w:hint="default"/>
      </w:rPr>
    </w:lvl>
    <w:lvl w:ilvl="2" w:tplc="E56E43E6">
      <w:start w:val="1"/>
      <w:numFmt w:val="bullet"/>
      <w:lvlText w:val=""/>
      <w:lvlJc w:val="left"/>
      <w:pPr>
        <w:ind w:left="2160" w:hanging="360"/>
      </w:pPr>
      <w:rPr>
        <w:rFonts w:ascii="Wingdings" w:hAnsi="Wingdings" w:hint="default"/>
      </w:rPr>
    </w:lvl>
    <w:lvl w:ilvl="3" w:tplc="3E548A80">
      <w:start w:val="1"/>
      <w:numFmt w:val="bullet"/>
      <w:lvlText w:val=""/>
      <w:lvlJc w:val="left"/>
      <w:pPr>
        <w:ind w:left="2880" w:hanging="360"/>
      </w:pPr>
      <w:rPr>
        <w:rFonts w:ascii="Symbol" w:hAnsi="Symbol" w:hint="default"/>
      </w:rPr>
    </w:lvl>
    <w:lvl w:ilvl="4" w:tplc="EAF6706C">
      <w:start w:val="1"/>
      <w:numFmt w:val="bullet"/>
      <w:lvlText w:val="o"/>
      <w:lvlJc w:val="left"/>
      <w:pPr>
        <w:ind w:left="3600" w:hanging="360"/>
      </w:pPr>
      <w:rPr>
        <w:rFonts w:ascii="Courier New" w:hAnsi="Courier New" w:hint="default"/>
      </w:rPr>
    </w:lvl>
    <w:lvl w:ilvl="5" w:tplc="831C3758">
      <w:start w:val="1"/>
      <w:numFmt w:val="bullet"/>
      <w:lvlText w:val=""/>
      <w:lvlJc w:val="left"/>
      <w:pPr>
        <w:ind w:left="4320" w:hanging="360"/>
      </w:pPr>
      <w:rPr>
        <w:rFonts w:ascii="Wingdings" w:hAnsi="Wingdings" w:hint="default"/>
      </w:rPr>
    </w:lvl>
    <w:lvl w:ilvl="6" w:tplc="B89E3268">
      <w:start w:val="1"/>
      <w:numFmt w:val="bullet"/>
      <w:lvlText w:val=""/>
      <w:lvlJc w:val="left"/>
      <w:pPr>
        <w:ind w:left="5040" w:hanging="360"/>
      </w:pPr>
      <w:rPr>
        <w:rFonts w:ascii="Symbol" w:hAnsi="Symbol" w:hint="default"/>
      </w:rPr>
    </w:lvl>
    <w:lvl w:ilvl="7" w:tplc="3D9264B0">
      <w:start w:val="1"/>
      <w:numFmt w:val="bullet"/>
      <w:lvlText w:val="o"/>
      <w:lvlJc w:val="left"/>
      <w:pPr>
        <w:ind w:left="5760" w:hanging="360"/>
      </w:pPr>
      <w:rPr>
        <w:rFonts w:ascii="Courier New" w:hAnsi="Courier New" w:hint="default"/>
      </w:rPr>
    </w:lvl>
    <w:lvl w:ilvl="8" w:tplc="4E5A5770">
      <w:start w:val="1"/>
      <w:numFmt w:val="bullet"/>
      <w:lvlText w:val=""/>
      <w:lvlJc w:val="left"/>
      <w:pPr>
        <w:ind w:left="6480" w:hanging="360"/>
      </w:pPr>
      <w:rPr>
        <w:rFonts w:ascii="Wingdings" w:hAnsi="Wingdings" w:hint="default"/>
      </w:rPr>
    </w:lvl>
  </w:abstractNum>
  <w:abstractNum w:abstractNumId="4" w15:restartNumberingAfterBreak="0">
    <w:nsid w:val="41952425"/>
    <w:multiLevelType w:val="hybridMultilevel"/>
    <w:tmpl w:val="06BA517E"/>
    <w:lvl w:ilvl="0" w:tplc="CF523B3E">
      <w:start w:val="1"/>
      <w:numFmt w:val="bullet"/>
      <w:lvlText w:val=""/>
      <w:lvlJc w:val="left"/>
      <w:pPr>
        <w:ind w:left="720" w:hanging="360"/>
      </w:pPr>
      <w:rPr>
        <w:rFonts w:ascii="Symbol" w:hAnsi="Symbol" w:hint="default"/>
      </w:rPr>
    </w:lvl>
    <w:lvl w:ilvl="1" w:tplc="2BF0E5F8">
      <w:start w:val="1"/>
      <w:numFmt w:val="bullet"/>
      <w:lvlText w:val="o"/>
      <w:lvlJc w:val="left"/>
      <w:pPr>
        <w:ind w:left="1440" w:hanging="360"/>
      </w:pPr>
      <w:rPr>
        <w:rFonts w:ascii="Courier New" w:hAnsi="Courier New" w:hint="default"/>
      </w:rPr>
    </w:lvl>
    <w:lvl w:ilvl="2" w:tplc="F8DA70EC">
      <w:start w:val="1"/>
      <w:numFmt w:val="bullet"/>
      <w:lvlText w:val=""/>
      <w:lvlJc w:val="left"/>
      <w:pPr>
        <w:ind w:left="2160" w:hanging="360"/>
      </w:pPr>
      <w:rPr>
        <w:rFonts w:ascii="Wingdings" w:hAnsi="Wingdings" w:hint="default"/>
      </w:rPr>
    </w:lvl>
    <w:lvl w:ilvl="3" w:tplc="9D4C0EE8">
      <w:start w:val="1"/>
      <w:numFmt w:val="bullet"/>
      <w:lvlText w:val=""/>
      <w:lvlJc w:val="left"/>
      <w:pPr>
        <w:ind w:left="2880" w:hanging="360"/>
      </w:pPr>
      <w:rPr>
        <w:rFonts w:ascii="Symbol" w:hAnsi="Symbol" w:hint="default"/>
      </w:rPr>
    </w:lvl>
    <w:lvl w:ilvl="4" w:tplc="3B14DB76">
      <w:start w:val="1"/>
      <w:numFmt w:val="bullet"/>
      <w:lvlText w:val="o"/>
      <w:lvlJc w:val="left"/>
      <w:pPr>
        <w:ind w:left="3600" w:hanging="360"/>
      </w:pPr>
      <w:rPr>
        <w:rFonts w:ascii="Courier New" w:hAnsi="Courier New" w:hint="default"/>
      </w:rPr>
    </w:lvl>
    <w:lvl w:ilvl="5" w:tplc="D862E4B6">
      <w:start w:val="1"/>
      <w:numFmt w:val="bullet"/>
      <w:lvlText w:val=""/>
      <w:lvlJc w:val="left"/>
      <w:pPr>
        <w:ind w:left="4320" w:hanging="360"/>
      </w:pPr>
      <w:rPr>
        <w:rFonts w:ascii="Wingdings" w:hAnsi="Wingdings" w:hint="default"/>
      </w:rPr>
    </w:lvl>
    <w:lvl w:ilvl="6" w:tplc="CB96EF26">
      <w:start w:val="1"/>
      <w:numFmt w:val="bullet"/>
      <w:lvlText w:val=""/>
      <w:lvlJc w:val="left"/>
      <w:pPr>
        <w:ind w:left="5040" w:hanging="360"/>
      </w:pPr>
      <w:rPr>
        <w:rFonts w:ascii="Symbol" w:hAnsi="Symbol" w:hint="default"/>
      </w:rPr>
    </w:lvl>
    <w:lvl w:ilvl="7" w:tplc="451E0D34">
      <w:start w:val="1"/>
      <w:numFmt w:val="bullet"/>
      <w:lvlText w:val="o"/>
      <w:lvlJc w:val="left"/>
      <w:pPr>
        <w:ind w:left="5760" w:hanging="360"/>
      </w:pPr>
      <w:rPr>
        <w:rFonts w:ascii="Courier New" w:hAnsi="Courier New" w:hint="default"/>
      </w:rPr>
    </w:lvl>
    <w:lvl w:ilvl="8" w:tplc="F796B8C2">
      <w:start w:val="1"/>
      <w:numFmt w:val="bullet"/>
      <w:lvlText w:val=""/>
      <w:lvlJc w:val="left"/>
      <w:pPr>
        <w:ind w:left="6480" w:hanging="360"/>
      </w:pPr>
      <w:rPr>
        <w:rFonts w:ascii="Wingdings" w:hAnsi="Wingdings" w:hint="default"/>
      </w:rPr>
    </w:lvl>
  </w:abstractNum>
  <w:abstractNum w:abstractNumId="5" w15:restartNumberingAfterBreak="0">
    <w:nsid w:val="49DC120E"/>
    <w:multiLevelType w:val="hybridMultilevel"/>
    <w:tmpl w:val="8438B750"/>
    <w:lvl w:ilvl="0" w:tplc="FD4611A6">
      <w:start w:val="1"/>
      <w:numFmt w:val="bullet"/>
      <w:lvlText w:val=""/>
      <w:lvlJc w:val="left"/>
      <w:pPr>
        <w:ind w:left="720" w:hanging="360"/>
      </w:pPr>
      <w:rPr>
        <w:rFonts w:ascii="Symbol" w:hAnsi="Symbol" w:hint="default"/>
      </w:rPr>
    </w:lvl>
    <w:lvl w:ilvl="1" w:tplc="93EC7044">
      <w:start w:val="1"/>
      <w:numFmt w:val="bullet"/>
      <w:lvlText w:val="o"/>
      <w:lvlJc w:val="left"/>
      <w:pPr>
        <w:ind w:left="1440" w:hanging="360"/>
      </w:pPr>
      <w:rPr>
        <w:rFonts w:ascii="Courier New" w:hAnsi="Courier New" w:hint="default"/>
      </w:rPr>
    </w:lvl>
    <w:lvl w:ilvl="2" w:tplc="6C382D32">
      <w:start w:val="1"/>
      <w:numFmt w:val="bullet"/>
      <w:lvlText w:val=""/>
      <w:lvlJc w:val="left"/>
      <w:pPr>
        <w:ind w:left="2160" w:hanging="360"/>
      </w:pPr>
      <w:rPr>
        <w:rFonts w:ascii="Wingdings" w:hAnsi="Wingdings" w:hint="default"/>
      </w:rPr>
    </w:lvl>
    <w:lvl w:ilvl="3" w:tplc="2878C708">
      <w:start w:val="1"/>
      <w:numFmt w:val="bullet"/>
      <w:lvlText w:val=""/>
      <w:lvlJc w:val="left"/>
      <w:pPr>
        <w:ind w:left="2880" w:hanging="360"/>
      </w:pPr>
      <w:rPr>
        <w:rFonts w:ascii="Symbol" w:hAnsi="Symbol" w:hint="default"/>
      </w:rPr>
    </w:lvl>
    <w:lvl w:ilvl="4" w:tplc="0C021728">
      <w:start w:val="1"/>
      <w:numFmt w:val="bullet"/>
      <w:lvlText w:val="o"/>
      <w:lvlJc w:val="left"/>
      <w:pPr>
        <w:ind w:left="3600" w:hanging="360"/>
      </w:pPr>
      <w:rPr>
        <w:rFonts w:ascii="Courier New" w:hAnsi="Courier New" w:hint="default"/>
      </w:rPr>
    </w:lvl>
    <w:lvl w:ilvl="5" w:tplc="A19EA614">
      <w:start w:val="1"/>
      <w:numFmt w:val="bullet"/>
      <w:lvlText w:val=""/>
      <w:lvlJc w:val="left"/>
      <w:pPr>
        <w:ind w:left="4320" w:hanging="360"/>
      </w:pPr>
      <w:rPr>
        <w:rFonts w:ascii="Wingdings" w:hAnsi="Wingdings" w:hint="default"/>
      </w:rPr>
    </w:lvl>
    <w:lvl w:ilvl="6" w:tplc="D46818CE">
      <w:start w:val="1"/>
      <w:numFmt w:val="bullet"/>
      <w:lvlText w:val=""/>
      <w:lvlJc w:val="left"/>
      <w:pPr>
        <w:ind w:left="5040" w:hanging="360"/>
      </w:pPr>
      <w:rPr>
        <w:rFonts w:ascii="Symbol" w:hAnsi="Symbol" w:hint="default"/>
      </w:rPr>
    </w:lvl>
    <w:lvl w:ilvl="7" w:tplc="DE0AC81C">
      <w:start w:val="1"/>
      <w:numFmt w:val="bullet"/>
      <w:lvlText w:val="o"/>
      <w:lvlJc w:val="left"/>
      <w:pPr>
        <w:ind w:left="5760" w:hanging="360"/>
      </w:pPr>
      <w:rPr>
        <w:rFonts w:ascii="Courier New" w:hAnsi="Courier New" w:hint="default"/>
      </w:rPr>
    </w:lvl>
    <w:lvl w:ilvl="8" w:tplc="944EF7F8">
      <w:start w:val="1"/>
      <w:numFmt w:val="bullet"/>
      <w:lvlText w:val=""/>
      <w:lvlJc w:val="left"/>
      <w:pPr>
        <w:ind w:left="6480" w:hanging="360"/>
      </w:pPr>
      <w:rPr>
        <w:rFonts w:ascii="Wingdings" w:hAnsi="Wingdings" w:hint="default"/>
      </w:rPr>
    </w:lvl>
  </w:abstractNum>
  <w:num w:numId="1" w16cid:durableId="675301829">
    <w:abstractNumId w:val="1"/>
  </w:num>
  <w:num w:numId="2" w16cid:durableId="752357948">
    <w:abstractNumId w:val="5"/>
  </w:num>
  <w:num w:numId="3" w16cid:durableId="482547560">
    <w:abstractNumId w:val="3"/>
  </w:num>
  <w:num w:numId="4" w16cid:durableId="829103884">
    <w:abstractNumId w:val="4"/>
  </w:num>
  <w:num w:numId="5" w16cid:durableId="46494761">
    <w:abstractNumId w:val="2"/>
  </w:num>
  <w:num w:numId="6" w16cid:durableId="258369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868218"/>
    <w:rsid w:val="000740A1"/>
    <w:rsid w:val="00360E86"/>
    <w:rsid w:val="003E5580"/>
    <w:rsid w:val="006F62D3"/>
    <w:rsid w:val="0C399727"/>
    <w:rsid w:val="1F7DDB97"/>
    <w:rsid w:val="2C868218"/>
    <w:rsid w:val="79E96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68218"/>
  <w15:chartTrackingRefBased/>
  <w15:docId w15:val="{B181423B-9CA8-4214-9394-31DEBD09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F7DDB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867</Words>
  <Characters>5313</Characters>
  <Application>Microsoft Office Word</Application>
  <DocSecurity>0</DocSecurity>
  <Lines>102</Lines>
  <Paragraphs>57</Paragraphs>
  <ScaleCrop>false</ScaleCrop>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Trudy.Harrison</dc:creator>
  <cp:keywords/>
  <dc:description/>
  <cp:lastModifiedBy>Mel Veituna</cp:lastModifiedBy>
  <cp:revision>3</cp:revision>
  <dcterms:created xsi:type="dcterms:W3CDTF">2026-03-24T01:16:00Z</dcterms:created>
  <dcterms:modified xsi:type="dcterms:W3CDTF">2026-03-24T01:24:00Z</dcterms:modified>
</cp:coreProperties>
</file>