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88E29" w14:textId="025FF8C8" w:rsidR="00CB040A" w:rsidRPr="00CB040A" w:rsidRDefault="00CB040A" w:rsidP="00CB040A">
      <w:pPr>
        <w:spacing w:after="0"/>
        <w:rPr>
          <w:rFonts w:ascii="Calibri" w:hAnsi="Calibri" w:cs="Calibri"/>
          <w:sz w:val="22"/>
          <w:szCs w:val="22"/>
        </w:rPr>
      </w:pPr>
      <w:r w:rsidRPr="004343A0">
        <w:rPr>
          <w:rFonts w:ascii="Calibri" w:hAnsi="Calibri" w:cs="Calibri"/>
          <w:b/>
          <w:bCs/>
          <w:color w:val="074F6A" w:themeColor="accent4" w:themeShade="80"/>
          <w:sz w:val="22"/>
          <w:szCs w:val="22"/>
        </w:rPr>
        <w:t xml:space="preserve">Title: </w:t>
      </w:r>
      <w:r w:rsidRPr="00CB040A">
        <w:rPr>
          <w:rFonts w:ascii="Calibri" w:hAnsi="Calibri" w:cs="Calibri"/>
          <w:sz w:val="22"/>
          <w:szCs w:val="22"/>
        </w:rPr>
        <w:t>Guided by Reflection: A Supervision Model for Strengthening Wellbeing and Ethical Practice in Career Development</w:t>
      </w:r>
    </w:p>
    <w:p w14:paraId="78027E41" w14:textId="77777777" w:rsidR="00CB040A" w:rsidRPr="00CB040A" w:rsidRDefault="00CB040A" w:rsidP="00CB040A">
      <w:pPr>
        <w:spacing w:after="0"/>
        <w:rPr>
          <w:rFonts w:ascii="Calibri" w:hAnsi="Calibri" w:cs="Calibri"/>
          <w:sz w:val="22"/>
          <w:szCs w:val="22"/>
        </w:rPr>
      </w:pPr>
    </w:p>
    <w:p w14:paraId="616A096F" w14:textId="1A911CA2" w:rsidR="00CB040A" w:rsidRPr="00CB040A" w:rsidRDefault="00CB040A" w:rsidP="00CB040A">
      <w:pPr>
        <w:spacing w:after="0"/>
        <w:rPr>
          <w:rFonts w:ascii="Calibri" w:hAnsi="Calibri" w:cs="Calibri"/>
          <w:sz w:val="22"/>
          <w:szCs w:val="22"/>
        </w:rPr>
      </w:pPr>
      <w:r w:rsidRPr="004343A0">
        <w:rPr>
          <w:rFonts w:ascii="Calibri" w:hAnsi="Calibri" w:cs="Calibri"/>
          <w:b/>
          <w:bCs/>
          <w:color w:val="074F6A" w:themeColor="accent4" w:themeShade="80"/>
          <w:sz w:val="22"/>
          <w:szCs w:val="22"/>
        </w:rPr>
        <w:t>Conference Theme Alignment:</w:t>
      </w:r>
      <w:r w:rsidRPr="004343A0">
        <w:rPr>
          <w:rFonts w:ascii="Calibri" w:hAnsi="Calibri" w:cs="Calibri"/>
          <w:color w:val="074F6A" w:themeColor="accent4" w:themeShade="80"/>
          <w:sz w:val="22"/>
          <w:szCs w:val="22"/>
        </w:rPr>
        <w:t xml:space="preserve"> </w:t>
      </w:r>
      <w:r w:rsidRPr="00CB040A">
        <w:rPr>
          <w:rFonts w:ascii="Calibri" w:hAnsi="Calibri" w:cs="Calibri"/>
          <w:sz w:val="22"/>
          <w:szCs w:val="22"/>
        </w:rPr>
        <w:t xml:space="preserve">Well-being </w:t>
      </w:r>
      <w:r>
        <w:rPr>
          <w:rFonts w:ascii="Calibri" w:hAnsi="Calibri" w:cs="Calibri"/>
          <w:sz w:val="22"/>
          <w:szCs w:val="22"/>
        </w:rPr>
        <w:t>-</w:t>
      </w:r>
      <w:r w:rsidRPr="00CB040A">
        <w:rPr>
          <w:rFonts w:ascii="Calibri" w:hAnsi="Calibri" w:cs="Calibri"/>
          <w:sz w:val="22"/>
          <w:szCs w:val="22"/>
        </w:rPr>
        <w:t xml:space="preserve"> Matariki This workshop aligns with Matariki through its focus on reflection, renewal, and collective learning, supporting practitioners to pause, reflect on practice, and strengthen wellbeing and future capability.</w:t>
      </w:r>
    </w:p>
    <w:p w14:paraId="3BF8C62F" w14:textId="77777777" w:rsidR="00CB040A" w:rsidRPr="00CB040A" w:rsidRDefault="00CB040A" w:rsidP="00CB040A">
      <w:pPr>
        <w:spacing w:after="0"/>
        <w:rPr>
          <w:rFonts w:ascii="Calibri" w:hAnsi="Calibri" w:cs="Calibri"/>
          <w:sz w:val="22"/>
          <w:szCs w:val="22"/>
        </w:rPr>
      </w:pPr>
    </w:p>
    <w:p w14:paraId="2BF07E47" w14:textId="77777777" w:rsidR="004343A0" w:rsidRDefault="00CB040A" w:rsidP="008837A6">
      <w:pPr>
        <w:tabs>
          <w:tab w:val="left" w:pos="3304"/>
        </w:tabs>
        <w:spacing w:after="0"/>
        <w:rPr>
          <w:rFonts w:ascii="Calibri" w:hAnsi="Calibri" w:cs="Calibri"/>
          <w:b/>
          <w:bCs/>
          <w:color w:val="074F6A" w:themeColor="accent4" w:themeShade="80"/>
          <w:sz w:val="22"/>
          <w:szCs w:val="22"/>
        </w:rPr>
      </w:pPr>
      <w:r w:rsidRPr="004343A0">
        <w:rPr>
          <w:rFonts w:ascii="Calibri" w:hAnsi="Calibri" w:cs="Calibri"/>
          <w:b/>
          <w:bCs/>
          <w:color w:val="074F6A" w:themeColor="accent4" w:themeShade="80"/>
          <w:sz w:val="22"/>
          <w:szCs w:val="22"/>
        </w:rPr>
        <w:t>Presentation Language</w:t>
      </w:r>
    </w:p>
    <w:p w14:paraId="5F83EF86" w14:textId="2A0C10E2" w:rsidR="00CB040A" w:rsidRPr="00CB040A" w:rsidRDefault="00CB040A" w:rsidP="008837A6">
      <w:pPr>
        <w:tabs>
          <w:tab w:val="left" w:pos="3304"/>
        </w:tabs>
        <w:spacing w:after="0"/>
        <w:rPr>
          <w:rFonts w:ascii="Calibri" w:hAnsi="Calibri" w:cs="Calibri"/>
          <w:sz w:val="22"/>
          <w:szCs w:val="22"/>
        </w:rPr>
      </w:pPr>
      <w:r w:rsidRPr="00CB040A">
        <w:rPr>
          <w:rFonts w:ascii="Calibri" w:hAnsi="Calibri" w:cs="Calibri"/>
          <w:sz w:val="22"/>
          <w:szCs w:val="22"/>
        </w:rPr>
        <w:t>English</w:t>
      </w:r>
    </w:p>
    <w:p w14:paraId="6388CF01" w14:textId="77777777" w:rsidR="00CB040A" w:rsidRPr="00CB040A" w:rsidRDefault="00CB040A" w:rsidP="00CB040A">
      <w:pPr>
        <w:spacing w:after="0"/>
        <w:rPr>
          <w:rFonts w:ascii="Calibri" w:hAnsi="Calibri" w:cs="Calibri"/>
          <w:sz w:val="22"/>
          <w:szCs w:val="22"/>
        </w:rPr>
      </w:pPr>
    </w:p>
    <w:p w14:paraId="127A45B6" w14:textId="77777777" w:rsidR="00CB040A" w:rsidRPr="004343A0" w:rsidRDefault="00CB040A" w:rsidP="00CB040A">
      <w:pPr>
        <w:spacing w:after="0"/>
        <w:rPr>
          <w:rFonts w:ascii="Calibri" w:hAnsi="Calibri" w:cs="Calibri"/>
          <w:b/>
          <w:bCs/>
          <w:color w:val="074F6A" w:themeColor="accent4" w:themeShade="80"/>
          <w:sz w:val="22"/>
          <w:szCs w:val="22"/>
        </w:rPr>
      </w:pPr>
      <w:r w:rsidRPr="004343A0">
        <w:rPr>
          <w:rFonts w:ascii="Calibri" w:hAnsi="Calibri" w:cs="Calibri"/>
          <w:b/>
          <w:bCs/>
          <w:color w:val="074F6A" w:themeColor="accent4" w:themeShade="80"/>
          <w:sz w:val="22"/>
          <w:szCs w:val="22"/>
        </w:rPr>
        <w:t>Abstract</w:t>
      </w:r>
    </w:p>
    <w:p w14:paraId="77D1239E" w14:textId="77777777" w:rsidR="00CB040A" w:rsidRPr="00CB040A" w:rsidRDefault="00CB040A" w:rsidP="00CB040A">
      <w:pPr>
        <w:spacing w:after="0"/>
        <w:rPr>
          <w:rFonts w:ascii="Calibri" w:hAnsi="Calibri" w:cs="Calibri"/>
          <w:sz w:val="22"/>
          <w:szCs w:val="22"/>
        </w:rPr>
      </w:pPr>
    </w:p>
    <w:p w14:paraId="2D504FB2" w14:textId="77777777" w:rsidR="00CB040A" w:rsidRPr="004343A0" w:rsidRDefault="00CB040A" w:rsidP="00CB040A">
      <w:pPr>
        <w:spacing w:after="0"/>
        <w:rPr>
          <w:rFonts w:ascii="Calibri" w:hAnsi="Calibri" w:cs="Calibri"/>
          <w:b/>
          <w:bCs/>
          <w:color w:val="074F6A" w:themeColor="accent4" w:themeShade="80"/>
          <w:sz w:val="22"/>
          <w:szCs w:val="22"/>
        </w:rPr>
      </w:pPr>
      <w:r w:rsidRPr="004343A0">
        <w:rPr>
          <w:rFonts w:ascii="Calibri" w:hAnsi="Calibri" w:cs="Calibri"/>
          <w:b/>
          <w:bCs/>
          <w:color w:val="074F6A" w:themeColor="accent4" w:themeShade="80"/>
          <w:sz w:val="22"/>
          <w:szCs w:val="22"/>
        </w:rPr>
        <w:t>Introduction</w:t>
      </w:r>
    </w:p>
    <w:p w14:paraId="7D0E3DB2" w14:textId="5A27892E" w:rsidR="00CB040A" w:rsidRPr="00CB040A" w:rsidRDefault="00CB040A" w:rsidP="00CB040A">
      <w:pPr>
        <w:spacing w:after="0"/>
        <w:rPr>
          <w:rFonts w:ascii="Calibri" w:hAnsi="Calibri" w:cs="Calibri"/>
          <w:sz w:val="22"/>
          <w:szCs w:val="22"/>
        </w:rPr>
      </w:pPr>
      <w:r w:rsidRPr="00CB040A">
        <w:rPr>
          <w:rFonts w:ascii="Calibri" w:hAnsi="Calibri" w:cs="Calibri"/>
          <w:sz w:val="22"/>
          <w:szCs w:val="22"/>
        </w:rPr>
        <w:t>Career development practitioners frequently work independently across private practice, consulting, or as sole practitioners within organisations. They navigate complex client needs, ethical dilemmas, and constrained service frameworks, often with limited structured support. As highlighted in practice, this can impact practitioner wellbeing, confidence, and consistency of service delivery. Reflective supervision offers a mechanism to “slow down, step back, and see practice from a wider lens”, yet it remains underutilised within the career development profession. Aligned with the Matariki theme of reflection and renewal, this workshop positions supervision as a practical and evidence-informed approach to strengthening practitioner wellbeing and professional practice.</w:t>
      </w:r>
    </w:p>
    <w:p w14:paraId="2661D44B" w14:textId="77777777" w:rsidR="00CB040A" w:rsidRPr="00CB040A" w:rsidRDefault="00CB040A" w:rsidP="00CB040A">
      <w:pPr>
        <w:spacing w:after="0"/>
        <w:rPr>
          <w:rFonts w:ascii="Calibri" w:hAnsi="Calibri" w:cs="Calibri"/>
          <w:sz w:val="22"/>
          <w:szCs w:val="22"/>
        </w:rPr>
      </w:pPr>
    </w:p>
    <w:p w14:paraId="121A1A30" w14:textId="77777777" w:rsidR="00CB040A" w:rsidRPr="004343A0" w:rsidRDefault="00CB040A" w:rsidP="00CB040A">
      <w:pPr>
        <w:spacing w:after="0"/>
        <w:rPr>
          <w:rFonts w:ascii="Calibri" w:hAnsi="Calibri" w:cs="Calibri"/>
          <w:b/>
          <w:bCs/>
          <w:color w:val="074F6A" w:themeColor="accent4" w:themeShade="80"/>
          <w:sz w:val="22"/>
          <w:szCs w:val="22"/>
        </w:rPr>
      </w:pPr>
      <w:r w:rsidRPr="004343A0">
        <w:rPr>
          <w:rFonts w:ascii="Calibri" w:hAnsi="Calibri" w:cs="Calibri"/>
          <w:b/>
          <w:bCs/>
          <w:color w:val="074F6A" w:themeColor="accent4" w:themeShade="80"/>
          <w:sz w:val="22"/>
          <w:szCs w:val="22"/>
        </w:rPr>
        <w:t>Objectives</w:t>
      </w:r>
    </w:p>
    <w:p w14:paraId="0E6B6E38" w14:textId="77777777" w:rsidR="00CB040A" w:rsidRPr="00CB040A" w:rsidRDefault="00CB040A" w:rsidP="00CB040A">
      <w:pPr>
        <w:spacing w:after="0"/>
        <w:rPr>
          <w:rFonts w:ascii="Calibri" w:hAnsi="Calibri" w:cs="Calibri"/>
          <w:sz w:val="22"/>
          <w:szCs w:val="22"/>
        </w:rPr>
      </w:pPr>
      <w:r w:rsidRPr="00CB040A">
        <w:rPr>
          <w:rFonts w:ascii="Calibri" w:hAnsi="Calibri" w:cs="Calibri"/>
          <w:sz w:val="22"/>
          <w:szCs w:val="22"/>
        </w:rPr>
        <w:t>This workshop aims to: explore the purpose and value of supervision in career development; introduce a structured, evidence-informed supervision model; strengthen understanding of reflective practice as a mechanism for continuous improvement; and support participants to apply supervision principles within their own professional or organisational context.</w:t>
      </w:r>
    </w:p>
    <w:p w14:paraId="4A701876" w14:textId="77777777" w:rsidR="00CB040A" w:rsidRPr="00CB040A" w:rsidRDefault="00CB040A" w:rsidP="00CB040A">
      <w:pPr>
        <w:spacing w:after="0"/>
        <w:rPr>
          <w:rFonts w:ascii="Calibri" w:hAnsi="Calibri" w:cs="Calibri"/>
          <w:sz w:val="22"/>
          <w:szCs w:val="22"/>
        </w:rPr>
      </w:pPr>
    </w:p>
    <w:p w14:paraId="49673099" w14:textId="77777777" w:rsidR="00CB040A" w:rsidRPr="004343A0" w:rsidRDefault="00CB040A" w:rsidP="00CB040A">
      <w:pPr>
        <w:spacing w:after="0"/>
        <w:rPr>
          <w:rFonts w:ascii="Calibri" w:hAnsi="Calibri" w:cs="Calibri"/>
          <w:b/>
          <w:bCs/>
          <w:color w:val="074F6A" w:themeColor="accent4" w:themeShade="80"/>
          <w:sz w:val="22"/>
          <w:szCs w:val="22"/>
        </w:rPr>
      </w:pPr>
      <w:r w:rsidRPr="004343A0">
        <w:rPr>
          <w:rFonts w:ascii="Calibri" w:hAnsi="Calibri" w:cs="Calibri"/>
          <w:b/>
          <w:bCs/>
          <w:color w:val="074F6A" w:themeColor="accent4" w:themeShade="80"/>
          <w:sz w:val="22"/>
          <w:szCs w:val="22"/>
        </w:rPr>
        <w:t>Theoretical Basis</w:t>
      </w:r>
    </w:p>
    <w:p w14:paraId="16C02D3C" w14:textId="21383C34" w:rsidR="00CB040A" w:rsidRPr="00CB040A" w:rsidRDefault="00CB040A" w:rsidP="00CB040A">
      <w:pPr>
        <w:spacing w:after="0"/>
        <w:rPr>
          <w:rFonts w:ascii="Calibri" w:hAnsi="Calibri" w:cs="Calibri"/>
          <w:sz w:val="22"/>
          <w:szCs w:val="22"/>
        </w:rPr>
      </w:pPr>
      <w:r w:rsidRPr="00CB040A">
        <w:rPr>
          <w:rFonts w:ascii="Calibri" w:hAnsi="Calibri" w:cs="Calibri"/>
          <w:sz w:val="22"/>
          <w:szCs w:val="22"/>
        </w:rPr>
        <w:t>The supervision model is grounded in Inskipp and Proctor’s three functions of supervision</w:t>
      </w:r>
      <w:r>
        <w:rPr>
          <w:rFonts w:ascii="Calibri" w:hAnsi="Calibri" w:cs="Calibri"/>
          <w:sz w:val="22"/>
          <w:szCs w:val="22"/>
        </w:rPr>
        <w:t xml:space="preserve"> </w:t>
      </w:r>
      <w:r w:rsidRPr="00CB040A">
        <w:rPr>
          <w:rFonts w:ascii="Calibri" w:hAnsi="Calibri" w:cs="Calibri"/>
          <w:sz w:val="22"/>
          <w:szCs w:val="22"/>
        </w:rPr>
        <w:t>restorative (supporting wellbeing), normative (ensuring ethical and accountable practice), and formative (developing skills and knowledge)</w:t>
      </w:r>
      <w:r>
        <w:rPr>
          <w:rFonts w:ascii="Calibri" w:hAnsi="Calibri" w:cs="Calibri"/>
          <w:sz w:val="22"/>
          <w:szCs w:val="22"/>
        </w:rPr>
        <w:t xml:space="preserve"> </w:t>
      </w:r>
      <w:r w:rsidRPr="00CB040A">
        <w:rPr>
          <w:rFonts w:ascii="Calibri" w:hAnsi="Calibri" w:cs="Calibri"/>
          <w:sz w:val="22"/>
          <w:szCs w:val="22"/>
        </w:rPr>
        <w:t>and informed by Armstrong’s RISE UP framework. This integrates reflective processes across review, information, support, education, self-care, and practice building. Together, these frameworks provide a holistic structure that supports both practitioner wellbeing and professional capability.</w:t>
      </w:r>
    </w:p>
    <w:p w14:paraId="65940D7E" w14:textId="77777777" w:rsidR="00CB040A" w:rsidRPr="00CB040A" w:rsidRDefault="00CB040A" w:rsidP="00CB040A">
      <w:pPr>
        <w:spacing w:after="0"/>
        <w:rPr>
          <w:rFonts w:ascii="Calibri" w:hAnsi="Calibri" w:cs="Calibri"/>
          <w:sz w:val="22"/>
          <w:szCs w:val="22"/>
        </w:rPr>
      </w:pPr>
    </w:p>
    <w:p w14:paraId="7BD68B8A" w14:textId="77777777" w:rsidR="00CB040A" w:rsidRPr="004343A0" w:rsidRDefault="00CB040A" w:rsidP="00CB040A">
      <w:pPr>
        <w:spacing w:after="0"/>
        <w:rPr>
          <w:rFonts w:ascii="Calibri" w:hAnsi="Calibri" w:cs="Calibri"/>
          <w:b/>
          <w:bCs/>
          <w:color w:val="074F6A" w:themeColor="accent4" w:themeShade="80"/>
          <w:sz w:val="22"/>
          <w:szCs w:val="22"/>
        </w:rPr>
      </w:pPr>
      <w:r w:rsidRPr="004343A0">
        <w:rPr>
          <w:rFonts w:ascii="Calibri" w:hAnsi="Calibri" w:cs="Calibri"/>
          <w:b/>
          <w:bCs/>
          <w:color w:val="074F6A" w:themeColor="accent4" w:themeShade="80"/>
          <w:sz w:val="22"/>
          <w:szCs w:val="22"/>
        </w:rPr>
        <w:t>Methodology</w:t>
      </w:r>
    </w:p>
    <w:p w14:paraId="70B41521" w14:textId="77777777" w:rsidR="00CB040A" w:rsidRPr="00CB040A" w:rsidRDefault="00CB040A" w:rsidP="00CB040A">
      <w:pPr>
        <w:spacing w:after="0"/>
        <w:rPr>
          <w:rFonts w:ascii="Calibri" w:hAnsi="Calibri" w:cs="Calibri"/>
          <w:sz w:val="22"/>
          <w:szCs w:val="22"/>
        </w:rPr>
      </w:pPr>
      <w:r w:rsidRPr="00CB040A">
        <w:rPr>
          <w:rFonts w:ascii="Calibri" w:hAnsi="Calibri" w:cs="Calibri"/>
          <w:sz w:val="22"/>
          <w:szCs w:val="22"/>
        </w:rPr>
        <w:t>This workshop presents a supervision model implemented within a six-month government-funded career development pilot involving 18 career practitioners and two practice supervisors. The model incorporated three complementary modes of supervision: individual supervision (one-to-one reflective practice), group supervision (facilitated shared learning), and peer supervision (collaborative reflection among practitioners). A co-created supervision agreement established expectations, roles, and reflective processes, supporting psychological safety and accountability. The workshop will include guided reflection, application of the supervision framework, experiential supervision practice, and group discussion to support translation into practice.</w:t>
      </w:r>
    </w:p>
    <w:p w14:paraId="479B97B0" w14:textId="77777777" w:rsidR="00CB040A" w:rsidRPr="00CB040A" w:rsidRDefault="00CB040A" w:rsidP="00CB040A">
      <w:pPr>
        <w:spacing w:after="0"/>
        <w:rPr>
          <w:rFonts w:ascii="Calibri" w:hAnsi="Calibri" w:cs="Calibri"/>
          <w:sz w:val="22"/>
          <w:szCs w:val="22"/>
        </w:rPr>
      </w:pPr>
    </w:p>
    <w:p w14:paraId="371708CA" w14:textId="77777777" w:rsidR="00CB040A" w:rsidRPr="004343A0" w:rsidRDefault="00CB040A" w:rsidP="00CB040A">
      <w:pPr>
        <w:spacing w:after="0"/>
        <w:rPr>
          <w:rFonts w:ascii="Calibri" w:hAnsi="Calibri" w:cs="Calibri"/>
          <w:b/>
          <w:bCs/>
          <w:color w:val="074F6A" w:themeColor="accent4" w:themeShade="80"/>
          <w:sz w:val="22"/>
          <w:szCs w:val="22"/>
        </w:rPr>
      </w:pPr>
      <w:r w:rsidRPr="004343A0">
        <w:rPr>
          <w:rFonts w:ascii="Calibri" w:hAnsi="Calibri" w:cs="Calibri"/>
          <w:b/>
          <w:bCs/>
          <w:color w:val="074F6A" w:themeColor="accent4" w:themeShade="80"/>
          <w:sz w:val="22"/>
          <w:szCs w:val="22"/>
        </w:rPr>
        <w:t>Results</w:t>
      </w:r>
    </w:p>
    <w:p w14:paraId="09B8FCA9" w14:textId="5A7A20E5" w:rsidR="00CB040A" w:rsidRPr="00CB040A" w:rsidRDefault="00CB040A" w:rsidP="00CB040A">
      <w:pPr>
        <w:spacing w:after="0"/>
        <w:rPr>
          <w:rFonts w:ascii="Calibri" w:hAnsi="Calibri" w:cs="Calibri"/>
          <w:sz w:val="22"/>
          <w:szCs w:val="22"/>
        </w:rPr>
      </w:pPr>
      <w:r w:rsidRPr="00CB040A">
        <w:rPr>
          <w:rFonts w:ascii="Calibri" w:hAnsi="Calibri" w:cs="Calibri"/>
          <w:sz w:val="22"/>
          <w:szCs w:val="22"/>
        </w:rPr>
        <w:t>Implementation of the supervision model resulted in increased reflective capacity, strengthened ethical decision-making, and improved practitioner confidence. Practitioners reported enhanced awareness of their practice, improved boundary management, and greater consistency in service delivery. Supervision provided a structured space for “recharge, refocus, and refine practice”, supporting emotional wellbeing and professional growth. The integration of individual, group, and peer supervision introduced diverse perspectives, fostering continuous learning and contributing to improved client outcomes.</w:t>
      </w:r>
    </w:p>
    <w:p w14:paraId="18C1999E" w14:textId="77777777" w:rsidR="00CB040A" w:rsidRPr="00CB040A" w:rsidRDefault="00CB040A" w:rsidP="00CB040A">
      <w:pPr>
        <w:spacing w:after="0"/>
        <w:rPr>
          <w:rFonts w:ascii="Calibri" w:hAnsi="Calibri" w:cs="Calibri"/>
          <w:sz w:val="22"/>
          <w:szCs w:val="22"/>
        </w:rPr>
      </w:pPr>
    </w:p>
    <w:p w14:paraId="562EFB0B" w14:textId="77777777" w:rsidR="00CB040A" w:rsidRPr="004343A0" w:rsidRDefault="00CB040A" w:rsidP="00CB040A">
      <w:pPr>
        <w:spacing w:after="0"/>
        <w:rPr>
          <w:rFonts w:ascii="Calibri" w:hAnsi="Calibri" w:cs="Calibri"/>
          <w:b/>
          <w:bCs/>
          <w:color w:val="074F6A" w:themeColor="accent4" w:themeShade="80"/>
          <w:sz w:val="22"/>
          <w:szCs w:val="22"/>
        </w:rPr>
      </w:pPr>
      <w:r w:rsidRPr="004343A0">
        <w:rPr>
          <w:rFonts w:ascii="Calibri" w:hAnsi="Calibri" w:cs="Calibri"/>
          <w:b/>
          <w:bCs/>
          <w:color w:val="074F6A" w:themeColor="accent4" w:themeShade="80"/>
          <w:sz w:val="22"/>
          <w:szCs w:val="22"/>
        </w:rPr>
        <w:t>Conclusions</w:t>
      </w:r>
    </w:p>
    <w:p w14:paraId="6361BB1F" w14:textId="77777777" w:rsidR="00CB040A" w:rsidRPr="00CB040A" w:rsidRDefault="00CB040A" w:rsidP="00CB040A">
      <w:pPr>
        <w:spacing w:after="0"/>
        <w:rPr>
          <w:rFonts w:ascii="Calibri" w:hAnsi="Calibri" w:cs="Calibri"/>
          <w:sz w:val="22"/>
          <w:szCs w:val="22"/>
        </w:rPr>
      </w:pPr>
      <w:r w:rsidRPr="00CB040A">
        <w:rPr>
          <w:rFonts w:ascii="Calibri" w:hAnsi="Calibri" w:cs="Calibri"/>
          <w:sz w:val="22"/>
          <w:szCs w:val="22"/>
        </w:rPr>
        <w:t xml:space="preserve">Supervision represents a critical mechanism for strengthening career development </w:t>
      </w:r>
      <w:proofErr w:type="gramStart"/>
      <w:r w:rsidRPr="00CB040A">
        <w:rPr>
          <w:rFonts w:ascii="Calibri" w:hAnsi="Calibri" w:cs="Calibri"/>
          <w:sz w:val="22"/>
          <w:szCs w:val="22"/>
        </w:rPr>
        <w:t>practice, yet</w:t>
      </w:r>
      <w:proofErr w:type="gramEnd"/>
      <w:r w:rsidRPr="00CB040A">
        <w:rPr>
          <w:rFonts w:ascii="Calibri" w:hAnsi="Calibri" w:cs="Calibri"/>
          <w:sz w:val="22"/>
          <w:szCs w:val="22"/>
        </w:rPr>
        <w:t xml:space="preserve"> remains underutilised within the profession. This workshop demonstrates how a structured supervision model can enhance practitioner wellbeing, ethical integrity, and service quality. In alignment with Matariki, supervision creates space for reflection, connection, and future-focused growth. It enables practitioners to navigate complexity with greater clarity, confidence, and care, ultimately supporting more effective and sustainable career development practice.</w:t>
      </w:r>
    </w:p>
    <w:p w14:paraId="37548435" w14:textId="77777777" w:rsidR="00CB040A" w:rsidRPr="004343A0" w:rsidRDefault="00CB040A" w:rsidP="00CB040A">
      <w:pPr>
        <w:spacing w:after="0"/>
        <w:rPr>
          <w:rFonts w:ascii="Calibri" w:hAnsi="Calibri" w:cs="Calibri"/>
          <w:color w:val="074F6A" w:themeColor="accent4" w:themeShade="80"/>
          <w:sz w:val="22"/>
          <w:szCs w:val="22"/>
        </w:rPr>
      </w:pPr>
    </w:p>
    <w:p w14:paraId="4060A6F7" w14:textId="77777777" w:rsidR="00CB040A" w:rsidRPr="004343A0" w:rsidRDefault="00CB040A" w:rsidP="00CB040A">
      <w:pPr>
        <w:spacing w:after="0"/>
        <w:rPr>
          <w:rFonts w:ascii="Calibri" w:hAnsi="Calibri" w:cs="Calibri"/>
          <w:b/>
          <w:bCs/>
          <w:color w:val="074F6A" w:themeColor="accent4" w:themeShade="80"/>
          <w:sz w:val="22"/>
          <w:szCs w:val="22"/>
        </w:rPr>
      </w:pPr>
      <w:r w:rsidRPr="004343A0">
        <w:rPr>
          <w:rFonts w:ascii="Calibri" w:hAnsi="Calibri" w:cs="Calibri"/>
          <w:b/>
          <w:bCs/>
          <w:color w:val="074F6A" w:themeColor="accent4" w:themeShade="80"/>
          <w:sz w:val="22"/>
          <w:szCs w:val="22"/>
        </w:rPr>
        <w:t>Workshop Format</w:t>
      </w:r>
    </w:p>
    <w:p w14:paraId="56F23708" w14:textId="77777777" w:rsidR="00CB040A" w:rsidRPr="00CB040A" w:rsidRDefault="00CB040A" w:rsidP="00CB040A">
      <w:pPr>
        <w:spacing w:after="0"/>
        <w:rPr>
          <w:rFonts w:ascii="Calibri" w:hAnsi="Calibri" w:cs="Calibri"/>
          <w:sz w:val="22"/>
          <w:szCs w:val="22"/>
        </w:rPr>
      </w:pPr>
      <w:r w:rsidRPr="00CB040A">
        <w:rPr>
          <w:rFonts w:ascii="Calibri" w:hAnsi="Calibri" w:cs="Calibri"/>
          <w:sz w:val="22"/>
          <w:szCs w:val="22"/>
        </w:rPr>
        <w:t>Interactive / Experiential / Reflective Practice (Wānanga-informed)</w:t>
      </w:r>
    </w:p>
    <w:p w14:paraId="25361DED" w14:textId="77777777" w:rsidR="00CB040A" w:rsidRPr="00CB040A" w:rsidRDefault="00CB040A" w:rsidP="00CB040A">
      <w:pPr>
        <w:spacing w:after="0"/>
        <w:rPr>
          <w:rFonts w:ascii="Calibri" w:hAnsi="Calibri" w:cs="Calibri"/>
          <w:sz w:val="22"/>
          <w:szCs w:val="22"/>
        </w:rPr>
      </w:pPr>
    </w:p>
    <w:p w14:paraId="2826D5C8" w14:textId="77777777" w:rsidR="00CB040A" w:rsidRPr="004343A0" w:rsidRDefault="00CB040A" w:rsidP="00CB040A">
      <w:pPr>
        <w:spacing w:after="0"/>
        <w:rPr>
          <w:rFonts w:ascii="Calibri" w:hAnsi="Calibri" w:cs="Calibri"/>
          <w:b/>
          <w:bCs/>
          <w:color w:val="074F6A" w:themeColor="accent4" w:themeShade="80"/>
          <w:sz w:val="22"/>
          <w:szCs w:val="22"/>
        </w:rPr>
      </w:pPr>
      <w:r w:rsidRPr="004343A0">
        <w:rPr>
          <w:rFonts w:ascii="Calibri" w:hAnsi="Calibri" w:cs="Calibri"/>
          <w:b/>
          <w:bCs/>
          <w:color w:val="074F6A" w:themeColor="accent4" w:themeShade="80"/>
          <w:sz w:val="22"/>
          <w:szCs w:val="22"/>
        </w:rPr>
        <w:t>Target Audience</w:t>
      </w:r>
    </w:p>
    <w:p w14:paraId="74E41479" w14:textId="77777777" w:rsidR="00CB040A" w:rsidRPr="00CB040A" w:rsidRDefault="00CB040A" w:rsidP="00CB040A">
      <w:pPr>
        <w:spacing w:after="0"/>
        <w:rPr>
          <w:rFonts w:ascii="Calibri" w:hAnsi="Calibri" w:cs="Calibri"/>
          <w:sz w:val="22"/>
          <w:szCs w:val="22"/>
        </w:rPr>
      </w:pPr>
      <w:r w:rsidRPr="00CB040A">
        <w:rPr>
          <w:rFonts w:ascii="Calibri" w:hAnsi="Calibri" w:cs="Calibri"/>
          <w:sz w:val="22"/>
          <w:szCs w:val="22"/>
        </w:rPr>
        <w:t>Career Development Practitioners; Career Coaches; Counsellors; EAP Professionals; Workforce Development Leaders; Supervisors and Practice Leads</w:t>
      </w:r>
    </w:p>
    <w:p w14:paraId="6CF25659" w14:textId="77777777" w:rsidR="00CB040A" w:rsidRPr="00CB040A" w:rsidRDefault="00CB040A" w:rsidP="00CB040A">
      <w:pPr>
        <w:spacing w:after="0"/>
        <w:rPr>
          <w:rFonts w:ascii="Calibri" w:hAnsi="Calibri" w:cs="Calibri"/>
          <w:sz w:val="22"/>
          <w:szCs w:val="22"/>
        </w:rPr>
      </w:pPr>
    </w:p>
    <w:p w14:paraId="27E77FDB" w14:textId="77777777" w:rsidR="00CB040A" w:rsidRPr="004343A0" w:rsidRDefault="00CB040A" w:rsidP="00CB040A">
      <w:pPr>
        <w:spacing w:after="0"/>
        <w:rPr>
          <w:rFonts w:ascii="Calibri" w:hAnsi="Calibri" w:cs="Calibri"/>
          <w:b/>
          <w:bCs/>
          <w:color w:val="074F6A" w:themeColor="accent4" w:themeShade="80"/>
          <w:sz w:val="22"/>
          <w:szCs w:val="22"/>
        </w:rPr>
      </w:pPr>
      <w:r w:rsidRPr="004343A0">
        <w:rPr>
          <w:rFonts w:ascii="Calibri" w:hAnsi="Calibri" w:cs="Calibri"/>
          <w:b/>
          <w:bCs/>
          <w:color w:val="074F6A" w:themeColor="accent4" w:themeShade="80"/>
          <w:sz w:val="22"/>
          <w:szCs w:val="22"/>
        </w:rPr>
        <w:t>Keywords</w:t>
      </w:r>
    </w:p>
    <w:p w14:paraId="7720C135" w14:textId="77777777" w:rsidR="00CB040A" w:rsidRPr="00CB040A" w:rsidRDefault="00CB040A" w:rsidP="00CB040A">
      <w:pPr>
        <w:spacing w:after="0"/>
        <w:rPr>
          <w:rFonts w:ascii="Calibri" w:hAnsi="Calibri" w:cs="Calibri"/>
          <w:sz w:val="22"/>
          <w:szCs w:val="22"/>
        </w:rPr>
      </w:pPr>
      <w:r w:rsidRPr="00CB040A">
        <w:rPr>
          <w:rFonts w:ascii="Calibri" w:hAnsi="Calibri" w:cs="Calibri"/>
          <w:sz w:val="22"/>
          <w:szCs w:val="22"/>
        </w:rPr>
        <w:t>Career Development; Supervision; Reflective Practice; Wellbeing; Ethical Practice</w:t>
      </w:r>
    </w:p>
    <w:p w14:paraId="3EA1077D" w14:textId="77777777" w:rsidR="00CB040A" w:rsidRPr="00CB040A" w:rsidRDefault="00CB040A" w:rsidP="00CB040A">
      <w:pPr>
        <w:spacing w:after="0"/>
        <w:rPr>
          <w:rFonts w:ascii="Calibri" w:hAnsi="Calibri" w:cs="Calibri"/>
          <w:sz w:val="22"/>
          <w:szCs w:val="22"/>
        </w:rPr>
      </w:pPr>
    </w:p>
    <w:p w14:paraId="42A91C5A" w14:textId="58EFCE6F" w:rsidR="00CB040A" w:rsidRPr="004343A0" w:rsidRDefault="00CB040A" w:rsidP="00CB040A">
      <w:pPr>
        <w:spacing w:after="0"/>
        <w:rPr>
          <w:rFonts w:ascii="Calibri" w:hAnsi="Calibri" w:cs="Calibri"/>
          <w:color w:val="074F6A" w:themeColor="accent4" w:themeShade="80"/>
          <w:sz w:val="22"/>
          <w:szCs w:val="22"/>
        </w:rPr>
      </w:pPr>
      <w:r w:rsidRPr="004343A0">
        <w:rPr>
          <w:rFonts w:ascii="Calibri" w:hAnsi="Calibri" w:cs="Calibri"/>
          <w:b/>
          <w:bCs/>
          <w:color w:val="074F6A" w:themeColor="accent4" w:themeShade="80"/>
          <w:sz w:val="22"/>
          <w:szCs w:val="22"/>
        </w:rPr>
        <w:t>Bibliographical References</w:t>
      </w:r>
      <w:r w:rsidRPr="004343A0">
        <w:rPr>
          <w:rFonts w:ascii="Calibri" w:hAnsi="Calibri" w:cs="Calibri"/>
          <w:color w:val="074F6A" w:themeColor="accent4" w:themeShade="80"/>
          <w:sz w:val="22"/>
          <w:szCs w:val="22"/>
        </w:rPr>
        <w:t xml:space="preserve"> </w:t>
      </w:r>
    </w:p>
    <w:p w14:paraId="020BD2B6" w14:textId="187D5D46" w:rsidR="00B27B30" w:rsidRPr="004343A0" w:rsidRDefault="00B27B30" w:rsidP="002C09CB">
      <w:pPr>
        <w:spacing w:before="120" w:after="0"/>
        <w:rPr>
          <w:rFonts w:ascii="Calibri" w:hAnsi="Calibri" w:cs="Calibri"/>
          <w:b/>
          <w:bCs/>
          <w:sz w:val="22"/>
          <w:szCs w:val="22"/>
        </w:rPr>
      </w:pPr>
      <w:r w:rsidRPr="004343A0">
        <w:rPr>
          <w:rFonts w:ascii="Calibri" w:hAnsi="Calibri" w:cs="Calibri"/>
          <w:b/>
          <w:bCs/>
          <w:sz w:val="22"/>
          <w:szCs w:val="22"/>
        </w:rPr>
        <w:t>Authored Book (Section 10.2)</w:t>
      </w:r>
    </w:p>
    <w:p w14:paraId="0E0DC41A" w14:textId="77777777" w:rsidR="004343A0" w:rsidRDefault="00BD6A64" w:rsidP="00BD6A64">
      <w:pPr>
        <w:spacing w:after="0"/>
        <w:rPr>
          <w:rFonts w:ascii="Calibri" w:hAnsi="Calibri" w:cs="Calibri"/>
          <w:i/>
          <w:iCs/>
          <w:sz w:val="22"/>
          <w:szCs w:val="22"/>
        </w:rPr>
      </w:pPr>
      <w:r w:rsidRPr="00BD6A64">
        <w:rPr>
          <w:rFonts w:ascii="Calibri" w:hAnsi="Calibri" w:cs="Calibri"/>
          <w:sz w:val="22"/>
          <w:szCs w:val="22"/>
        </w:rPr>
        <w:t xml:space="preserve">Armstrong, P &amp; Pelling, N.  (2024). </w:t>
      </w:r>
      <w:r w:rsidRPr="00BD6A64">
        <w:rPr>
          <w:rFonts w:ascii="Calibri" w:hAnsi="Calibri" w:cs="Calibri"/>
          <w:i/>
          <w:iCs/>
          <w:sz w:val="22"/>
          <w:szCs w:val="22"/>
        </w:rPr>
        <w:t xml:space="preserve">The Practice of Clinical and Counselling Supervision Australian and </w:t>
      </w:r>
    </w:p>
    <w:p w14:paraId="77B2CB5A" w14:textId="0EF5FD94" w:rsidR="00BD6A64" w:rsidRDefault="00BD6A64" w:rsidP="004343A0">
      <w:pPr>
        <w:spacing w:after="0"/>
        <w:ind w:firstLine="720"/>
        <w:rPr>
          <w:rFonts w:ascii="Calibri" w:hAnsi="Calibri" w:cs="Calibri"/>
          <w:sz w:val="22"/>
          <w:szCs w:val="22"/>
        </w:rPr>
      </w:pPr>
      <w:r w:rsidRPr="00BD6A64">
        <w:rPr>
          <w:rFonts w:ascii="Calibri" w:hAnsi="Calibri" w:cs="Calibri"/>
          <w:i/>
          <w:iCs/>
          <w:sz w:val="22"/>
          <w:szCs w:val="22"/>
        </w:rPr>
        <w:t>International Applications</w:t>
      </w:r>
      <w:r w:rsidRPr="00BD6A64">
        <w:rPr>
          <w:rFonts w:ascii="Calibri" w:hAnsi="Calibri" w:cs="Calibri"/>
          <w:sz w:val="22"/>
          <w:szCs w:val="22"/>
        </w:rPr>
        <w:t>, 3rd Ed.  Routledge New York, NY.</w:t>
      </w:r>
    </w:p>
    <w:p w14:paraId="726E432A" w14:textId="7125DF9D" w:rsidR="00B27B30" w:rsidRPr="004343A0" w:rsidRDefault="002C09CB" w:rsidP="002C09CB">
      <w:pPr>
        <w:spacing w:before="120" w:after="0"/>
        <w:rPr>
          <w:rFonts w:ascii="Calibri" w:hAnsi="Calibri" w:cs="Calibri"/>
          <w:b/>
          <w:bCs/>
          <w:sz w:val="22"/>
          <w:szCs w:val="22"/>
        </w:rPr>
      </w:pPr>
      <w:r w:rsidRPr="004343A0">
        <w:rPr>
          <w:rFonts w:ascii="Calibri" w:hAnsi="Calibri" w:cs="Calibri"/>
          <w:b/>
          <w:bCs/>
          <w:sz w:val="22"/>
          <w:szCs w:val="22"/>
        </w:rPr>
        <w:t>Journal Article (Section 10.1)</w:t>
      </w:r>
    </w:p>
    <w:p w14:paraId="008F71C4" w14:textId="77777777" w:rsidR="00083748" w:rsidRDefault="00BD6A64" w:rsidP="00083748">
      <w:pPr>
        <w:spacing w:after="0"/>
        <w:rPr>
          <w:rFonts w:ascii="Calibri" w:hAnsi="Calibri" w:cs="Calibri"/>
          <w:sz w:val="22"/>
          <w:szCs w:val="22"/>
        </w:rPr>
      </w:pPr>
      <w:r w:rsidRPr="00BD6A64">
        <w:rPr>
          <w:rFonts w:ascii="Calibri" w:hAnsi="Calibri" w:cs="Calibri"/>
          <w:sz w:val="22"/>
          <w:szCs w:val="22"/>
        </w:rPr>
        <w:t xml:space="preserve">Litherland, G., </w:t>
      </w:r>
      <w:proofErr w:type="spellStart"/>
      <w:r w:rsidRPr="00BD6A64">
        <w:rPr>
          <w:rFonts w:ascii="Calibri" w:hAnsi="Calibri" w:cs="Calibri"/>
          <w:sz w:val="22"/>
          <w:szCs w:val="22"/>
        </w:rPr>
        <w:t>Schulthes</w:t>
      </w:r>
      <w:proofErr w:type="spellEnd"/>
      <w:r w:rsidRPr="00BD6A64">
        <w:rPr>
          <w:rFonts w:ascii="Calibri" w:hAnsi="Calibri" w:cs="Calibri"/>
          <w:sz w:val="22"/>
          <w:szCs w:val="22"/>
        </w:rPr>
        <w:t xml:space="preserve">, G., Cowles, C., &amp; Ewe, E. (2023). The Proctor Model of Clinical Supervision: </w:t>
      </w:r>
    </w:p>
    <w:p w14:paraId="21302B7E" w14:textId="09C25DA6" w:rsidR="00BD6A64" w:rsidRPr="00BD6A64" w:rsidRDefault="00BD6A64" w:rsidP="004343A0">
      <w:pPr>
        <w:spacing w:after="0"/>
        <w:ind w:left="720"/>
        <w:rPr>
          <w:rFonts w:ascii="Calibri" w:hAnsi="Calibri" w:cs="Calibri"/>
          <w:sz w:val="22"/>
          <w:szCs w:val="22"/>
        </w:rPr>
      </w:pPr>
      <w:r w:rsidRPr="00BD6A64">
        <w:rPr>
          <w:rFonts w:ascii="Calibri" w:hAnsi="Calibri" w:cs="Calibri"/>
          <w:sz w:val="22"/>
          <w:szCs w:val="22"/>
        </w:rPr>
        <w:t xml:space="preserve">An Introduction for Professional </w:t>
      </w:r>
      <w:proofErr w:type="spellStart"/>
      <w:r w:rsidRPr="00BD6A64">
        <w:rPr>
          <w:rFonts w:ascii="Calibri" w:hAnsi="Calibri" w:cs="Calibri"/>
          <w:sz w:val="22"/>
          <w:szCs w:val="22"/>
        </w:rPr>
        <w:t>Counselors</w:t>
      </w:r>
      <w:proofErr w:type="spellEnd"/>
      <w:r w:rsidRPr="00BD6A64">
        <w:rPr>
          <w:rFonts w:ascii="Calibri" w:hAnsi="Calibri" w:cs="Calibri"/>
          <w:sz w:val="22"/>
          <w:szCs w:val="22"/>
        </w:rPr>
        <w:t xml:space="preserve">. </w:t>
      </w:r>
      <w:r w:rsidRPr="00BD6A64">
        <w:rPr>
          <w:rFonts w:ascii="Calibri" w:hAnsi="Calibri" w:cs="Calibri"/>
          <w:i/>
          <w:iCs/>
          <w:sz w:val="22"/>
          <w:szCs w:val="22"/>
        </w:rPr>
        <w:t xml:space="preserve">Journal of </w:t>
      </w:r>
      <w:proofErr w:type="spellStart"/>
      <w:r w:rsidRPr="00BD6A64">
        <w:rPr>
          <w:rFonts w:ascii="Calibri" w:hAnsi="Calibri" w:cs="Calibri"/>
          <w:i/>
          <w:iCs/>
          <w:sz w:val="22"/>
          <w:szCs w:val="22"/>
        </w:rPr>
        <w:t>Counselor</w:t>
      </w:r>
      <w:proofErr w:type="spellEnd"/>
      <w:r w:rsidRPr="00BD6A64">
        <w:rPr>
          <w:rFonts w:ascii="Calibri" w:hAnsi="Calibri" w:cs="Calibri"/>
          <w:i/>
          <w:iCs/>
          <w:sz w:val="22"/>
          <w:szCs w:val="22"/>
        </w:rPr>
        <w:t xml:space="preserve"> Preparation and Supervision, 17</w:t>
      </w:r>
      <w:r w:rsidRPr="00BD6A64">
        <w:rPr>
          <w:rFonts w:ascii="Calibri" w:hAnsi="Calibri" w:cs="Calibri"/>
          <w:sz w:val="22"/>
          <w:szCs w:val="22"/>
        </w:rPr>
        <w:t xml:space="preserve"> (5). Retrieved from </w:t>
      </w:r>
      <w:hyperlink r:id="rId4" w:history="1">
        <w:r w:rsidRPr="00BD6A64">
          <w:rPr>
            <w:rStyle w:val="Hyperlink"/>
            <w:rFonts w:ascii="Calibri" w:hAnsi="Calibri" w:cs="Calibri"/>
            <w:sz w:val="22"/>
            <w:szCs w:val="22"/>
          </w:rPr>
          <w:t>https://research.library.kutztown.edu/jcps/vol17/iss5/4</w:t>
        </w:r>
      </w:hyperlink>
    </w:p>
    <w:p w14:paraId="4315D253" w14:textId="77777777" w:rsidR="00BD6A64" w:rsidRPr="00CB040A" w:rsidRDefault="00BD6A64" w:rsidP="005A7FF3">
      <w:pPr>
        <w:spacing w:after="0"/>
        <w:rPr>
          <w:rFonts w:ascii="Calibri" w:hAnsi="Calibri" w:cs="Calibri"/>
          <w:sz w:val="22"/>
          <w:szCs w:val="22"/>
        </w:rPr>
      </w:pPr>
    </w:p>
    <w:sectPr w:rsidR="00BD6A64" w:rsidRPr="00CB04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40A"/>
    <w:rsid w:val="00083748"/>
    <w:rsid w:val="002C09CB"/>
    <w:rsid w:val="004343A0"/>
    <w:rsid w:val="004744DA"/>
    <w:rsid w:val="005A7FF3"/>
    <w:rsid w:val="006A66CB"/>
    <w:rsid w:val="008837A6"/>
    <w:rsid w:val="008977CC"/>
    <w:rsid w:val="00B27B30"/>
    <w:rsid w:val="00BD6A64"/>
    <w:rsid w:val="00CB040A"/>
    <w:rsid w:val="00D52FA4"/>
    <w:rsid w:val="00DA707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72C87"/>
  <w15:chartTrackingRefBased/>
  <w15:docId w15:val="{F657AB7E-B4BD-4A52-A912-789C52036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04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04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04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04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04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04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04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04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04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04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04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04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04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04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04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04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04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040A"/>
    <w:rPr>
      <w:rFonts w:eastAsiaTheme="majorEastAsia" w:cstheme="majorBidi"/>
      <w:color w:val="272727" w:themeColor="text1" w:themeTint="D8"/>
    </w:rPr>
  </w:style>
  <w:style w:type="paragraph" w:styleId="Title">
    <w:name w:val="Title"/>
    <w:basedOn w:val="Normal"/>
    <w:next w:val="Normal"/>
    <w:link w:val="TitleChar"/>
    <w:uiPriority w:val="10"/>
    <w:qFormat/>
    <w:rsid w:val="00CB04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04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04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04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040A"/>
    <w:pPr>
      <w:spacing w:before="160"/>
      <w:jc w:val="center"/>
    </w:pPr>
    <w:rPr>
      <w:i/>
      <w:iCs/>
      <w:color w:val="404040" w:themeColor="text1" w:themeTint="BF"/>
    </w:rPr>
  </w:style>
  <w:style w:type="character" w:customStyle="1" w:styleId="QuoteChar">
    <w:name w:val="Quote Char"/>
    <w:basedOn w:val="DefaultParagraphFont"/>
    <w:link w:val="Quote"/>
    <w:uiPriority w:val="29"/>
    <w:rsid w:val="00CB040A"/>
    <w:rPr>
      <w:i/>
      <w:iCs/>
      <w:color w:val="404040" w:themeColor="text1" w:themeTint="BF"/>
    </w:rPr>
  </w:style>
  <w:style w:type="paragraph" w:styleId="ListParagraph">
    <w:name w:val="List Paragraph"/>
    <w:basedOn w:val="Normal"/>
    <w:uiPriority w:val="34"/>
    <w:qFormat/>
    <w:rsid w:val="00CB040A"/>
    <w:pPr>
      <w:ind w:left="720"/>
      <w:contextualSpacing/>
    </w:pPr>
  </w:style>
  <w:style w:type="character" w:styleId="IntenseEmphasis">
    <w:name w:val="Intense Emphasis"/>
    <w:basedOn w:val="DefaultParagraphFont"/>
    <w:uiPriority w:val="21"/>
    <w:qFormat/>
    <w:rsid w:val="00CB040A"/>
    <w:rPr>
      <w:i/>
      <w:iCs/>
      <w:color w:val="0F4761" w:themeColor="accent1" w:themeShade="BF"/>
    </w:rPr>
  </w:style>
  <w:style w:type="paragraph" w:styleId="IntenseQuote">
    <w:name w:val="Intense Quote"/>
    <w:basedOn w:val="Normal"/>
    <w:next w:val="Normal"/>
    <w:link w:val="IntenseQuoteChar"/>
    <w:uiPriority w:val="30"/>
    <w:qFormat/>
    <w:rsid w:val="00CB04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040A"/>
    <w:rPr>
      <w:i/>
      <w:iCs/>
      <w:color w:val="0F4761" w:themeColor="accent1" w:themeShade="BF"/>
    </w:rPr>
  </w:style>
  <w:style w:type="character" w:styleId="IntenseReference">
    <w:name w:val="Intense Reference"/>
    <w:basedOn w:val="DefaultParagraphFont"/>
    <w:uiPriority w:val="32"/>
    <w:qFormat/>
    <w:rsid w:val="00CB040A"/>
    <w:rPr>
      <w:b/>
      <w:bCs/>
      <w:smallCaps/>
      <w:color w:val="0F4761" w:themeColor="accent1" w:themeShade="BF"/>
      <w:spacing w:val="5"/>
    </w:rPr>
  </w:style>
  <w:style w:type="character" w:styleId="Hyperlink">
    <w:name w:val="Hyperlink"/>
    <w:basedOn w:val="DefaultParagraphFont"/>
    <w:uiPriority w:val="99"/>
    <w:unhideWhenUsed/>
    <w:rsid w:val="00BD6A64"/>
    <w:rPr>
      <w:color w:val="467886" w:themeColor="hyperlink"/>
      <w:u w:val="single"/>
    </w:rPr>
  </w:style>
  <w:style w:type="character" w:styleId="UnresolvedMention">
    <w:name w:val="Unresolved Mention"/>
    <w:basedOn w:val="DefaultParagraphFont"/>
    <w:uiPriority w:val="99"/>
    <w:semiHidden/>
    <w:unhideWhenUsed/>
    <w:rsid w:val="00BD6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research.library.kutztown.edu/jcps/vol17/iss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728</TotalTime>
  <Pages>2</Pages>
  <Words>748</Words>
  <Characters>4264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Flaherty</dc:creator>
  <cp:keywords/>
  <dc:description/>
  <cp:lastModifiedBy>Kate Flaherty</cp:lastModifiedBy>
  <cp:revision>7</cp:revision>
  <dcterms:created xsi:type="dcterms:W3CDTF">2026-04-15T12:54:00Z</dcterms:created>
  <dcterms:modified xsi:type="dcterms:W3CDTF">2026-04-16T01:12:00Z</dcterms:modified>
</cp:coreProperties>
</file>