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6BF69" w14:textId="77777777" w:rsidR="00D63885" w:rsidRPr="00F11649" w:rsidRDefault="00D63885" w:rsidP="00D63885">
      <w:pPr>
        <w:spacing w:line="360" w:lineRule="auto"/>
        <w:contextualSpacing/>
        <w:jc w:val="both"/>
        <w:rPr>
          <w:rFonts w:ascii="Calibri" w:hAnsi="Calibri" w:cs="Calibri"/>
        </w:rPr>
      </w:pPr>
      <w:r>
        <w:rPr>
          <w:rFonts w:ascii="Calibri" w:hAnsi="Calibri" w:cs="Calibri"/>
        </w:rPr>
        <w:t>Main author</w:t>
      </w:r>
    </w:p>
    <w:p w14:paraId="48CA1A40" w14:textId="77777777" w:rsidR="00D63885" w:rsidRPr="00F11649" w:rsidRDefault="00D63885" w:rsidP="00D63885">
      <w:pPr>
        <w:spacing w:line="360" w:lineRule="auto"/>
        <w:contextualSpacing/>
        <w:jc w:val="both"/>
        <w:rPr>
          <w:rFonts w:ascii="Calibri" w:hAnsi="Calibri" w:cs="Calibri"/>
        </w:rPr>
      </w:pPr>
      <w:r>
        <w:rPr>
          <w:rFonts w:ascii="Calibri" w:hAnsi="Calibri" w:cs="Calibri"/>
        </w:rPr>
        <w:t xml:space="preserve">Kok, Renee </w:t>
      </w:r>
    </w:p>
    <w:p w14:paraId="0C5DF3CD" w14:textId="77777777" w:rsidR="00D63885" w:rsidRPr="00F11649" w:rsidRDefault="00D63885" w:rsidP="00D63885">
      <w:pPr>
        <w:spacing w:line="360" w:lineRule="auto"/>
        <w:contextualSpacing/>
        <w:jc w:val="both"/>
        <w:rPr>
          <w:rFonts w:ascii="Calibri" w:hAnsi="Calibri" w:cs="Calibri"/>
        </w:rPr>
      </w:pPr>
      <w:r>
        <w:rPr>
          <w:rFonts w:ascii="Calibri" w:hAnsi="Calibri" w:cs="Calibri"/>
        </w:rPr>
        <w:t xml:space="preserve">Assistant Programme Chair, </w:t>
      </w:r>
    </w:p>
    <w:p w14:paraId="0B5EBE31" w14:textId="77777777" w:rsidR="00D63885" w:rsidRPr="00F11649" w:rsidRDefault="00D63885" w:rsidP="00D63885">
      <w:pPr>
        <w:spacing w:line="360" w:lineRule="auto"/>
        <w:contextualSpacing/>
        <w:jc w:val="both"/>
        <w:rPr>
          <w:rFonts w:ascii="Calibri" w:hAnsi="Calibri" w:cs="Calibri"/>
        </w:rPr>
      </w:pPr>
      <w:r>
        <w:rPr>
          <w:rFonts w:ascii="Calibri" w:hAnsi="Calibri" w:cs="Calibri"/>
        </w:rPr>
        <w:t>renee_kok@rp.edu.sg</w:t>
      </w:r>
    </w:p>
    <w:p w14:paraId="4CB3128D" w14:textId="77777777" w:rsidR="00D63885" w:rsidRDefault="00D63885" w:rsidP="00D63885">
      <w:pPr>
        <w:spacing w:line="360" w:lineRule="auto"/>
        <w:contextualSpacing/>
        <w:jc w:val="both"/>
        <w:rPr>
          <w:rFonts w:ascii="Calibri" w:hAnsi="Calibri" w:cs="Calibri"/>
        </w:rPr>
      </w:pPr>
      <w:r>
        <w:rPr>
          <w:rFonts w:ascii="Calibri" w:hAnsi="Calibri" w:cs="Calibri"/>
        </w:rPr>
        <w:t>Republic Polytechnic, 9 Woodlands Avenue 9, Singapore 738964</w:t>
      </w:r>
    </w:p>
    <w:p w14:paraId="0CDB8045" w14:textId="77777777" w:rsidR="00D63885" w:rsidRPr="00F11649" w:rsidRDefault="00D63885" w:rsidP="00D63885">
      <w:pPr>
        <w:spacing w:line="360" w:lineRule="auto"/>
        <w:contextualSpacing/>
        <w:jc w:val="both"/>
        <w:rPr>
          <w:rFonts w:ascii="Calibri" w:hAnsi="Calibri" w:cs="Calibri"/>
        </w:rPr>
      </w:pPr>
    </w:p>
    <w:p w14:paraId="5BD490C3" w14:textId="77777777" w:rsidR="00D63885" w:rsidRPr="007D72D0" w:rsidRDefault="00D63885" w:rsidP="00D63885">
      <w:pPr>
        <w:spacing w:line="360" w:lineRule="auto"/>
        <w:contextualSpacing/>
        <w:jc w:val="both"/>
        <w:rPr>
          <w:rFonts w:ascii="Calibri" w:hAnsi="Calibri" w:cs="Calibri"/>
          <w:b/>
          <w:bCs/>
        </w:rPr>
      </w:pPr>
      <w:r>
        <w:rPr>
          <w:rFonts w:ascii="Calibri" w:hAnsi="Calibri" w:cs="Calibri"/>
          <w:b/>
          <w:bCs/>
        </w:rPr>
        <w:t>Title</w:t>
      </w:r>
    </w:p>
    <w:p w14:paraId="2F8747F0" w14:textId="011C63C8" w:rsidR="00D63885" w:rsidRDefault="00E23862" w:rsidP="00D63885">
      <w:pPr>
        <w:spacing w:line="360" w:lineRule="auto"/>
        <w:contextualSpacing/>
        <w:jc w:val="both"/>
        <w:rPr>
          <w:rFonts w:ascii="Calibri" w:hAnsi="Calibri" w:cs="Calibri"/>
        </w:rPr>
      </w:pPr>
      <w:r w:rsidRPr="00E23862">
        <w:rPr>
          <w:rFonts w:ascii="Calibri" w:hAnsi="Calibri" w:cs="Calibri"/>
        </w:rPr>
        <w:t>Confidence, Not Certainty: A Life Design Approach to Student Flourishing in Singapore</w:t>
      </w:r>
    </w:p>
    <w:p w14:paraId="51C71F67" w14:textId="77777777" w:rsidR="00E23862" w:rsidRPr="007D72D0" w:rsidRDefault="00E23862" w:rsidP="00D63885">
      <w:pPr>
        <w:spacing w:line="360" w:lineRule="auto"/>
        <w:contextualSpacing/>
        <w:jc w:val="both"/>
        <w:rPr>
          <w:rFonts w:ascii="Calibri" w:hAnsi="Calibri" w:cs="Calibri"/>
          <w:b/>
          <w:bCs/>
          <w:color w:val="EE0000"/>
        </w:rPr>
      </w:pPr>
    </w:p>
    <w:p w14:paraId="73DF8924" w14:textId="77777777" w:rsidR="00D63885" w:rsidRPr="007D72D0" w:rsidRDefault="00D63885" w:rsidP="00D63885">
      <w:pPr>
        <w:spacing w:line="360" w:lineRule="auto"/>
        <w:contextualSpacing/>
        <w:jc w:val="both"/>
        <w:rPr>
          <w:rFonts w:ascii="Calibri" w:hAnsi="Calibri" w:cs="Calibri"/>
          <w:b/>
          <w:bCs/>
        </w:rPr>
      </w:pPr>
      <w:r>
        <w:rPr>
          <w:rFonts w:ascii="Calibri" w:hAnsi="Calibri" w:cs="Calibri"/>
          <w:b/>
          <w:bCs/>
        </w:rPr>
        <w:t>Theme</w:t>
      </w:r>
    </w:p>
    <w:p w14:paraId="619D2ACE" w14:textId="77777777" w:rsidR="00D63885" w:rsidRPr="007D72D0" w:rsidRDefault="00D63885" w:rsidP="00D63885">
      <w:pPr>
        <w:spacing w:line="360" w:lineRule="auto"/>
        <w:contextualSpacing/>
        <w:jc w:val="both"/>
        <w:rPr>
          <w:rFonts w:ascii="Calibri" w:hAnsi="Calibri" w:cs="Calibri"/>
        </w:rPr>
      </w:pPr>
      <w:r>
        <w:rPr>
          <w:rFonts w:ascii="Calibri" w:hAnsi="Calibri" w:cs="Calibri"/>
        </w:rPr>
        <w:t>Mental Health and Resilience</w:t>
      </w:r>
    </w:p>
    <w:p w14:paraId="657FFD12" w14:textId="77777777" w:rsidR="00D63885" w:rsidRPr="007D72D0" w:rsidRDefault="00D63885" w:rsidP="00D63885">
      <w:pPr>
        <w:spacing w:line="360" w:lineRule="auto"/>
        <w:contextualSpacing/>
        <w:jc w:val="both"/>
        <w:rPr>
          <w:rFonts w:ascii="Calibri" w:hAnsi="Calibri" w:cs="Calibri"/>
          <w:b/>
          <w:bCs/>
          <w:color w:val="EE0000"/>
        </w:rPr>
      </w:pPr>
    </w:p>
    <w:p w14:paraId="7A1C8C61" w14:textId="77777777" w:rsidR="00D63885" w:rsidRPr="007D72D0" w:rsidRDefault="00D63885" w:rsidP="00D63885">
      <w:pPr>
        <w:spacing w:line="360" w:lineRule="auto"/>
        <w:contextualSpacing/>
        <w:jc w:val="both"/>
        <w:rPr>
          <w:rFonts w:ascii="Calibri" w:hAnsi="Calibri" w:cs="Calibri"/>
          <w:b/>
          <w:bCs/>
        </w:rPr>
      </w:pPr>
      <w:r>
        <w:rPr>
          <w:rFonts w:ascii="Calibri" w:hAnsi="Calibri" w:cs="Calibri"/>
          <w:b/>
          <w:bCs/>
        </w:rPr>
        <w:t>Abstract</w:t>
      </w:r>
    </w:p>
    <w:p w14:paraId="34425435" w14:textId="77777777" w:rsidR="00D63885" w:rsidRPr="007D72D0" w:rsidRDefault="00D63885" w:rsidP="00D63885">
      <w:pPr>
        <w:spacing w:line="360" w:lineRule="auto"/>
        <w:contextualSpacing/>
        <w:jc w:val="both"/>
        <w:rPr>
          <w:rFonts w:ascii="Calibri" w:hAnsi="Calibri" w:cs="Calibri"/>
          <w:b/>
          <w:bCs/>
        </w:rPr>
      </w:pPr>
      <w:r>
        <w:rPr>
          <w:rFonts w:ascii="Calibri" w:hAnsi="Calibri" w:cs="Calibri"/>
          <w:b/>
          <w:bCs/>
        </w:rPr>
        <w:t>Introduction</w:t>
      </w:r>
    </w:p>
    <w:p w14:paraId="6FA54F8A" w14:textId="77777777" w:rsidR="00D63885" w:rsidRPr="007D72D0" w:rsidRDefault="00D63885" w:rsidP="00D63885">
      <w:pPr>
        <w:spacing w:line="360" w:lineRule="auto"/>
        <w:contextualSpacing/>
        <w:jc w:val="both"/>
        <w:rPr>
          <w:rFonts w:ascii="Calibri" w:hAnsi="Calibri" w:cs="Calibri"/>
        </w:rPr>
      </w:pPr>
      <w:r>
        <w:rPr>
          <w:rFonts w:ascii="Calibri" w:hAnsi="Calibri" w:cs="Calibri"/>
        </w:rPr>
        <w:t xml:space="preserve">In an increasingly uncertain and rapidly evolving labour market, traditional career guidance approaches that emphasise early certainty may no longer adequately support students. Aligned with the conference theme of </w:t>
      </w:r>
      <w:r>
        <w:rPr>
          <w:rFonts w:ascii="Calibri" w:hAnsi="Calibri" w:cs="Calibri"/>
          <w:i/>
          <w:iCs/>
        </w:rPr>
        <w:t>“Navigating the Future,”</w:t>
      </w:r>
      <w:r>
        <w:rPr>
          <w:rFonts w:ascii="Calibri" w:hAnsi="Calibri" w:cs="Calibri"/>
        </w:rPr>
        <w:t xml:space="preserve"> this study examines how higher education institutions can better equip students to engage with uncertainty in their career development and life planning.</w:t>
      </w:r>
    </w:p>
    <w:p w14:paraId="33E95C9E" w14:textId="77777777" w:rsidR="00D63885" w:rsidRPr="007D72D0" w:rsidRDefault="00D63885" w:rsidP="00D63885">
      <w:pPr>
        <w:spacing w:line="360" w:lineRule="auto"/>
        <w:contextualSpacing/>
        <w:jc w:val="both"/>
        <w:rPr>
          <w:rFonts w:ascii="Calibri" w:hAnsi="Calibri" w:cs="Calibri"/>
          <w:b/>
          <w:bCs/>
          <w:color w:val="EE0000"/>
        </w:rPr>
      </w:pPr>
    </w:p>
    <w:p w14:paraId="1A92DA10" w14:textId="77777777" w:rsidR="00D63885" w:rsidRPr="007D72D0" w:rsidRDefault="00D63885" w:rsidP="00D63885">
      <w:pPr>
        <w:spacing w:line="360" w:lineRule="auto"/>
        <w:contextualSpacing/>
        <w:jc w:val="both"/>
        <w:rPr>
          <w:rFonts w:ascii="Calibri" w:hAnsi="Calibri" w:cs="Calibri"/>
          <w:b/>
          <w:bCs/>
        </w:rPr>
      </w:pPr>
      <w:r>
        <w:rPr>
          <w:rFonts w:ascii="Calibri" w:hAnsi="Calibri" w:cs="Calibri"/>
          <w:b/>
          <w:bCs/>
        </w:rPr>
        <w:t>Objectives</w:t>
      </w:r>
    </w:p>
    <w:p w14:paraId="0EC4684A" w14:textId="77777777" w:rsidR="00D63885" w:rsidRPr="007D72D0" w:rsidRDefault="00D63885" w:rsidP="00D63885">
      <w:pPr>
        <w:spacing w:line="360" w:lineRule="auto"/>
        <w:contextualSpacing/>
        <w:jc w:val="both"/>
        <w:rPr>
          <w:rFonts w:ascii="Calibri" w:hAnsi="Calibri" w:cs="Calibri"/>
        </w:rPr>
      </w:pPr>
      <w:r>
        <w:rPr>
          <w:rFonts w:ascii="Calibri" w:hAnsi="Calibri" w:cs="Calibri"/>
        </w:rPr>
        <w:t xml:space="preserve">This study aims to examine how students develop confidence to explore and act in uncertain career contexts, and to understand how this confidence relates to student well-being, particularly in terms of sense of purpose and achievement. </w:t>
      </w:r>
    </w:p>
    <w:p w14:paraId="1FE19582" w14:textId="77777777" w:rsidR="00D63885" w:rsidRPr="007D72D0" w:rsidRDefault="00D63885" w:rsidP="00D63885">
      <w:pPr>
        <w:spacing w:line="360" w:lineRule="auto"/>
        <w:contextualSpacing/>
        <w:jc w:val="both"/>
        <w:rPr>
          <w:rFonts w:ascii="Calibri" w:hAnsi="Calibri" w:cs="Calibri"/>
          <w:b/>
          <w:bCs/>
          <w:color w:val="EE0000"/>
        </w:rPr>
      </w:pPr>
    </w:p>
    <w:p w14:paraId="2C315FAA" w14:textId="77777777" w:rsidR="00D63885" w:rsidRPr="007D72D0" w:rsidRDefault="00D63885" w:rsidP="00D63885">
      <w:pPr>
        <w:spacing w:line="360" w:lineRule="auto"/>
        <w:contextualSpacing/>
        <w:jc w:val="both"/>
        <w:rPr>
          <w:rFonts w:ascii="Calibri" w:hAnsi="Calibri" w:cs="Calibri"/>
          <w:b/>
          <w:bCs/>
        </w:rPr>
      </w:pPr>
      <w:r>
        <w:rPr>
          <w:rFonts w:ascii="Calibri" w:hAnsi="Calibri" w:cs="Calibri"/>
          <w:b/>
          <w:bCs/>
        </w:rPr>
        <w:t>Theoretical Basis</w:t>
      </w:r>
    </w:p>
    <w:p w14:paraId="7D2FC283" w14:textId="77777777" w:rsidR="00D63885" w:rsidRPr="007D72D0" w:rsidRDefault="00D63885" w:rsidP="00D63885">
      <w:pPr>
        <w:spacing w:line="360" w:lineRule="auto"/>
        <w:contextualSpacing/>
        <w:jc w:val="both"/>
        <w:rPr>
          <w:rFonts w:ascii="Calibri" w:hAnsi="Calibri" w:cs="Calibri"/>
        </w:rPr>
      </w:pPr>
      <w:r>
        <w:rPr>
          <w:rFonts w:ascii="Calibri" w:hAnsi="Calibri" w:cs="Calibri"/>
        </w:rPr>
        <w:t>The study draws on perspectives from career development and applied psychology, particularly self-efficacy theory (Bandura, 1997) and life design frameworks (Savickas et al., 2009), which emphasise the importance of agency, exploration, and adaptive action in navigating complex career pathways.</w:t>
      </w:r>
    </w:p>
    <w:p w14:paraId="2C461FEA" w14:textId="77777777" w:rsidR="00D63885" w:rsidRPr="007D72D0" w:rsidRDefault="00D63885" w:rsidP="00D63885">
      <w:pPr>
        <w:spacing w:line="360" w:lineRule="auto"/>
        <w:contextualSpacing/>
        <w:jc w:val="both"/>
        <w:rPr>
          <w:rFonts w:ascii="Calibri" w:hAnsi="Calibri" w:cs="Calibri"/>
          <w:b/>
          <w:bCs/>
          <w:color w:val="EE0000"/>
        </w:rPr>
      </w:pPr>
    </w:p>
    <w:p w14:paraId="19432575" w14:textId="77777777" w:rsidR="00D63885" w:rsidRPr="007D72D0" w:rsidRDefault="00D63885" w:rsidP="00D63885">
      <w:pPr>
        <w:spacing w:line="360" w:lineRule="auto"/>
        <w:contextualSpacing/>
        <w:jc w:val="both"/>
        <w:rPr>
          <w:rFonts w:ascii="Calibri" w:hAnsi="Calibri" w:cs="Calibri"/>
          <w:b/>
          <w:bCs/>
        </w:rPr>
      </w:pPr>
      <w:r>
        <w:rPr>
          <w:rFonts w:ascii="Calibri" w:hAnsi="Calibri" w:cs="Calibri"/>
          <w:b/>
          <w:bCs/>
        </w:rPr>
        <w:t>Methodology</w:t>
      </w:r>
    </w:p>
    <w:p w14:paraId="4000BDFD" w14:textId="67637FA1" w:rsidR="00D63885" w:rsidRDefault="00D63885" w:rsidP="00D63885">
      <w:pPr>
        <w:spacing w:line="360" w:lineRule="auto"/>
        <w:contextualSpacing/>
        <w:jc w:val="both"/>
        <w:rPr>
          <w:rFonts w:ascii="Calibri" w:hAnsi="Calibri" w:cs="Calibri"/>
        </w:rPr>
      </w:pPr>
      <w:r>
        <w:rPr>
          <w:rFonts w:ascii="Calibri" w:hAnsi="Calibri" w:cs="Calibri"/>
        </w:rPr>
        <w:t xml:space="preserve">The study is based on an institution-wide implementation of a “Designing Your Life” (DYL) framework </w:t>
      </w:r>
      <w:r w:rsidR="00450019">
        <w:rPr>
          <w:rFonts w:ascii="Calibri" w:hAnsi="Calibri" w:cs="Calibri"/>
        </w:rPr>
        <w:fldChar w:fldCharType="begin"/>
      </w:r>
      <w:r w:rsidR="00450019">
        <w:rPr>
          <w:rFonts w:ascii="Calibri" w:hAnsi="Calibri" w:cs="Calibri"/>
        </w:rPr>
        <w:instrText xml:space="preserve"> ADDIN ZOTERO_ITEM CSL_CITATION {"citationID":"Fmo9yI4h","properties":{"formattedCitation":"(Burnett &amp; Evans, 2016)","plainCitation":"(Burnett &amp; Evans, 2016)","noteIndex":0},"citationItems":[{"id":11,"uris":["http://zotero.org/users/19432075/items/3KLWR3VU"],"itemData":{"id":11,"type":"book","abstract":"#1 NEW YORK TIMES BEST SELLER • At last, a book that shows you how to build—design—a life you can thrive in, at any age or stage • “Life has questions. They have answers.” —The New York TimesDesigners create worlds and solve problems using design thinking. Look around your office or home—at the tablet or smartphone you may be holding or the chair you are sitting in. Everything in our lives was designed by someone. And every design starts with a problem that a designer or team of designers seeks to solve. In this book, Bill Burnett and Dave Evans show us how design thinking can help us create a life that is both meaningful and fulfilling, regardless of who or where we are, what we do or have done for a living, or how young or old we are. The same design thinking responsible for amazing technology, products, and spaces can be used to design and build your career and your life, a life of fulfillment and joy, constantly creative and productive, one that always holds the possibility of surprise.","ISBN":"978-1-101-87533-9","language":"en","note":"Google-Books-ID: RBeICwAAQBAJ","number-of-pages":"274","publisher":"Knopf Doubleday Publishing Group","source":"Google Books","title":"Designing your life: How to build a well-lived, joyful life","title-short":"Designing Your Life","author":[{"family":"Burnett","given":"Bill"},{"family":"Evans","given":"Dave"}],"issued":{"date-parts":[["2016",9,20]]}}}],"schema":"https://github.com/citation-style-language/schema/raw/master/csl-citation.json"} </w:instrText>
      </w:r>
      <w:r w:rsidR="00450019">
        <w:rPr>
          <w:rFonts w:ascii="Calibri" w:hAnsi="Calibri" w:cs="Calibri"/>
        </w:rPr>
        <w:fldChar w:fldCharType="separate"/>
      </w:r>
      <w:r w:rsidR="00450019" w:rsidRPr="00450019">
        <w:rPr>
          <w:rFonts w:ascii="Calibri" w:hAnsi="Calibri" w:cs="Calibri"/>
        </w:rPr>
        <w:t>(Burnett &amp; Evans, 2016)</w:t>
      </w:r>
      <w:r w:rsidR="00450019">
        <w:rPr>
          <w:rFonts w:ascii="Calibri" w:hAnsi="Calibri" w:cs="Calibri"/>
        </w:rPr>
        <w:fldChar w:fldCharType="end"/>
      </w:r>
      <w:r w:rsidR="00450019">
        <w:rPr>
          <w:rFonts w:ascii="Calibri" w:hAnsi="Calibri" w:cs="Calibri"/>
        </w:rPr>
        <w:t xml:space="preserve"> </w:t>
      </w:r>
      <w:r>
        <w:rPr>
          <w:rFonts w:ascii="Calibri" w:hAnsi="Calibri" w:cs="Calibri"/>
        </w:rPr>
        <w:t xml:space="preserve">in a polytechnic in Singapore. The framework is adapted from the Stanford Life Design Lab and localised for the Singapore context by integrating culturally relevant career </w:t>
      </w:r>
      <w:r>
        <w:rPr>
          <w:rFonts w:ascii="Calibri" w:hAnsi="Calibri" w:cs="Calibri"/>
        </w:rPr>
        <w:lastRenderedPageBreak/>
        <w:t>narratives and addressing the well-documented pressures of Singapore’s high-stakes education environment, where academic stress and constrained pathway choices are prevalent concerns (Chan &amp; Ng, 2025). The initiative adopts a design thinking approach, enabling students to engage in iterative prototyping, reflection, and exploration of possible career pathways.</w:t>
      </w:r>
    </w:p>
    <w:p w14:paraId="77856D7F" w14:textId="77777777" w:rsidR="00D63885" w:rsidRPr="007D72D0" w:rsidRDefault="00D63885" w:rsidP="00D63885">
      <w:pPr>
        <w:spacing w:line="360" w:lineRule="auto"/>
        <w:contextualSpacing/>
        <w:jc w:val="both"/>
        <w:rPr>
          <w:rFonts w:ascii="Calibri" w:hAnsi="Calibri" w:cs="Calibri"/>
        </w:rPr>
      </w:pPr>
    </w:p>
    <w:p w14:paraId="54C69221" w14:textId="3DADEDED" w:rsidR="00D63885" w:rsidRPr="007D72D0" w:rsidRDefault="00D63885" w:rsidP="00D63885">
      <w:pPr>
        <w:spacing w:line="360" w:lineRule="auto"/>
        <w:contextualSpacing/>
        <w:jc w:val="both"/>
        <w:rPr>
          <w:rFonts w:ascii="Calibri" w:hAnsi="Calibri" w:cs="Calibri"/>
        </w:rPr>
      </w:pPr>
      <w:r>
        <w:rPr>
          <w:rFonts w:ascii="Calibri" w:hAnsi="Calibri" w:cs="Calibri"/>
        </w:rPr>
        <w:t>Data were collected from a large student cohort (n = 2,015) using three validated instruments:  Certainty-oriented Career Beliefs scale, Career Development Self-Efficacy scale (Oishi, 2012), and the PERMA-Profiler measuring student flourishing (Butler &amp; Kern, 2016). The study includes pre– and post–intervention data from the same students, and a comparison with a non-DYL cohort</w:t>
      </w:r>
      <w:r w:rsidR="008C66F4">
        <w:rPr>
          <w:rFonts w:ascii="Calibri" w:hAnsi="Calibri" w:cs="Calibri"/>
        </w:rPr>
        <w:t>.</w:t>
      </w:r>
    </w:p>
    <w:p w14:paraId="60E0D287" w14:textId="77777777" w:rsidR="00D63885" w:rsidRPr="007D72D0" w:rsidRDefault="00D63885" w:rsidP="00D63885">
      <w:pPr>
        <w:spacing w:line="360" w:lineRule="auto"/>
        <w:contextualSpacing/>
        <w:jc w:val="both"/>
        <w:rPr>
          <w:rFonts w:ascii="Calibri" w:hAnsi="Calibri" w:cs="Calibri"/>
          <w:b/>
          <w:bCs/>
          <w:color w:val="EE0000"/>
        </w:rPr>
      </w:pPr>
    </w:p>
    <w:p w14:paraId="2BF97D61" w14:textId="77777777" w:rsidR="00D63885" w:rsidRPr="007D72D0" w:rsidRDefault="00D63885" w:rsidP="00D63885">
      <w:pPr>
        <w:spacing w:line="360" w:lineRule="auto"/>
        <w:contextualSpacing/>
        <w:jc w:val="both"/>
        <w:rPr>
          <w:rFonts w:ascii="Calibri" w:hAnsi="Calibri" w:cs="Calibri"/>
          <w:b/>
          <w:bCs/>
        </w:rPr>
      </w:pPr>
      <w:r>
        <w:rPr>
          <w:rFonts w:ascii="Calibri" w:hAnsi="Calibri" w:cs="Calibri"/>
          <w:b/>
          <w:bCs/>
        </w:rPr>
        <w:t>Results</w:t>
      </w:r>
    </w:p>
    <w:p w14:paraId="1D4BC124" w14:textId="1846A72E" w:rsidR="00D63885" w:rsidRDefault="00D63885" w:rsidP="00D63885">
      <w:pPr>
        <w:spacing w:line="360" w:lineRule="auto"/>
        <w:contextualSpacing/>
        <w:jc w:val="both"/>
        <w:rPr>
          <w:rFonts w:ascii="Calibri" w:hAnsi="Calibri" w:cs="Calibri"/>
        </w:rPr>
      </w:pPr>
      <w:r>
        <w:rPr>
          <w:rFonts w:ascii="Calibri" w:hAnsi="Calibri" w:cs="Calibri"/>
        </w:rPr>
        <w:t>Findings from the pre–post and control group comparisons reveal three clear outcomes. First, s</w:t>
      </w:r>
      <w:r w:rsidRPr="00E87F7E">
        <w:rPr>
          <w:rFonts w:ascii="Calibri" w:hAnsi="Calibri" w:cs="Calibri"/>
        </w:rPr>
        <w:t>tudents demonstrated significant gains in career confidence across almost all measured items, reflecting their greater capability to explore multiple career pathways, network with professionals, and plan over a five-year horizon</w:t>
      </w:r>
      <w:r>
        <w:rPr>
          <w:rFonts w:ascii="Calibri" w:hAnsi="Calibri" w:cs="Calibri"/>
        </w:rPr>
        <w:t>,</w:t>
      </w:r>
      <w:r w:rsidRPr="00E87F7E">
        <w:rPr>
          <w:rFonts w:ascii="Calibri" w:hAnsi="Calibri" w:cs="Calibri"/>
        </w:rPr>
        <w:t xml:space="preserve"> capturing the ability to explore, adapt, and act in an uncertain career context.</w:t>
      </w:r>
    </w:p>
    <w:p w14:paraId="7E3D3FD1" w14:textId="6207D002" w:rsidR="00D63885" w:rsidRDefault="00D63885" w:rsidP="00D63885">
      <w:pPr>
        <w:spacing w:line="360" w:lineRule="auto"/>
        <w:contextualSpacing/>
        <w:jc w:val="both"/>
        <w:rPr>
          <w:rFonts w:ascii="Calibri" w:hAnsi="Calibri" w:cs="Calibri"/>
        </w:rPr>
      </w:pPr>
      <w:r>
        <w:rPr>
          <w:rFonts w:ascii="Calibri" w:hAnsi="Calibri" w:cs="Calibri"/>
        </w:rPr>
        <w:t xml:space="preserve">Second, flourishing scores improved significantly, with the largest gains in Meaning (sense of purpose) and Achievement (goal progress) – both central to the institution’s student </w:t>
      </w:r>
      <w:r w:rsidR="008C66F4">
        <w:rPr>
          <w:rFonts w:ascii="Calibri" w:hAnsi="Calibri" w:cs="Calibri"/>
        </w:rPr>
        <w:t>development</w:t>
      </w:r>
      <w:r>
        <w:rPr>
          <w:rFonts w:ascii="Calibri" w:hAnsi="Calibri" w:cs="Calibri"/>
        </w:rPr>
        <w:t xml:space="preserve"> framework. </w:t>
      </w:r>
    </w:p>
    <w:p w14:paraId="0EC6288B" w14:textId="60C3C16E" w:rsidR="00D63885" w:rsidRPr="007D72D0" w:rsidRDefault="00D63885" w:rsidP="00D63885">
      <w:pPr>
        <w:spacing w:line="360" w:lineRule="auto"/>
        <w:contextualSpacing/>
        <w:jc w:val="both"/>
        <w:rPr>
          <w:rFonts w:ascii="Calibri" w:hAnsi="Calibri" w:cs="Calibri"/>
        </w:rPr>
      </w:pPr>
      <w:r>
        <w:rPr>
          <w:rFonts w:ascii="Calibri" w:hAnsi="Calibri" w:cs="Calibri"/>
        </w:rPr>
        <w:t>Third, certainty-oriented career beliefs remained largely stable, consistent with the expectation that deep-seated beliefs require longer-term intervention. DYL students scored higher than the non-DYL cohort on most flourishing dimensions, with the largest difference observed in Meaning. These patterns were further corroborated by qualitative data from six focus group discussions, with students describing increased flexible career thinking, self-awareness, and openness to exploration.</w:t>
      </w:r>
    </w:p>
    <w:p w14:paraId="630E1A76" w14:textId="77777777" w:rsidR="00D63885" w:rsidRPr="007D72D0" w:rsidRDefault="00D63885" w:rsidP="00D63885">
      <w:pPr>
        <w:spacing w:line="360" w:lineRule="auto"/>
        <w:contextualSpacing/>
        <w:jc w:val="both"/>
        <w:rPr>
          <w:rFonts w:ascii="Calibri" w:hAnsi="Calibri" w:cs="Calibri"/>
          <w:b/>
          <w:bCs/>
          <w:color w:val="EE0000"/>
        </w:rPr>
      </w:pPr>
    </w:p>
    <w:p w14:paraId="2F1A0306" w14:textId="77777777" w:rsidR="00D63885" w:rsidRPr="008F3681" w:rsidRDefault="00D63885" w:rsidP="00D63885">
      <w:pPr>
        <w:spacing w:line="360" w:lineRule="auto"/>
        <w:contextualSpacing/>
        <w:jc w:val="both"/>
        <w:rPr>
          <w:rFonts w:ascii="Calibri" w:hAnsi="Calibri" w:cs="Calibri"/>
          <w:b/>
          <w:bCs/>
        </w:rPr>
      </w:pPr>
      <w:r>
        <w:rPr>
          <w:rFonts w:ascii="Calibri" w:hAnsi="Calibri" w:cs="Calibri"/>
          <w:b/>
          <w:bCs/>
        </w:rPr>
        <w:t>Conclusions</w:t>
      </w:r>
    </w:p>
    <w:p w14:paraId="13F2D513" w14:textId="77777777" w:rsidR="00D63885" w:rsidRPr="008F3681" w:rsidRDefault="00D63885" w:rsidP="00D63885">
      <w:pPr>
        <w:spacing w:line="360" w:lineRule="auto"/>
        <w:contextualSpacing/>
        <w:jc w:val="both"/>
        <w:rPr>
          <w:rFonts w:ascii="Calibri" w:hAnsi="Calibri" w:cs="Calibri"/>
        </w:rPr>
      </w:pPr>
      <w:r>
        <w:rPr>
          <w:rFonts w:ascii="Calibri" w:hAnsi="Calibri" w:cs="Calibri"/>
        </w:rPr>
        <w:t>The findings suggest that career guidance should shift from promoting early certainty toward fostering confidence anchored in adaptability and ongoing exploration. The localised RP-DYL model demonstrates that life design approaches can be meaningfully contextualised for Asian educational settings, offering a transferable and evidence-based framework for institutions navigating similar pressures globally. The stable career beliefs finding validates the need for a sustained, multi-year intervention framework rather than a single-cohort programme.</w:t>
      </w:r>
    </w:p>
    <w:p w14:paraId="65E4EFD9" w14:textId="77777777" w:rsidR="00D63885" w:rsidRDefault="00D63885" w:rsidP="00D63885">
      <w:pPr>
        <w:spacing w:line="360" w:lineRule="auto"/>
        <w:contextualSpacing/>
        <w:jc w:val="both"/>
        <w:rPr>
          <w:rFonts w:ascii="Calibri" w:hAnsi="Calibri" w:cs="Calibri"/>
          <w:b/>
          <w:bCs/>
          <w:color w:val="EE0000"/>
        </w:rPr>
      </w:pPr>
    </w:p>
    <w:p w14:paraId="1AD24FA5" w14:textId="77777777" w:rsidR="00D63885" w:rsidRPr="00EB0519" w:rsidRDefault="00D63885" w:rsidP="00D63885">
      <w:pPr>
        <w:spacing w:line="360" w:lineRule="auto"/>
        <w:contextualSpacing/>
        <w:jc w:val="both"/>
        <w:rPr>
          <w:rFonts w:ascii="Calibri" w:hAnsi="Calibri" w:cs="Calibri"/>
          <w:b/>
          <w:bCs/>
        </w:rPr>
      </w:pPr>
      <w:r>
        <w:rPr>
          <w:rFonts w:ascii="Calibri" w:hAnsi="Calibri" w:cs="Calibri"/>
          <w:b/>
          <w:bCs/>
        </w:rPr>
        <w:t>Implications</w:t>
      </w:r>
    </w:p>
    <w:p w14:paraId="1146316E" w14:textId="75E0E5D3" w:rsidR="00D63885" w:rsidRPr="00EB0519" w:rsidRDefault="00D63885" w:rsidP="00D63885">
      <w:pPr>
        <w:spacing w:line="360" w:lineRule="auto"/>
        <w:contextualSpacing/>
        <w:jc w:val="both"/>
        <w:rPr>
          <w:rFonts w:ascii="Calibri" w:hAnsi="Calibri" w:cs="Calibri"/>
          <w:b/>
          <w:bCs/>
        </w:rPr>
      </w:pPr>
      <w:r>
        <w:rPr>
          <w:rFonts w:ascii="Calibri" w:hAnsi="Calibri" w:cs="Calibri"/>
        </w:rPr>
        <w:t xml:space="preserve">Findings carry direct implications for career guidance practice, curriculum design, and institutional strategy. Practitioners are encouraged to reframe guidance goals around building adaptive confidence </w:t>
      </w:r>
      <w:r>
        <w:rPr>
          <w:rFonts w:ascii="Calibri" w:hAnsi="Calibri" w:cs="Calibri"/>
        </w:rPr>
        <w:lastRenderedPageBreak/>
        <w:t>rather than resolving uncertainty. At the curriculum level, embedding iterative prototyping and reflection as modelled in the DYL framework offers a scalable approach to holistic student development. Institutionally, the control group comparison supports investment in structured, evidence-based life design programmes as a systemic response to growing student well-being concerns. The psychometric validation of three brief life design measures, a first in Asia, also provides a replicable evaluation tool for other institutions.</w:t>
      </w:r>
    </w:p>
    <w:p w14:paraId="4CE2FD2F" w14:textId="77777777" w:rsidR="00D63885" w:rsidRPr="007D72D0" w:rsidRDefault="00D63885" w:rsidP="00D63885">
      <w:pPr>
        <w:spacing w:line="360" w:lineRule="auto"/>
        <w:contextualSpacing/>
        <w:rPr>
          <w:rFonts w:ascii="Calibri" w:hAnsi="Calibri" w:cs="Calibri"/>
          <w:b/>
          <w:bCs/>
          <w:color w:val="EE0000"/>
        </w:rPr>
      </w:pPr>
    </w:p>
    <w:p w14:paraId="3B17E511" w14:textId="77777777" w:rsidR="00D63885" w:rsidRPr="008F3681" w:rsidRDefault="00D63885" w:rsidP="00D63885">
      <w:pPr>
        <w:spacing w:line="360" w:lineRule="auto"/>
        <w:contextualSpacing/>
        <w:rPr>
          <w:rFonts w:ascii="Calibri" w:hAnsi="Calibri" w:cs="Calibri"/>
          <w:b/>
          <w:bCs/>
        </w:rPr>
      </w:pPr>
      <w:r>
        <w:rPr>
          <w:rFonts w:ascii="Calibri" w:hAnsi="Calibri" w:cs="Calibri"/>
          <w:b/>
          <w:bCs/>
        </w:rPr>
        <w:t>Keywords</w:t>
      </w:r>
    </w:p>
    <w:p w14:paraId="1EBB93B8" w14:textId="77777777" w:rsidR="00D63885" w:rsidRPr="008F3681" w:rsidRDefault="00D63885" w:rsidP="00D63885">
      <w:pPr>
        <w:spacing w:line="360" w:lineRule="auto"/>
        <w:contextualSpacing/>
        <w:rPr>
          <w:rFonts w:ascii="Calibri" w:hAnsi="Calibri" w:cs="Calibri"/>
        </w:rPr>
      </w:pPr>
      <w:r>
        <w:rPr>
          <w:rFonts w:ascii="Calibri" w:hAnsi="Calibri" w:cs="Calibri"/>
        </w:rPr>
        <w:t>life design, career development; self-efficacy; student well-being; uncertainty</w:t>
      </w:r>
    </w:p>
    <w:p w14:paraId="1D1ECBD1" w14:textId="77777777" w:rsidR="00D63885" w:rsidRDefault="00D63885" w:rsidP="00D63885">
      <w:pPr>
        <w:spacing w:line="360" w:lineRule="auto"/>
        <w:contextualSpacing/>
        <w:rPr>
          <w:rFonts w:ascii="Calibri" w:hAnsi="Calibri" w:cs="Calibri"/>
        </w:rPr>
      </w:pPr>
    </w:p>
    <w:p w14:paraId="417DDFD3" w14:textId="2B58B9D2" w:rsidR="00D63885" w:rsidRPr="004C4851" w:rsidRDefault="00D63885" w:rsidP="00D63885">
      <w:pPr>
        <w:spacing w:line="360" w:lineRule="auto"/>
        <w:contextualSpacing/>
        <w:rPr>
          <w:rFonts w:ascii="Calibri" w:hAnsi="Calibri" w:cs="Calibri"/>
          <w:b/>
          <w:bCs/>
        </w:rPr>
      </w:pPr>
      <w:r>
        <w:rPr>
          <w:rFonts w:ascii="Calibri" w:hAnsi="Calibri" w:cs="Calibri"/>
          <w:b/>
          <w:bCs/>
        </w:rPr>
        <w:t xml:space="preserve">Bibliographical references </w:t>
      </w:r>
    </w:p>
    <w:p w14:paraId="150085C2" w14:textId="77777777" w:rsidR="00D63885" w:rsidRPr="00FB1DA8" w:rsidRDefault="00D63885" w:rsidP="00D63885">
      <w:pPr>
        <w:pStyle w:val="Bibliography"/>
        <w:ind w:left="709" w:hanging="709"/>
        <w:rPr>
          <w:rFonts w:ascii="Aptos" w:hAnsi="Aptos"/>
        </w:rPr>
      </w:pPr>
      <w:r>
        <w:rPr>
          <w:rFonts w:ascii="Aptos" w:hAnsi="Aptos"/>
        </w:rPr>
        <w:t xml:space="preserve">Bandura, A. (1997). </w:t>
      </w:r>
      <w:r>
        <w:rPr>
          <w:rFonts w:ascii="Aptos" w:hAnsi="Aptos"/>
          <w:i/>
          <w:iCs/>
        </w:rPr>
        <w:t>Self-efficacy: The exercise of control</w:t>
      </w:r>
      <w:r>
        <w:rPr>
          <w:rFonts w:ascii="Aptos" w:hAnsi="Aptos"/>
        </w:rPr>
        <w:t xml:space="preserve"> (pp. ix, 604). W H Freeman/Times Books/ Henry Holt &amp; Co.</w:t>
      </w:r>
    </w:p>
    <w:p w14:paraId="4B1233D3" w14:textId="77777777" w:rsidR="00D63885" w:rsidRPr="00FB1DA8" w:rsidRDefault="00D63885" w:rsidP="00D63885">
      <w:pPr>
        <w:pStyle w:val="Bibliography"/>
        <w:ind w:left="709" w:hanging="709"/>
        <w:rPr>
          <w:rFonts w:ascii="Aptos" w:hAnsi="Aptos"/>
        </w:rPr>
      </w:pPr>
      <w:r>
        <w:rPr>
          <w:rFonts w:ascii="Aptos" w:hAnsi="Aptos"/>
        </w:rPr>
        <w:t xml:space="preserve">Burnett, B., &amp; Evans, D. (2016). </w:t>
      </w:r>
      <w:r>
        <w:rPr>
          <w:rFonts w:ascii="Aptos" w:hAnsi="Aptos"/>
          <w:i/>
          <w:iCs/>
        </w:rPr>
        <w:t>Designing your life: How to build a well-lived, joyful life</w:t>
      </w:r>
      <w:r>
        <w:rPr>
          <w:rFonts w:ascii="Aptos" w:hAnsi="Aptos"/>
        </w:rPr>
        <w:t>. Knopf Doubleday Publishing Group.</w:t>
      </w:r>
    </w:p>
    <w:p w14:paraId="145B00D8" w14:textId="77777777" w:rsidR="00D63885" w:rsidRPr="00FB1DA8" w:rsidRDefault="00D63885" w:rsidP="00D63885">
      <w:pPr>
        <w:pStyle w:val="Bibliography"/>
        <w:ind w:left="709" w:hanging="709"/>
        <w:rPr>
          <w:rFonts w:ascii="Aptos" w:hAnsi="Aptos"/>
        </w:rPr>
      </w:pPr>
      <w:r>
        <w:rPr>
          <w:rFonts w:ascii="Aptos" w:hAnsi="Aptos"/>
        </w:rPr>
        <w:t xml:space="preserve">Butler, J., &amp; Kern, M. L. (2016). The PERMA-profiler: A brief multidimensional measure of flourishing. </w:t>
      </w:r>
      <w:r>
        <w:rPr>
          <w:rFonts w:ascii="Aptos" w:hAnsi="Aptos"/>
          <w:i/>
          <w:iCs/>
        </w:rPr>
        <w:t>International Journal of Wellbeing</w:t>
      </w:r>
      <w:r>
        <w:rPr>
          <w:rFonts w:ascii="Aptos" w:hAnsi="Aptos"/>
        </w:rPr>
        <w:t xml:space="preserve">, </w:t>
      </w:r>
      <w:r>
        <w:rPr>
          <w:rFonts w:ascii="Aptos" w:hAnsi="Aptos"/>
          <w:i/>
          <w:iCs/>
        </w:rPr>
        <w:t>6</w:t>
      </w:r>
      <w:r>
        <w:rPr>
          <w:rFonts w:ascii="Aptos" w:hAnsi="Aptos"/>
        </w:rPr>
        <w:t>(3), 1–48. https://doi.org/10.5502/ijw.v6i3.526</w:t>
      </w:r>
    </w:p>
    <w:p w14:paraId="023C141F" w14:textId="7F6A0C29" w:rsidR="00D63885" w:rsidRDefault="00D63885" w:rsidP="00D63885">
      <w:pPr>
        <w:pStyle w:val="Bibliography"/>
        <w:ind w:left="709" w:hanging="709"/>
        <w:rPr>
          <w:rFonts w:ascii="Aptos" w:hAnsi="Aptos"/>
        </w:rPr>
      </w:pPr>
      <w:r>
        <w:rPr>
          <w:rFonts w:ascii="Aptos" w:hAnsi="Aptos"/>
        </w:rPr>
        <w:t xml:space="preserve">Chan, G., &amp; Ng, W. K. (2025, November 22). Inside Singapore’s education ‘arms race’: Stress, inequality and the push for change. </w:t>
      </w:r>
      <w:r>
        <w:rPr>
          <w:rFonts w:ascii="Aptos" w:hAnsi="Aptos"/>
          <w:i/>
          <w:iCs/>
        </w:rPr>
        <w:t>The Straits Times</w:t>
      </w:r>
      <w:r>
        <w:rPr>
          <w:rFonts w:ascii="Aptos" w:hAnsi="Aptos"/>
        </w:rPr>
        <w:t xml:space="preserve">. </w:t>
      </w:r>
      <w:hyperlink r:id="rId7" w:history="1">
        <w:r w:rsidR="00450019" w:rsidRPr="00BA5383">
          <w:rPr>
            <w:rStyle w:val="Hyperlink"/>
            <w:rFonts w:ascii="Aptos" w:hAnsi="Aptos"/>
          </w:rPr>
          <w:t>https://www.straitstimes.com/singapore/inside-singapores-education-arms-race-stress-inequality-and-the-push-for-change</w:t>
        </w:r>
      </w:hyperlink>
    </w:p>
    <w:p w14:paraId="5080F826" w14:textId="77281532" w:rsidR="00450019" w:rsidRPr="00450019" w:rsidRDefault="00450019" w:rsidP="00450019">
      <w:pPr>
        <w:pStyle w:val="Bibliography"/>
        <w:ind w:left="709" w:hanging="709"/>
        <w:rPr>
          <w:rFonts w:ascii="Aptos" w:hAnsi="Aptos"/>
        </w:rPr>
      </w:pPr>
      <w:r w:rsidRPr="00FB1DA8">
        <w:rPr>
          <w:rFonts w:ascii="Aptos" w:hAnsi="Aptos"/>
        </w:rPr>
        <w:t xml:space="preserve">Oishi, L. N. (2012). </w:t>
      </w:r>
      <w:r w:rsidRPr="00FB1DA8">
        <w:rPr>
          <w:rFonts w:ascii="Aptos" w:hAnsi="Aptos"/>
          <w:i/>
          <w:iCs/>
        </w:rPr>
        <w:t>Enhancing career development agency in emerging adulthood: An intervention using design thinking</w:t>
      </w:r>
      <w:r w:rsidRPr="00FB1DA8">
        <w:rPr>
          <w:rFonts w:ascii="Aptos" w:hAnsi="Aptos"/>
        </w:rPr>
        <w:t xml:space="preserve"> [Doctoral dissertation]. Stanford University, Graduate School of Education.</w:t>
      </w:r>
    </w:p>
    <w:p w14:paraId="5179D236" w14:textId="77777777" w:rsidR="00D63885" w:rsidRDefault="00D63885" w:rsidP="00D63885">
      <w:pPr>
        <w:pStyle w:val="Bibliography"/>
        <w:ind w:left="709" w:hanging="709"/>
        <w:rPr>
          <w:rFonts w:ascii="Aptos" w:hAnsi="Aptos"/>
        </w:rPr>
      </w:pPr>
      <w:r>
        <w:rPr>
          <w:rFonts w:ascii="Aptos" w:hAnsi="Aptos"/>
        </w:rPr>
        <w:t xml:space="preserve">Savickas, M. L., Nota, L., Rossier, J., </w:t>
      </w:r>
      <w:proofErr w:type="spellStart"/>
      <w:r>
        <w:rPr>
          <w:rFonts w:ascii="Aptos" w:hAnsi="Aptos"/>
        </w:rPr>
        <w:t>Dauwalder</w:t>
      </w:r>
      <w:proofErr w:type="spellEnd"/>
      <w:r>
        <w:rPr>
          <w:rFonts w:ascii="Aptos" w:hAnsi="Aptos"/>
        </w:rPr>
        <w:t xml:space="preserve">, J.-P., Duarte, M. E., Guichard, J., </w:t>
      </w:r>
      <w:proofErr w:type="spellStart"/>
      <w:r>
        <w:rPr>
          <w:rFonts w:ascii="Aptos" w:hAnsi="Aptos"/>
        </w:rPr>
        <w:t>Soresi</w:t>
      </w:r>
      <w:proofErr w:type="spellEnd"/>
      <w:r>
        <w:rPr>
          <w:rFonts w:ascii="Aptos" w:hAnsi="Aptos"/>
        </w:rPr>
        <w:t xml:space="preserve">, S., Van Esbroeck, R., &amp; van Vianen, A. E. M. (2009). Life designing: A paradigm for career construction in the 21st century. </w:t>
      </w:r>
      <w:r>
        <w:rPr>
          <w:rFonts w:ascii="Aptos" w:hAnsi="Aptos"/>
          <w:i/>
          <w:iCs/>
        </w:rPr>
        <w:t xml:space="preserve">Journal of Vocational </w:t>
      </w:r>
      <w:proofErr w:type="spellStart"/>
      <w:r>
        <w:rPr>
          <w:rFonts w:ascii="Aptos" w:hAnsi="Aptos"/>
          <w:i/>
          <w:iCs/>
        </w:rPr>
        <w:t>Behavior</w:t>
      </w:r>
      <w:proofErr w:type="spellEnd"/>
      <w:r>
        <w:rPr>
          <w:rFonts w:ascii="Aptos" w:hAnsi="Aptos"/>
        </w:rPr>
        <w:t xml:space="preserve">, </w:t>
      </w:r>
      <w:r>
        <w:rPr>
          <w:rFonts w:ascii="Aptos" w:hAnsi="Aptos"/>
          <w:i/>
          <w:iCs/>
        </w:rPr>
        <w:t>75</w:t>
      </w:r>
      <w:r>
        <w:rPr>
          <w:rFonts w:ascii="Aptos" w:hAnsi="Aptos"/>
        </w:rPr>
        <w:t xml:space="preserve">(3), 239–250. </w:t>
      </w:r>
      <w:hyperlink r:id="rId8" w:history="1">
        <w:r w:rsidRPr="00BA5383">
          <w:rPr>
            <w:rStyle w:val="Hyperlink"/>
            <w:rFonts w:ascii="Aptos" w:hAnsi="Aptos"/>
          </w:rPr>
          <w:t>https://doi.org/10.1016/j.jvb.2009.04.004</w:t>
        </w:r>
      </w:hyperlink>
    </w:p>
    <w:p w14:paraId="279326AC" w14:textId="77777777" w:rsidR="008F3681" w:rsidRDefault="008F3681"/>
    <w:sectPr w:rsidR="008F3681">
      <w:headerReference w:type="even" r:id="rId9"/>
      <w:headerReference w:type="default" r:id="rId10"/>
      <w:head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8E239" w14:textId="77777777" w:rsidR="00922B3D" w:rsidRDefault="00922B3D" w:rsidP="006625D5">
      <w:pPr>
        <w:spacing w:after="0" w:line="240" w:lineRule="auto"/>
      </w:pPr>
      <w:r>
        <w:separator/>
      </w:r>
    </w:p>
  </w:endnote>
  <w:endnote w:type="continuationSeparator" w:id="0">
    <w:p w14:paraId="0C619587" w14:textId="77777777" w:rsidR="00922B3D" w:rsidRDefault="00922B3D" w:rsidP="00662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FDF6C" w14:textId="77777777" w:rsidR="00922B3D" w:rsidRDefault="00922B3D" w:rsidP="006625D5">
      <w:pPr>
        <w:spacing w:after="0" w:line="240" w:lineRule="auto"/>
      </w:pPr>
      <w:r>
        <w:separator/>
      </w:r>
    </w:p>
  </w:footnote>
  <w:footnote w:type="continuationSeparator" w:id="0">
    <w:p w14:paraId="43EACC69" w14:textId="77777777" w:rsidR="00922B3D" w:rsidRDefault="00922B3D" w:rsidP="006625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E9373" w14:textId="713C6896" w:rsidR="006625D5" w:rsidRDefault="006625D5">
    <w:pPr>
      <w:pStyle w:val="Header"/>
    </w:pPr>
    <w:r>
      <w:rPr>
        <w:noProof/>
      </w:rPr>
      <mc:AlternateContent>
        <mc:Choice Requires="wps">
          <w:drawing>
            <wp:anchor distT="0" distB="0" distL="0" distR="0" simplePos="0" relativeHeight="251659264" behindDoc="0" locked="0" layoutInCell="1" allowOverlap="1" wp14:anchorId="3585306A" wp14:editId="65D181D8">
              <wp:simplePos x="635" y="635"/>
              <wp:positionH relativeFrom="page">
                <wp:align>left</wp:align>
              </wp:positionH>
              <wp:positionV relativeFrom="page">
                <wp:align>top</wp:align>
              </wp:positionV>
              <wp:extent cx="257810" cy="207010"/>
              <wp:effectExtent l="0" t="0" r="8890" b="2540"/>
              <wp:wrapNone/>
              <wp:docPr id="1292869974" name="Text Box 2" desc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7810" cy="207010"/>
                      </a:xfrm>
                      <a:prstGeom prst="rect">
                        <a:avLst/>
                      </a:prstGeom>
                      <a:noFill/>
                      <a:ln>
                        <a:noFill/>
                      </a:ln>
                    </wps:spPr>
                    <wps:txbx>
                      <w:txbxContent>
                        <w:p w14:paraId="1822917F" w14:textId="01346A31" w:rsidR="006625D5" w:rsidRPr="006625D5" w:rsidRDefault="006625D5" w:rsidP="006625D5">
                          <w:pPr>
                            <w:spacing w:after="0"/>
                            <w:rPr>
                              <w:rFonts w:ascii="Aptos" w:eastAsia="Aptos" w:hAnsi="Aptos" w:cs="Aptos"/>
                              <w:noProof/>
                              <w:color w:val="FFFF00"/>
                              <w:sz w:val="2"/>
                              <w:szCs w:val="2"/>
                            </w:rPr>
                          </w:pPr>
                          <w:r w:rsidRPr="006625D5">
                            <w:rPr>
                              <w:rFonts w:ascii="Aptos" w:eastAsia="Aptos" w:hAnsi="Aptos" w:cs="Aptos"/>
                              <w:noProof/>
                              <w:color w:val="FFFF00"/>
                              <w:sz w:val="2"/>
                              <w:szCs w:val="2"/>
                            </w:rPr>
                            <w:t>.</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585306A" id="_x0000_t202" coordsize="21600,21600" o:spt="202" path="m,l,21600r21600,l21600,xe">
              <v:stroke joinstyle="miter"/>
              <v:path gradientshapeok="t" o:connecttype="rect"/>
            </v:shapetype>
            <v:shape id="Text Box 2" o:spid="_x0000_s1026" type="#_x0000_t202" alt="." style="position:absolute;margin-left:0;margin-top:0;width:20.3pt;height:16.3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" filled="f" stroked="f">
              <v:textbox style="mso-fit-shape-to-text:t" inset="20pt,15pt,0,0">
                <w:txbxContent>
                  <w:p w14:paraId="1822917F" w14:textId="01346A31" w:rsidR="006625D5" w:rsidRPr="006625D5" w:rsidRDefault="006625D5" w:rsidP="006625D5">
                    <w:pPr>
                      <w:spacing w:after="0"/>
                      <w:rPr>
                        <w:rFonts w:ascii="Aptos" w:eastAsia="Aptos" w:hAnsi="Aptos" w:cs="Aptos"/>
                        <w:noProof/>
                        <w:color w:val="FFFF00"/>
                        <w:sz w:val="2"/>
                        <w:szCs w:val="2"/>
                      </w:rPr>
                    </w:pPr>
                    <w:r w:rsidRPr="006625D5">
                      <w:rPr>
                        <w:rFonts w:ascii="Aptos" w:eastAsia="Aptos" w:hAnsi="Aptos" w:cs="Aptos"/>
                        <w:noProof/>
                        <w:color w:val="FFFF00"/>
                        <w:sz w:val="2"/>
                        <w:szCs w:val="2"/>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88B13" w14:textId="0E96DD9B" w:rsidR="006625D5" w:rsidRDefault="006625D5">
    <w:pPr>
      <w:pStyle w:val="Header"/>
    </w:pPr>
    <w:r>
      <w:rPr>
        <w:noProof/>
      </w:rPr>
      <mc:AlternateContent>
        <mc:Choice Requires="wps">
          <w:drawing>
            <wp:anchor distT="0" distB="0" distL="0" distR="0" simplePos="0" relativeHeight="251660288" behindDoc="0" locked="0" layoutInCell="1" allowOverlap="1" wp14:anchorId="4CC03EF3" wp14:editId="32AF8AF4">
              <wp:simplePos x="914400" y="450850"/>
              <wp:positionH relativeFrom="page">
                <wp:align>left</wp:align>
              </wp:positionH>
              <wp:positionV relativeFrom="page">
                <wp:align>top</wp:align>
              </wp:positionV>
              <wp:extent cx="257810" cy="207010"/>
              <wp:effectExtent l="0" t="0" r="8890" b="2540"/>
              <wp:wrapNone/>
              <wp:docPr id="400450220" name="Text Box 3" desc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7810" cy="207010"/>
                      </a:xfrm>
                      <a:prstGeom prst="rect">
                        <a:avLst/>
                      </a:prstGeom>
                      <a:noFill/>
                      <a:ln>
                        <a:noFill/>
                      </a:ln>
                    </wps:spPr>
                    <wps:txbx>
                      <w:txbxContent>
                        <w:p w14:paraId="7BE47BA0" w14:textId="07679B05" w:rsidR="006625D5" w:rsidRPr="006625D5" w:rsidRDefault="006625D5" w:rsidP="006625D5">
                          <w:pPr>
                            <w:spacing w:after="0"/>
                            <w:rPr>
                              <w:rFonts w:ascii="Aptos" w:eastAsia="Aptos" w:hAnsi="Aptos" w:cs="Aptos"/>
                              <w:noProof/>
                              <w:color w:val="FFFF00"/>
                              <w:sz w:val="2"/>
                              <w:szCs w:val="2"/>
                            </w:rPr>
                          </w:pPr>
                          <w:r w:rsidRPr="006625D5">
                            <w:rPr>
                              <w:rFonts w:ascii="Aptos" w:eastAsia="Aptos" w:hAnsi="Aptos" w:cs="Aptos"/>
                              <w:noProof/>
                              <w:color w:val="FFFF00"/>
                              <w:sz w:val="2"/>
                              <w:szCs w:val="2"/>
                            </w:rPr>
                            <w:t>.</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CC03EF3" id="_x0000_t202" coordsize="21600,21600" o:spt="202" path="m,l,21600r21600,l21600,xe">
              <v:stroke joinstyle="miter"/>
              <v:path gradientshapeok="t" o:connecttype="rect"/>
            </v:shapetype>
            <v:shape id="Text Box 3" o:spid="_x0000_s1027" type="#_x0000_t202" alt="." style="position:absolute;margin-left:0;margin-top:0;width:20.3pt;height:16.3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" filled="f" stroked="f">
              <v:textbox style="mso-fit-shape-to-text:t" inset="20pt,15pt,0,0">
                <w:txbxContent>
                  <w:p w14:paraId="7BE47BA0" w14:textId="07679B05" w:rsidR="006625D5" w:rsidRPr="006625D5" w:rsidRDefault="006625D5" w:rsidP="006625D5">
                    <w:pPr>
                      <w:spacing w:after="0"/>
                      <w:rPr>
                        <w:rFonts w:ascii="Aptos" w:eastAsia="Aptos" w:hAnsi="Aptos" w:cs="Aptos"/>
                        <w:noProof/>
                        <w:color w:val="FFFF00"/>
                        <w:sz w:val="2"/>
                        <w:szCs w:val="2"/>
                      </w:rPr>
                    </w:pPr>
                    <w:r w:rsidRPr="006625D5">
                      <w:rPr>
                        <w:rFonts w:ascii="Aptos" w:eastAsia="Aptos" w:hAnsi="Aptos" w:cs="Aptos"/>
                        <w:noProof/>
                        <w:color w:val="FFFF00"/>
                        <w:sz w:val="2"/>
                        <w:szCs w:val="2"/>
                      </w:rPr>
                      <w: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14611" w14:textId="09B89DB2" w:rsidR="006625D5" w:rsidRDefault="006625D5">
    <w:pPr>
      <w:pStyle w:val="Header"/>
    </w:pPr>
    <w:r>
      <w:rPr>
        <w:noProof/>
      </w:rPr>
      <mc:AlternateContent>
        <mc:Choice Requires="wps">
          <w:drawing>
            <wp:anchor distT="0" distB="0" distL="0" distR="0" simplePos="0" relativeHeight="251658240" behindDoc="0" locked="0" layoutInCell="1" allowOverlap="1" wp14:anchorId="0A865B48" wp14:editId="18D64478">
              <wp:simplePos x="635" y="635"/>
              <wp:positionH relativeFrom="page">
                <wp:align>left</wp:align>
              </wp:positionH>
              <wp:positionV relativeFrom="page">
                <wp:align>top</wp:align>
              </wp:positionV>
              <wp:extent cx="257810" cy="207010"/>
              <wp:effectExtent l="0" t="0" r="8890" b="2540"/>
              <wp:wrapNone/>
              <wp:docPr id="819930705" name="Text Box 1" desc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57810" cy="207010"/>
                      </a:xfrm>
                      <a:prstGeom prst="rect">
                        <a:avLst/>
                      </a:prstGeom>
                      <a:noFill/>
                      <a:ln>
                        <a:noFill/>
                      </a:ln>
                    </wps:spPr>
                    <wps:txbx>
                      <w:txbxContent>
                        <w:p w14:paraId="037773CC" w14:textId="18A1FDD4" w:rsidR="006625D5" w:rsidRPr="006625D5" w:rsidRDefault="006625D5" w:rsidP="006625D5">
                          <w:pPr>
                            <w:spacing w:after="0"/>
                            <w:rPr>
                              <w:rFonts w:ascii="Aptos" w:eastAsia="Aptos" w:hAnsi="Aptos" w:cs="Aptos"/>
                              <w:noProof/>
                              <w:color w:val="FFFF00"/>
                              <w:sz w:val="2"/>
                              <w:szCs w:val="2"/>
                            </w:rPr>
                          </w:pPr>
                          <w:r w:rsidRPr="006625D5">
                            <w:rPr>
                              <w:rFonts w:ascii="Aptos" w:eastAsia="Aptos" w:hAnsi="Aptos" w:cs="Aptos"/>
                              <w:noProof/>
                              <w:color w:val="FFFF00"/>
                              <w:sz w:val="2"/>
                              <w:szCs w:val="2"/>
                            </w:rPr>
                            <w:t>.</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A865B48" id="_x0000_t202" coordsize="21600,21600" o:spt="202" path="m,l,21600r21600,l21600,xe">
              <v:stroke joinstyle="miter"/>
              <v:path gradientshapeok="t" o:connecttype="rect"/>
            </v:shapetype>
            <v:shape id="Text Box 1" o:spid="_x0000_s1028" type="#_x0000_t202" alt="." style="position:absolute;margin-left:0;margin-top:0;width:20.3pt;height:16.3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" filled="f" stroked="f">
              <v:textbox style="mso-fit-shape-to-text:t" inset="20pt,15pt,0,0">
                <w:txbxContent>
                  <w:p w14:paraId="037773CC" w14:textId="18A1FDD4" w:rsidR="006625D5" w:rsidRPr="006625D5" w:rsidRDefault="006625D5" w:rsidP="006625D5">
                    <w:pPr>
                      <w:spacing w:after="0"/>
                      <w:rPr>
                        <w:rFonts w:ascii="Aptos" w:eastAsia="Aptos" w:hAnsi="Aptos" w:cs="Aptos"/>
                        <w:noProof/>
                        <w:color w:val="FFFF00"/>
                        <w:sz w:val="2"/>
                        <w:szCs w:val="2"/>
                      </w:rPr>
                    </w:pPr>
                    <w:r w:rsidRPr="006625D5">
                      <w:rPr>
                        <w:rFonts w:ascii="Aptos" w:eastAsia="Aptos" w:hAnsi="Aptos" w:cs="Aptos"/>
                        <w:noProof/>
                        <w:color w:val="FFFF00"/>
                        <w:sz w:val="2"/>
                        <w:szCs w:val="2"/>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3270C7"/>
    <w:multiLevelType w:val="hybridMultilevel"/>
    <w:tmpl w:val="522263A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7F454C92"/>
    <w:multiLevelType w:val="multilevel"/>
    <w:tmpl w:val="8C40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7902855">
    <w:abstractNumId w:val="1"/>
  </w:num>
  <w:num w:numId="2" w16cid:durableId="2900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5D5"/>
    <w:rsid w:val="00353A76"/>
    <w:rsid w:val="00450019"/>
    <w:rsid w:val="00495155"/>
    <w:rsid w:val="004C4851"/>
    <w:rsid w:val="005C3101"/>
    <w:rsid w:val="0065654E"/>
    <w:rsid w:val="006625D5"/>
    <w:rsid w:val="007A3606"/>
    <w:rsid w:val="007D72D0"/>
    <w:rsid w:val="00823B63"/>
    <w:rsid w:val="008B4738"/>
    <w:rsid w:val="008C66F4"/>
    <w:rsid w:val="008D4A99"/>
    <w:rsid w:val="008F3681"/>
    <w:rsid w:val="00922B3D"/>
    <w:rsid w:val="00A43FE3"/>
    <w:rsid w:val="00A441B4"/>
    <w:rsid w:val="00BE0D6D"/>
    <w:rsid w:val="00C733E6"/>
    <w:rsid w:val="00D36679"/>
    <w:rsid w:val="00D63885"/>
    <w:rsid w:val="00D85EEC"/>
    <w:rsid w:val="00DF1707"/>
    <w:rsid w:val="00E23862"/>
    <w:rsid w:val="00EA5F0C"/>
    <w:rsid w:val="00EB0519"/>
    <w:rsid w:val="00EB09FA"/>
    <w:rsid w:val="00F11649"/>
    <w:rsid w:val="00FF25C5"/>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32C11"/>
  <w15:chartTrackingRefBased/>
  <w15:docId w15:val="{A8B0D50E-5D9C-417F-9F77-1E7FCD1E4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885"/>
  </w:style>
  <w:style w:type="paragraph" w:styleId="Heading1">
    <w:name w:val="heading 1"/>
    <w:basedOn w:val="Normal"/>
    <w:next w:val="Normal"/>
    <w:link w:val="Heading1Char"/>
    <w:uiPriority w:val="9"/>
    <w:qFormat/>
    <w:rsid w:val="006625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25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25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25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25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25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25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25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25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5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25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25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5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25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25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5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5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5D5"/>
    <w:rPr>
      <w:rFonts w:eastAsiaTheme="majorEastAsia" w:cstheme="majorBidi"/>
      <w:color w:val="272727" w:themeColor="text1" w:themeTint="D8"/>
    </w:rPr>
  </w:style>
  <w:style w:type="paragraph" w:styleId="Title">
    <w:name w:val="Title"/>
    <w:basedOn w:val="Normal"/>
    <w:next w:val="Normal"/>
    <w:link w:val="TitleChar"/>
    <w:uiPriority w:val="10"/>
    <w:qFormat/>
    <w:rsid w:val="006625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5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5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5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5D5"/>
    <w:pPr>
      <w:spacing w:before="160"/>
      <w:jc w:val="center"/>
    </w:pPr>
    <w:rPr>
      <w:i/>
      <w:iCs/>
      <w:color w:val="404040" w:themeColor="text1" w:themeTint="BF"/>
    </w:rPr>
  </w:style>
  <w:style w:type="character" w:customStyle="1" w:styleId="QuoteChar">
    <w:name w:val="Quote Char"/>
    <w:basedOn w:val="DefaultParagraphFont"/>
    <w:link w:val="Quote"/>
    <w:uiPriority w:val="29"/>
    <w:rsid w:val="006625D5"/>
    <w:rPr>
      <w:i/>
      <w:iCs/>
      <w:color w:val="404040" w:themeColor="text1" w:themeTint="BF"/>
    </w:rPr>
  </w:style>
  <w:style w:type="paragraph" w:styleId="ListParagraph">
    <w:name w:val="List Paragraph"/>
    <w:basedOn w:val="Normal"/>
    <w:uiPriority w:val="34"/>
    <w:qFormat/>
    <w:rsid w:val="006625D5"/>
    <w:pPr>
      <w:ind w:left="720"/>
      <w:contextualSpacing/>
    </w:pPr>
  </w:style>
  <w:style w:type="character" w:styleId="IntenseEmphasis">
    <w:name w:val="Intense Emphasis"/>
    <w:basedOn w:val="DefaultParagraphFont"/>
    <w:uiPriority w:val="21"/>
    <w:qFormat/>
    <w:rsid w:val="006625D5"/>
    <w:rPr>
      <w:i/>
      <w:iCs/>
      <w:color w:val="0F4761" w:themeColor="accent1" w:themeShade="BF"/>
    </w:rPr>
  </w:style>
  <w:style w:type="paragraph" w:styleId="IntenseQuote">
    <w:name w:val="Intense Quote"/>
    <w:basedOn w:val="Normal"/>
    <w:next w:val="Normal"/>
    <w:link w:val="IntenseQuoteChar"/>
    <w:uiPriority w:val="30"/>
    <w:qFormat/>
    <w:rsid w:val="006625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5D5"/>
    <w:rPr>
      <w:i/>
      <w:iCs/>
      <w:color w:val="0F4761" w:themeColor="accent1" w:themeShade="BF"/>
    </w:rPr>
  </w:style>
  <w:style w:type="character" w:styleId="IntenseReference">
    <w:name w:val="Intense Reference"/>
    <w:basedOn w:val="DefaultParagraphFont"/>
    <w:uiPriority w:val="32"/>
    <w:qFormat/>
    <w:rsid w:val="006625D5"/>
    <w:rPr>
      <w:b/>
      <w:bCs/>
      <w:smallCaps/>
      <w:color w:val="0F4761" w:themeColor="accent1" w:themeShade="BF"/>
      <w:spacing w:val="5"/>
    </w:rPr>
  </w:style>
  <w:style w:type="paragraph" w:styleId="Header">
    <w:name w:val="header"/>
    <w:basedOn w:val="Normal"/>
    <w:link w:val="HeaderChar"/>
    <w:uiPriority w:val="99"/>
    <w:unhideWhenUsed/>
    <w:rsid w:val="006625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25D5"/>
  </w:style>
  <w:style w:type="paragraph" w:styleId="Bibliography">
    <w:name w:val="Bibliography"/>
    <w:basedOn w:val="Normal"/>
    <w:next w:val="Normal"/>
    <w:uiPriority w:val="37"/>
    <w:unhideWhenUsed/>
    <w:rsid w:val="008F3681"/>
  </w:style>
  <w:style w:type="character" w:styleId="Hyperlink">
    <w:name w:val="Hyperlink"/>
    <w:basedOn w:val="DefaultParagraphFont"/>
    <w:uiPriority w:val="99"/>
    <w:unhideWhenUsed/>
    <w:rsid w:val="00353A76"/>
    <w:rPr>
      <w:color w:val="467886" w:themeColor="hyperlink"/>
      <w:u w:val="single"/>
    </w:rPr>
  </w:style>
  <w:style w:type="character" w:styleId="UnresolvedMention">
    <w:name w:val="Unresolved Mention"/>
    <w:basedOn w:val="DefaultParagraphFont"/>
    <w:uiPriority w:val="99"/>
    <w:semiHidden/>
    <w:unhideWhenUsed/>
    <w:rsid w:val="00353A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vb.2009.04.00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traitstimes.com/singapore/inside-singapores-education-arms-race-stress-inequality-and-the-push-for-chang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18af5f2-e883-41ca-b5bd-07bc22ff8b62}" enabled="1" method="Privileged" siteId="{f688b0d0-79f0-40a4-8644-35fcdee9d0f3}" removed="0"/>
</clbl:labelList>
</file>

<file path=docProps/app.xml><?xml version="1.0" encoding="utf-8"?>
<Properties xmlns="http://schemas.openxmlformats.org/officeDocument/2006/extended-properties" xmlns:vt="http://schemas.openxmlformats.org/officeDocument/2006/docPropsVTypes">
  <Template>Normal</Template>
  <TotalTime>109</TotalTime>
  <Pages>3</Pages>
  <Words>1200</Words>
  <Characters>6845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Kok (RP)</dc:creator>
  <cp:keywords/>
  <dc:description/>
  <cp:lastModifiedBy>Renee Kok (RP)</cp:lastModifiedBy>
  <cp:revision>24</cp:revision>
  <dcterms:created xsi:type="dcterms:W3CDTF">2026-04-24T05:05:00Z</dcterms:created>
  <dcterms:modified xsi:type="dcterms:W3CDTF">2026-04-24T08:59:00Z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e9f34577-30ff-4d99-9306-ba607e3a584f</vt:lpwstr>
  </property>
  <property fmtid="{D5CDD505-2E9C-101B-9397-08002B2CF9AE}" pid="3" name="ClassificationContentMarkingHeaderShapeIds">
    <vt:lpwstr>30df2651,4d0fa156,17de62ac</vt:lpwstr>
  </property>
  <property fmtid="{D5CDD505-2E9C-101B-9397-08002B2CF9AE}" pid="4" name="ClassificationContentMarkingHeaderFontProps">
    <vt:lpwstr>#ffff00,1,Aptos</vt:lpwstr>
  </property>
  <property fmtid="{D5CDD505-2E9C-101B-9397-08002B2CF9AE}" pid="5" name="ClassificationContentMarkingHeaderText">
    <vt:lpwstr>.</vt:lpwstr>
  </property>
  <property fmtid="{D5CDD505-2E9C-101B-9397-08002B2CF9AE}" pid="6" name="ZOTERO_PREF_1">
    <vt:lpwstr>&lt;data data-version="3" zotero-version="7.0.32"&gt;&lt;session id="zCChU6PG"/&gt;&lt;style id="http://www.zotero.org/styles/apa" locale="en-GB" hasBibliography="1" bibliographyStyleHasBeenSet="0"/&gt;&lt;prefs&gt;&lt;pref name="fieldType" value="Field"/&gt;&lt;pref name="automaticJourn</vt:lpwstr>
  </property>
  <property fmtid="{D5CDD505-2E9C-101B-9397-08002B2CF9AE}" pid="7" name="ZOTERO_PREF_2">
    <vt:lpwstr>alAbbreviations" value="true"/&gt;&lt;/prefs&gt;&lt;/data&gt;</vt:lpwstr>
  </property>
</Properties>
</file>