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6C0531" w14:paraId="120D8369" w14:textId="77777777" w:rsidTr="006C0531">
        <w:tc>
          <w:tcPr>
            <w:tcW w:w="4675" w:type="dxa"/>
          </w:tcPr>
          <w:p w14:paraId="458ED3A7" w14:textId="713A1A6E" w:rsidR="006C0531" w:rsidRDefault="006C0531" w:rsidP="006C0531">
            <w:pPr>
              <w:spacing w:line="360" w:lineRule="auto"/>
              <w:rPr>
                <w:rFonts w:ascii="Calibri" w:hAnsi="Calibri" w:cs="Calibri"/>
                <w:b/>
                <w:bCs/>
                <w:sz w:val="22"/>
                <w:szCs w:val="22"/>
              </w:rPr>
            </w:pPr>
            <w:r>
              <w:rPr>
                <w:rFonts w:ascii="Calibri" w:hAnsi="Calibri" w:cs="Calibri"/>
                <w:b/>
                <w:bCs/>
                <w:sz w:val="22"/>
                <w:szCs w:val="22"/>
              </w:rPr>
              <w:t xml:space="preserve">Name: </w:t>
            </w:r>
            <w:r>
              <w:rPr>
                <w:rFonts w:ascii="Calibri" w:hAnsi="Calibri" w:cs="Calibri"/>
                <w:sz w:val="22"/>
                <w:szCs w:val="22"/>
              </w:rPr>
              <w:t>Miller, Jennie</w:t>
            </w:r>
          </w:p>
        </w:tc>
        <w:tc>
          <w:tcPr>
            <w:tcW w:w="4675" w:type="dxa"/>
          </w:tcPr>
          <w:p w14:paraId="135A80D7" w14:textId="54FF344C" w:rsidR="006C0531" w:rsidRDefault="006C0531" w:rsidP="006C0531">
            <w:pPr>
              <w:spacing w:line="360" w:lineRule="auto"/>
              <w:rPr>
                <w:rFonts w:ascii="Calibri" w:hAnsi="Calibri" w:cs="Calibri"/>
                <w:b/>
                <w:bCs/>
                <w:sz w:val="22"/>
                <w:szCs w:val="22"/>
              </w:rPr>
            </w:pPr>
            <w:r w:rsidRPr="00421574">
              <w:rPr>
                <w:rFonts w:ascii="Calibri" w:hAnsi="Calibri" w:cs="Calibri"/>
                <w:b/>
                <w:bCs/>
                <w:sz w:val="22"/>
                <w:szCs w:val="22"/>
              </w:rPr>
              <w:t>Email:</w:t>
            </w:r>
            <w:r>
              <w:rPr>
                <w:rFonts w:ascii="Calibri" w:hAnsi="Calibri" w:cs="Calibri"/>
                <w:sz w:val="22"/>
                <w:szCs w:val="22"/>
              </w:rPr>
              <w:t xml:space="preserve"> </w:t>
            </w:r>
            <w:hyperlink r:id="rId4" w:history="1">
              <w:r w:rsidRPr="004B2C51">
                <w:rPr>
                  <w:rStyle w:val="Hyperlink"/>
                  <w:rFonts w:ascii="Calibri" w:hAnsi="Calibri" w:cs="Calibri"/>
                  <w:sz w:val="22"/>
                  <w:szCs w:val="22"/>
                </w:rPr>
                <w:t>jenniemiller.cdanz@gmail.com</w:t>
              </w:r>
            </w:hyperlink>
          </w:p>
        </w:tc>
      </w:tr>
      <w:tr w:rsidR="006C0531" w14:paraId="6D175DFD" w14:textId="77777777" w:rsidTr="006C0531">
        <w:tc>
          <w:tcPr>
            <w:tcW w:w="4675" w:type="dxa"/>
          </w:tcPr>
          <w:p w14:paraId="2B771BAD" w14:textId="5D604ACF" w:rsidR="006C0531" w:rsidRDefault="006C0531" w:rsidP="006C0531">
            <w:pPr>
              <w:spacing w:line="360" w:lineRule="auto"/>
              <w:rPr>
                <w:rFonts w:ascii="Calibri" w:hAnsi="Calibri" w:cs="Calibri"/>
                <w:b/>
                <w:bCs/>
                <w:sz w:val="22"/>
                <w:szCs w:val="22"/>
              </w:rPr>
            </w:pPr>
            <w:r w:rsidRPr="00421574">
              <w:rPr>
                <w:rFonts w:ascii="Calibri" w:hAnsi="Calibri" w:cs="Calibri"/>
                <w:b/>
                <w:bCs/>
                <w:sz w:val="22"/>
                <w:szCs w:val="22"/>
              </w:rPr>
              <w:t>Title:</w:t>
            </w:r>
            <w:r>
              <w:rPr>
                <w:rFonts w:ascii="Calibri" w:hAnsi="Calibri" w:cs="Calibri"/>
                <w:sz w:val="22"/>
                <w:szCs w:val="22"/>
              </w:rPr>
              <w:t xml:space="preserve"> Executive Director</w:t>
            </w:r>
          </w:p>
        </w:tc>
        <w:tc>
          <w:tcPr>
            <w:tcW w:w="4675" w:type="dxa"/>
          </w:tcPr>
          <w:p w14:paraId="136D8F19" w14:textId="46156B18" w:rsidR="006C0531" w:rsidRPr="006C0531" w:rsidRDefault="006C0531" w:rsidP="002600C9">
            <w:pPr>
              <w:spacing w:line="360" w:lineRule="auto"/>
              <w:rPr>
                <w:rFonts w:ascii="Calibri" w:hAnsi="Calibri" w:cs="Calibri"/>
                <w:sz w:val="22"/>
                <w:szCs w:val="22"/>
              </w:rPr>
            </w:pPr>
            <w:proofErr w:type="spellStart"/>
            <w:r w:rsidRPr="00421574">
              <w:rPr>
                <w:rFonts w:ascii="Calibri" w:hAnsi="Calibri" w:cs="Calibri"/>
                <w:b/>
                <w:bCs/>
                <w:sz w:val="22"/>
                <w:szCs w:val="22"/>
              </w:rPr>
              <w:t>Organisation</w:t>
            </w:r>
            <w:proofErr w:type="spellEnd"/>
            <w:r w:rsidRPr="00421574">
              <w:rPr>
                <w:rFonts w:ascii="Calibri" w:hAnsi="Calibri" w:cs="Calibri"/>
                <w:b/>
                <w:bCs/>
                <w:sz w:val="22"/>
                <w:szCs w:val="22"/>
              </w:rPr>
              <w:t>:</w:t>
            </w:r>
            <w:r>
              <w:rPr>
                <w:rFonts w:ascii="Calibri" w:hAnsi="Calibri" w:cs="Calibri"/>
                <w:sz w:val="22"/>
                <w:szCs w:val="22"/>
              </w:rPr>
              <w:t xml:space="preserve"> Career Development Association of New Zealand</w:t>
            </w:r>
            <w:r w:rsidR="00F06925">
              <w:rPr>
                <w:rFonts w:ascii="Calibri" w:hAnsi="Calibri" w:cs="Calibri"/>
                <w:sz w:val="22"/>
                <w:szCs w:val="22"/>
              </w:rPr>
              <w:t xml:space="preserve"> (CDANZ)</w:t>
            </w:r>
          </w:p>
        </w:tc>
      </w:tr>
    </w:tbl>
    <w:p w14:paraId="74FDDBD6" w14:textId="77777777" w:rsidR="00421574" w:rsidRDefault="00421574" w:rsidP="002600C9">
      <w:pPr>
        <w:spacing w:line="360" w:lineRule="auto"/>
        <w:rPr>
          <w:rFonts w:ascii="Calibri" w:hAnsi="Calibri" w:cs="Calibri"/>
          <w:b/>
          <w:bCs/>
          <w:sz w:val="22"/>
          <w:szCs w:val="22"/>
        </w:rPr>
      </w:pPr>
    </w:p>
    <w:p w14:paraId="15384716" w14:textId="5C53956D" w:rsidR="002600C9" w:rsidRDefault="002600C9" w:rsidP="002600C9">
      <w:pPr>
        <w:spacing w:line="360" w:lineRule="auto"/>
        <w:rPr>
          <w:rFonts w:ascii="Calibri" w:hAnsi="Calibri" w:cs="Calibri"/>
          <w:i/>
          <w:iCs/>
          <w:sz w:val="22"/>
          <w:szCs w:val="22"/>
        </w:rPr>
      </w:pPr>
      <w:r w:rsidRPr="002600C9">
        <w:rPr>
          <w:rFonts w:ascii="Calibri" w:hAnsi="Calibri" w:cs="Calibri"/>
          <w:b/>
          <w:bCs/>
          <w:sz w:val="22"/>
          <w:szCs w:val="22"/>
        </w:rPr>
        <w:t>Title:</w:t>
      </w:r>
      <w:r w:rsidRPr="002600C9">
        <w:rPr>
          <w:rFonts w:ascii="Calibri" w:hAnsi="Calibri" w:cs="Calibri"/>
          <w:sz w:val="22"/>
          <w:szCs w:val="22"/>
        </w:rPr>
        <w:t xml:space="preserve"> </w:t>
      </w:r>
      <w:r w:rsidRPr="00F66E9D">
        <w:rPr>
          <w:rFonts w:ascii="Calibri" w:hAnsi="Calibri" w:cs="Calibri"/>
          <w:i/>
          <w:iCs/>
          <w:sz w:val="22"/>
          <w:szCs w:val="22"/>
        </w:rPr>
        <w:t xml:space="preserve">Hot Flushes, Cold Careers: </w:t>
      </w:r>
      <w:r w:rsidR="006C0531" w:rsidRPr="00F66E9D">
        <w:rPr>
          <w:rFonts w:ascii="Calibri" w:hAnsi="Calibri" w:cs="Calibri"/>
          <w:i/>
          <w:iCs/>
          <w:sz w:val="22"/>
          <w:szCs w:val="22"/>
        </w:rPr>
        <w:t xml:space="preserve">The Impact of </w:t>
      </w:r>
      <w:r w:rsidRPr="00F66E9D">
        <w:rPr>
          <w:rFonts w:ascii="Calibri" w:hAnsi="Calibri" w:cs="Calibri"/>
          <w:i/>
          <w:iCs/>
          <w:sz w:val="22"/>
          <w:szCs w:val="22"/>
        </w:rPr>
        <w:t>Menopause</w:t>
      </w:r>
      <w:r w:rsidR="00F66E9D" w:rsidRPr="00F66E9D">
        <w:rPr>
          <w:rFonts w:ascii="Calibri" w:hAnsi="Calibri" w:cs="Calibri"/>
          <w:i/>
          <w:iCs/>
          <w:sz w:val="22"/>
          <w:szCs w:val="22"/>
        </w:rPr>
        <w:t xml:space="preserve"> </w:t>
      </w:r>
      <w:r w:rsidR="006641AC" w:rsidRPr="00F66E9D">
        <w:rPr>
          <w:rFonts w:ascii="Calibri" w:hAnsi="Calibri" w:cs="Calibri"/>
          <w:i/>
          <w:iCs/>
          <w:sz w:val="22"/>
          <w:szCs w:val="22"/>
        </w:rPr>
        <w:t>on Women and the Economy</w:t>
      </w:r>
    </w:p>
    <w:p w14:paraId="71D53C6E" w14:textId="4F790DA2" w:rsidR="00421574" w:rsidRDefault="00421574" w:rsidP="002600C9">
      <w:pPr>
        <w:spacing w:line="360" w:lineRule="auto"/>
        <w:rPr>
          <w:rFonts w:ascii="Calibri" w:hAnsi="Calibri" w:cs="Calibri"/>
          <w:sz w:val="22"/>
          <w:szCs w:val="22"/>
        </w:rPr>
      </w:pPr>
      <w:r>
        <w:rPr>
          <w:rFonts w:ascii="Calibri" w:hAnsi="Calibri" w:cs="Calibri"/>
          <w:b/>
          <w:bCs/>
          <w:sz w:val="22"/>
          <w:szCs w:val="22"/>
        </w:rPr>
        <w:t xml:space="preserve">Conference theme: </w:t>
      </w:r>
      <w:r>
        <w:rPr>
          <w:rFonts w:ascii="Calibri" w:hAnsi="Calibri" w:cs="Calibri"/>
          <w:sz w:val="22"/>
          <w:szCs w:val="22"/>
        </w:rPr>
        <w:t xml:space="preserve">Wellbeing </w:t>
      </w:r>
      <w:r w:rsidR="00E34084">
        <w:rPr>
          <w:rFonts w:ascii="Calibri" w:hAnsi="Calibri" w:cs="Calibri"/>
          <w:sz w:val="22"/>
          <w:szCs w:val="22"/>
        </w:rPr>
        <w:t>–</w:t>
      </w:r>
      <w:r>
        <w:rPr>
          <w:rFonts w:ascii="Calibri" w:hAnsi="Calibri" w:cs="Calibri"/>
          <w:sz w:val="22"/>
          <w:szCs w:val="22"/>
        </w:rPr>
        <w:t xml:space="preserve"> </w:t>
      </w:r>
      <w:proofErr w:type="spellStart"/>
      <w:r>
        <w:rPr>
          <w:rFonts w:ascii="Calibri" w:hAnsi="Calibri" w:cs="Calibri"/>
          <w:sz w:val="22"/>
          <w:szCs w:val="22"/>
        </w:rPr>
        <w:t>Matariki</w:t>
      </w:r>
      <w:proofErr w:type="spellEnd"/>
    </w:p>
    <w:p w14:paraId="0243B1E7" w14:textId="5AAB28A1" w:rsidR="00E34084" w:rsidRPr="00421574" w:rsidRDefault="00E34084" w:rsidP="002600C9">
      <w:pPr>
        <w:spacing w:line="360" w:lineRule="auto"/>
        <w:rPr>
          <w:rFonts w:ascii="Calibri" w:hAnsi="Calibri" w:cs="Calibri"/>
          <w:sz w:val="22"/>
          <w:szCs w:val="22"/>
        </w:rPr>
      </w:pPr>
      <w:r w:rsidRPr="00E34084">
        <w:rPr>
          <w:rFonts w:ascii="Calibri" w:hAnsi="Calibri" w:cs="Calibri"/>
          <w:b/>
          <w:bCs/>
          <w:sz w:val="22"/>
          <w:szCs w:val="22"/>
        </w:rPr>
        <w:t>Keywords:</w:t>
      </w:r>
      <w:r>
        <w:rPr>
          <w:rFonts w:ascii="Calibri" w:hAnsi="Calibri" w:cs="Calibri"/>
          <w:sz w:val="22"/>
          <w:szCs w:val="22"/>
        </w:rPr>
        <w:t xml:space="preserve"> Perimenopause, menopause, workplace wellbeing, gender equity</w:t>
      </w:r>
      <w:r w:rsidR="00CD1B10">
        <w:rPr>
          <w:rFonts w:ascii="Calibri" w:hAnsi="Calibri" w:cs="Calibri"/>
          <w:sz w:val="22"/>
          <w:szCs w:val="22"/>
        </w:rPr>
        <w:t>, economic impact</w:t>
      </w:r>
      <w:r>
        <w:rPr>
          <w:rFonts w:ascii="Calibri" w:hAnsi="Calibri" w:cs="Calibri"/>
          <w:sz w:val="22"/>
          <w:szCs w:val="22"/>
        </w:rPr>
        <w:t>.</w:t>
      </w:r>
    </w:p>
    <w:p w14:paraId="2B0BCB98" w14:textId="5566A32C" w:rsidR="002600C9" w:rsidRPr="002600C9" w:rsidRDefault="002600C9" w:rsidP="002600C9">
      <w:pPr>
        <w:spacing w:line="360" w:lineRule="auto"/>
        <w:rPr>
          <w:rFonts w:ascii="Calibri" w:hAnsi="Calibri" w:cs="Calibri"/>
          <w:sz w:val="22"/>
          <w:szCs w:val="22"/>
        </w:rPr>
      </w:pPr>
      <w:r w:rsidRPr="002600C9">
        <w:rPr>
          <w:rFonts w:ascii="Calibri" w:hAnsi="Calibri" w:cs="Calibri"/>
          <w:sz w:val="22"/>
          <w:szCs w:val="22"/>
        </w:rPr>
        <w:t xml:space="preserve">Perimenopause and menopause are universal life stages that intersect with the most senior, experienced, and productive years of many women’s careers. Yet, despite growing attention to workplace wellbeing, these transitions remain largely invisible within career development discourse and </w:t>
      </w:r>
      <w:proofErr w:type="spellStart"/>
      <w:r w:rsidRPr="002600C9">
        <w:rPr>
          <w:rFonts w:ascii="Calibri" w:hAnsi="Calibri" w:cs="Calibri"/>
          <w:sz w:val="22"/>
          <w:szCs w:val="22"/>
        </w:rPr>
        <w:t>organisational</w:t>
      </w:r>
      <w:proofErr w:type="spellEnd"/>
      <w:r w:rsidRPr="002600C9">
        <w:rPr>
          <w:rFonts w:ascii="Calibri" w:hAnsi="Calibri" w:cs="Calibri"/>
          <w:sz w:val="22"/>
          <w:szCs w:val="22"/>
        </w:rPr>
        <w:t xml:space="preserve"> policy. Symptoms such as sleep disturbance, fatigue, anxiety, cognitive changes, and </w:t>
      </w:r>
      <w:r w:rsidR="00B15C9E">
        <w:rPr>
          <w:rFonts w:ascii="Calibri" w:hAnsi="Calibri" w:cs="Calibri"/>
          <w:sz w:val="22"/>
          <w:szCs w:val="22"/>
        </w:rPr>
        <w:t xml:space="preserve">hot flushes </w:t>
      </w:r>
      <w:r w:rsidRPr="002600C9">
        <w:rPr>
          <w:rFonts w:ascii="Calibri" w:hAnsi="Calibri" w:cs="Calibri"/>
          <w:sz w:val="22"/>
          <w:szCs w:val="22"/>
        </w:rPr>
        <w:t>frequently emerge during women’s 40</w:t>
      </w:r>
      <w:r>
        <w:rPr>
          <w:rFonts w:ascii="Calibri" w:hAnsi="Calibri" w:cs="Calibri"/>
          <w:sz w:val="22"/>
          <w:szCs w:val="22"/>
        </w:rPr>
        <w:t>’</w:t>
      </w:r>
      <w:r w:rsidRPr="002600C9">
        <w:rPr>
          <w:rFonts w:ascii="Calibri" w:hAnsi="Calibri" w:cs="Calibri"/>
          <w:sz w:val="22"/>
          <w:szCs w:val="22"/>
        </w:rPr>
        <w:t>s and 50</w:t>
      </w:r>
      <w:r>
        <w:rPr>
          <w:rFonts w:ascii="Calibri" w:hAnsi="Calibri" w:cs="Calibri"/>
          <w:sz w:val="22"/>
          <w:szCs w:val="22"/>
        </w:rPr>
        <w:t>’</w:t>
      </w:r>
      <w:r w:rsidRPr="002600C9">
        <w:rPr>
          <w:rFonts w:ascii="Calibri" w:hAnsi="Calibri" w:cs="Calibri"/>
          <w:sz w:val="22"/>
          <w:szCs w:val="22"/>
        </w:rPr>
        <w:t>s</w:t>
      </w:r>
      <w:r>
        <w:rPr>
          <w:rFonts w:ascii="Calibri" w:hAnsi="Calibri" w:cs="Calibri"/>
          <w:sz w:val="22"/>
          <w:szCs w:val="22"/>
        </w:rPr>
        <w:t xml:space="preserve">, </w:t>
      </w:r>
      <w:r w:rsidRPr="002600C9">
        <w:rPr>
          <w:rFonts w:ascii="Calibri" w:hAnsi="Calibri" w:cs="Calibri"/>
          <w:sz w:val="22"/>
          <w:szCs w:val="22"/>
        </w:rPr>
        <w:t xml:space="preserve">precisely when they are most likely to be in, or approaching, leadership roles. This session positions perimenopause and menopause not as private health matters but as critical wellbeing issues with measurable consequences for women’s career trajectories, </w:t>
      </w:r>
      <w:proofErr w:type="spellStart"/>
      <w:r w:rsidRPr="002600C9">
        <w:rPr>
          <w:rFonts w:ascii="Calibri" w:hAnsi="Calibri" w:cs="Calibri"/>
          <w:sz w:val="22"/>
          <w:szCs w:val="22"/>
        </w:rPr>
        <w:t>organisational</w:t>
      </w:r>
      <w:proofErr w:type="spellEnd"/>
      <w:r w:rsidRPr="002600C9">
        <w:rPr>
          <w:rFonts w:ascii="Calibri" w:hAnsi="Calibri" w:cs="Calibri"/>
          <w:sz w:val="22"/>
          <w:szCs w:val="22"/>
        </w:rPr>
        <w:t xml:space="preserve"> talent retention, and gender equity in leadership.</w:t>
      </w:r>
    </w:p>
    <w:p w14:paraId="7E8E4D52" w14:textId="759B589A" w:rsidR="002600C9" w:rsidRPr="002600C9" w:rsidRDefault="002600C9" w:rsidP="002600C9">
      <w:pPr>
        <w:spacing w:line="360" w:lineRule="auto"/>
        <w:rPr>
          <w:rFonts w:ascii="Calibri" w:hAnsi="Calibri" w:cs="Calibri"/>
          <w:sz w:val="22"/>
          <w:szCs w:val="22"/>
        </w:rPr>
      </w:pPr>
      <w:r w:rsidRPr="002600C9">
        <w:rPr>
          <w:rFonts w:ascii="Calibri" w:hAnsi="Calibri" w:cs="Calibri"/>
          <w:sz w:val="22"/>
          <w:szCs w:val="22"/>
        </w:rPr>
        <w:t xml:space="preserve">The objectives of this session are threefold: to </w:t>
      </w:r>
      <w:r w:rsidR="00E34084">
        <w:rPr>
          <w:rFonts w:ascii="Calibri" w:hAnsi="Calibri" w:cs="Calibri"/>
          <w:sz w:val="22"/>
          <w:szCs w:val="22"/>
        </w:rPr>
        <w:t>review</w:t>
      </w:r>
      <w:r w:rsidRPr="002600C9">
        <w:rPr>
          <w:rFonts w:ascii="Calibri" w:hAnsi="Calibri" w:cs="Calibri"/>
          <w:sz w:val="22"/>
          <w:szCs w:val="22"/>
        </w:rPr>
        <w:t xml:space="preserve"> global and Aotearoa New Zealand research evidencing the career impacts of perimenopause and menopause</w:t>
      </w:r>
      <w:r>
        <w:rPr>
          <w:rFonts w:ascii="Calibri" w:hAnsi="Calibri" w:cs="Calibri"/>
          <w:sz w:val="22"/>
          <w:szCs w:val="22"/>
        </w:rPr>
        <w:t>,</w:t>
      </w:r>
      <w:r w:rsidRPr="002600C9">
        <w:rPr>
          <w:rFonts w:ascii="Calibri" w:hAnsi="Calibri" w:cs="Calibri"/>
          <w:sz w:val="22"/>
          <w:szCs w:val="22"/>
        </w:rPr>
        <w:t xml:space="preserve"> to reframe these life stages as central to workplace wellbeing and career sustainability</w:t>
      </w:r>
      <w:r>
        <w:rPr>
          <w:rFonts w:ascii="Calibri" w:hAnsi="Calibri" w:cs="Calibri"/>
          <w:sz w:val="22"/>
          <w:szCs w:val="22"/>
        </w:rPr>
        <w:t>,</w:t>
      </w:r>
      <w:r w:rsidRPr="002600C9">
        <w:rPr>
          <w:rFonts w:ascii="Calibri" w:hAnsi="Calibri" w:cs="Calibri"/>
          <w:sz w:val="22"/>
          <w:szCs w:val="22"/>
        </w:rPr>
        <w:t xml:space="preserve"> and to equip career development professionals with knowledge and language to advocate for supportive </w:t>
      </w:r>
      <w:proofErr w:type="spellStart"/>
      <w:r w:rsidRPr="002600C9">
        <w:rPr>
          <w:rFonts w:ascii="Calibri" w:hAnsi="Calibri" w:cs="Calibri"/>
          <w:sz w:val="22"/>
          <w:szCs w:val="22"/>
        </w:rPr>
        <w:t>organisational</w:t>
      </w:r>
      <w:proofErr w:type="spellEnd"/>
      <w:r w:rsidRPr="002600C9">
        <w:rPr>
          <w:rFonts w:ascii="Calibri" w:hAnsi="Calibri" w:cs="Calibri"/>
          <w:sz w:val="22"/>
          <w:szCs w:val="22"/>
        </w:rPr>
        <w:t xml:space="preserve"> practices. </w:t>
      </w:r>
      <w:proofErr w:type="gramStart"/>
      <w:r w:rsidRPr="002600C9">
        <w:rPr>
          <w:rFonts w:ascii="Calibri" w:hAnsi="Calibri" w:cs="Calibri"/>
          <w:sz w:val="22"/>
          <w:szCs w:val="22"/>
        </w:rPr>
        <w:t>Particular attention</w:t>
      </w:r>
      <w:proofErr w:type="gramEnd"/>
      <w:r w:rsidRPr="002600C9">
        <w:rPr>
          <w:rFonts w:ascii="Calibri" w:hAnsi="Calibri" w:cs="Calibri"/>
          <w:sz w:val="22"/>
          <w:szCs w:val="22"/>
        </w:rPr>
        <w:t xml:space="preserve"> is given to statistics demonstrating the loss of women from senior roles, reduced hours, declined promotions, and workforce exit due to unmanaged symptoms.</w:t>
      </w:r>
    </w:p>
    <w:p w14:paraId="34395174" w14:textId="610C1EB3" w:rsidR="002600C9" w:rsidRPr="002600C9" w:rsidRDefault="002600C9" w:rsidP="002600C9">
      <w:pPr>
        <w:spacing w:line="360" w:lineRule="auto"/>
        <w:rPr>
          <w:rFonts w:ascii="Calibri" w:hAnsi="Calibri" w:cs="Calibri"/>
          <w:sz w:val="22"/>
          <w:szCs w:val="22"/>
        </w:rPr>
      </w:pPr>
      <w:r w:rsidRPr="002600C9">
        <w:rPr>
          <w:rFonts w:ascii="Calibri" w:hAnsi="Calibri" w:cs="Calibri"/>
          <w:sz w:val="22"/>
          <w:szCs w:val="22"/>
        </w:rPr>
        <w:t>The theoretical basis draws from</w:t>
      </w:r>
      <w:r w:rsidR="00CC2140">
        <w:rPr>
          <w:rFonts w:ascii="Calibri" w:hAnsi="Calibri" w:cs="Calibri"/>
          <w:sz w:val="22"/>
          <w:szCs w:val="22"/>
        </w:rPr>
        <w:t xml:space="preserve"> a range of theories including</w:t>
      </w:r>
      <w:r w:rsidRPr="002600C9">
        <w:rPr>
          <w:rFonts w:ascii="Calibri" w:hAnsi="Calibri" w:cs="Calibri"/>
          <w:sz w:val="22"/>
          <w:szCs w:val="22"/>
        </w:rPr>
        <w:t xml:space="preserve"> lifespan career development theory, </w:t>
      </w:r>
      <w:r w:rsidR="00CC2140">
        <w:rPr>
          <w:rFonts w:ascii="Calibri" w:hAnsi="Calibri" w:cs="Calibri"/>
          <w:sz w:val="22"/>
          <w:szCs w:val="22"/>
        </w:rPr>
        <w:t xml:space="preserve">social cognitive career theory, </w:t>
      </w:r>
      <w:r w:rsidRPr="002600C9">
        <w:rPr>
          <w:rFonts w:ascii="Calibri" w:hAnsi="Calibri" w:cs="Calibri"/>
          <w:sz w:val="22"/>
          <w:szCs w:val="22"/>
        </w:rPr>
        <w:t xml:space="preserve">and </w:t>
      </w:r>
      <w:r w:rsidR="00CC2140">
        <w:rPr>
          <w:rFonts w:ascii="Calibri" w:hAnsi="Calibri" w:cs="Calibri"/>
          <w:sz w:val="22"/>
          <w:szCs w:val="22"/>
        </w:rPr>
        <w:t xml:space="preserve">others, that </w:t>
      </w:r>
      <w:proofErr w:type="spellStart"/>
      <w:r w:rsidRPr="002600C9">
        <w:rPr>
          <w:rFonts w:ascii="Calibri" w:hAnsi="Calibri" w:cs="Calibri"/>
          <w:sz w:val="22"/>
          <w:szCs w:val="22"/>
        </w:rPr>
        <w:t>emphasise</w:t>
      </w:r>
      <w:proofErr w:type="spellEnd"/>
      <w:r w:rsidRPr="002600C9">
        <w:rPr>
          <w:rFonts w:ascii="Calibri" w:hAnsi="Calibri" w:cs="Calibri"/>
          <w:sz w:val="22"/>
          <w:szCs w:val="22"/>
        </w:rPr>
        <w:t xml:space="preserve"> how biological, psychological, and social factors interact across time to shape career pathways. Menopause represents a biological transition that collides with entrenched </w:t>
      </w:r>
      <w:proofErr w:type="spellStart"/>
      <w:r w:rsidRPr="002600C9">
        <w:rPr>
          <w:rFonts w:ascii="Calibri" w:hAnsi="Calibri" w:cs="Calibri"/>
          <w:sz w:val="22"/>
          <w:szCs w:val="22"/>
        </w:rPr>
        <w:t>organisational</w:t>
      </w:r>
      <w:proofErr w:type="spellEnd"/>
      <w:r w:rsidRPr="002600C9">
        <w:rPr>
          <w:rFonts w:ascii="Calibri" w:hAnsi="Calibri" w:cs="Calibri"/>
          <w:sz w:val="22"/>
          <w:szCs w:val="22"/>
        </w:rPr>
        <w:t xml:space="preserve"> norms built around uninterrupted, male-pattern career trajectories. When symptoms are misunderstood or </w:t>
      </w:r>
      <w:proofErr w:type="spellStart"/>
      <w:r w:rsidRPr="002600C9">
        <w:rPr>
          <w:rFonts w:ascii="Calibri" w:hAnsi="Calibri" w:cs="Calibri"/>
          <w:sz w:val="22"/>
          <w:szCs w:val="22"/>
        </w:rPr>
        <w:t>stigmatised</w:t>
      </w:r>
      <w:proofErr w:type="spellEnd"/>
      <w:r w:rsidRPr="002600C9">
        <w:rPr>
          <w:rFonts w:ascii="Calibri" w:hAnsi="Calibri" w:cs="Calibri"/>
          <w:sz w:val="22"/>
          <w:szCs w:val="22"/>
        </w:rPr>
        <w:t>, women’s confidence, professional identity, and perceived capability may be undermined, leading to self-limiting career decisions or externally constrained opportunities. Wellbeing theory further highlights how unmanaged health stressors reduce cognitive capacity, engagement, and resilience</w:t>
      </w:r>
      <w:r>
        <w:rPr>
          <w:rFonts w:ascii="Calibri" w:hAnsi="Calibri" w:cs="Calibri"/>
          <w:sz w:val="22"/>
          <w:szCs w:val="22"/>
        </w:rPr>
        <w:t xml:space="preserve">: </w:t>
      </w:r>
      <w:r w:rsidRPr="002600C9">
        <w:rPr>
          <w:rFonts w:ascii="Calibri" w:hAnsi="Calibri" w:cs="Calibri"/>
          <w:sz w:val="22"/>
          <w:szCs w:val="22"/>
        </w:rPr>
        <w:t>core elements for effective leadership and career progression.</w:t>
      </w:r>
    </w:p>
    <w:p w14:paraId="57316C9D" w14:textId="77777777" w:rsidR="00E85371" w:rsidRPr="00E85371" w:rsidRDefault="00E85371" w:rsidP="00E85371">
      <w:pPr>
        <w:spacing w:line="360" w:lineRule="auto"/>
        <w:rPr>
          <w:rFonts w:ascii="Calibri" w:hAnsi="Calibri" w:cs="Calibri"/>
          <w:sz w:val="22"/>
          <w:szCs w:val="22"/>
        </w:rPr>
      </w:pPr>
      <w:r w:rsidRPr="00E85371">
        <w:rPr>
          <w:rFonts w:ascii="Calibri" w:hAnsi="Calibri" w:cs="Calibri"/>
          <w:sz w:val="22"/>
          <w:szCs w:val="22"/>
        </w:rPr>
        <w:lastRenderedPageBreak/>
        <w:t xml:space="preserve">Methodologically, the session </w:t>
      </w:r>
      <w:proofErr w:type="spellStart"/>
      <w:r w:rsidRPr="00E85371">
        <w:rPr>
          <w:rFonts w:ascii="Calibri" w:hAnsi="Calibri" w:cs="Calibri"/>
          <w:sz w:val="22"/>
          <w:szCs w:val="22"/>
        </w:rPr>
        <w:t>synthesises</w:t>
      </w:r>
      <w:proofErr w:type="spellEnd"/>
      <w:r w:rsidRPr="00E85371">
        <w:rPr>
          <w:rFonts w:ascii="Calibri" w:hAnsi="Calibri" w:cs="Calibri"/>
          <w:sz w:val="22"/>
          <w:szCs w:val="22"/>
        </w:rPr>
        <w:t xml:space="preserve"> international workforce research, policy analysis, and emerging New Zealand studies. Large workplace surveys indicate that most women aged 40–60 experience symptoms at work, with many reporting negative effects on attendance and performance. Economic analyses show measurable earnings penalties for women seeking care for menopause-related symptoms. New Zealand research and policy guidance highlight reduced hours, role changes, and exits from sectors heavily staffed by midlife women when workplace adjustments are absent. These findings are interpreted through </w:t>
      </w:r>
      <w:proofErr w:type="gramStart"/>
      <w:r w:rsidRPr="00E85371">
        <w:rPr>
          <w:rFonts w:ascii="Calibri" w:hAnsi="Calibri" w:cs="Calibri"/>
          <w:sz w:val="22"/>
          <w:szCs w:val="22"/>
        </w:rPr>
        <w:t>a career</w:t>
      </w:r>
      <w:proofErr w:type="gramEnd"/>
      <w:r w:rsidRPr="00E85371">
        <w:rPr>
          <w:rFonts w:ascii="Calibri" w:hAnsi="Calibri" w:cs="Calibri"/>
          <w:sz w:val="22"/>
          <w:szCs w:val="22"/>
        </w:rPr>
        <w:t xml:space="preserve"> development and wellbeing lens rather than </w:t>
      </w:r>
      <w:proofErr w:type="gramStart"/>
      <w:r w:rsidRPr="00E85371">
        <w:rPr>
          <w:rFonts w:ascii="Calibri" w:hAnsi="Calibri" w:cs="Calibri"/>
          <w:sz w:val="22"/>
          <w:szCs w:val="22"/>
        </w:rPr>
        <w:t>solely</w:t>
      </w:r>
      <w:proofErr w:type="gramEnd"/>
      <w:r w:rsidRPr="00E85371">
        <w:rPr>
          <w:rFonts w:ascii="Calibri" w:hAnsi="Calibri" w:cs="Calibri"/>
          <w:sz w:val="22"/>
          <w:szCs w:val="22"/>
        </w:rPr>
        <w:t xml:space="preserve"> medical or HR </w:t>
      </w:r>
      <w:proofErr w:type="gramStart"/>
      <w:r w:rsidRPr="00E85371">
        <w:rPr>
          <w:rFonts w:ascii="Calibri" w:hAnsi="Calibri" w:cs="Calibri"/>
          <w:sz w:val="22"/>
          <w:szCs w:val="22"/>
        </w:rPr>
        <w:t>perspectives</w:t>
      </w:r>
      <w:proofErr w:type="gramEnd"/>
      <w:r w:rsidRPr="00E85371">
        <w:rPr>
          <w:rFonts w:ascii="Calibri" w:hAnsi="Calibri" w:cs="Calibri"/>
          <w:sz w:val="22"/>
          <w:szCs w:val="22"/>
        </w:rPr>
        <w:t>.</w:t>
      </w:r>
    </w:p>
    <w:p w14:paraId="124765B3" w14:textId="3919475A" w:rsidR="00E85371" w:rsidRDefault="00E85371" w:rsidP="002600C9">
      <w:pPr>
        <w:spacing w:line="360" w:lineRule="auto"/>
        <w:rPr>
          <w:rFonts w:ascii="Calibri" w:hAnsi="Calibri" w:cs="Calibri"/>
          <w:sz w:val="22"/>
          <w:szCs w:val="22"/>
        </w:rPr>
      </w:pPr>
      <w:r w:rsidRPr="00E85371">
        <w:rPr>
          <w:rFonts w:ascii="Calibri" w:hAnsi="Calibri" w:cs="Calibri"/>
          <w:sz w:val="22"/>
          <w:szCs w:val="22"/>
        </w:rPr>
        <w:t xml:space="preserve">Results across studies are consistent. Many women report stepping back from leadership pathways or leaving roles due to symptom severity. International estimates suggest around one in ten women exit the workforce during this stage, while many more remain but with reduced productivity and confidence. Women describe cognitive fog affecting decision-making, sleep loss reducing resilience, and anxiety shaping workplace interactions—factors directly influencing leadership effectiveness and progression. New Zealand findings mirror these patterns, revealing a consequential leakage of experienced women from senior pipelines when </w:t>
      </w:r>
      <w:proofErr w:type="spellStart"/>
      <w:r w:rsidRPr="00E85371">
        <w:rPr>
          <w:rFonts w:ascii="Calibri" w:hAnsi="Calibri" w:cs="Calibri"/>
          <w:sz w:val="22"/>
          <w:szCs w:val="22"/>
        </w:rPr>
        <w:t>organisations</w:t>
      </w:r>
      <w:proofErr w:type="spellEnd"/>
      <w:r w:rsidRPr="00E85371">
        <w:rPr>
          <w:rFonts w:ascii="Calibri" w:hAnsi="Calibri" w:cs="Calibri"/>
          <w:sz w:val="22"/>
          <w:szCs w:val="22"/>
        </w:rPr>
        <w:t xml:space="preserve"> most need their expertise.</w:t>
      </w:r>
    </w:p>
    <w:p w14:paraId="227E664D" w14:textId="4DBD69FD" w:rsidR="006C0531" w:rsidRDefault="002600C9" w:rsidP="002600C9">
      <w:pPr>
        <w:spacing w:line="360" w:lineRule="auto"/>
        <w:rPr>
          <w:rFonts w:ascii="Calibri" w:hAnsi="Calibri" w:cs="Calibri"/>
          <w:sz w:val="22"/>
          <w:szCs w:val="22"/>
        </w:rPr>
      </w:pPr>
      <w:r w:rsidRPr="002600C9">
        <w:rPr>
          <w:rFonts w:ascii="Calibri" w:hAnsi="Calibri" w:cs="Calibri"/>
          <w:sz w:val="22"/>
          <w:szCs w:val="22"/>
        </w:rPr>
        <w:t xml:space="preserve">The conclusions are clear: perimenopause and menopause constitute a hidden wellbeing issue with systemic career consequences. For </w:t>
      </w:r>
      <w:proofErr w:type="spellStart"/>
      <w:r w:rsidRPr="002600C9">
        <w:rPr>
          <w:rFonts w:ascii="Calibri" w:hAnsi="Calibri" w:cs="Calibri"/>
          <w:sz w:val="22"/>
          <w:szCs w:val="22"/>
        </w:rPr>
        <w:t>organisations</w:t>
      </w:r>
      <w:proofErr w:type="spellEnd"/>
      <w:r w:rsidRPr="002600C9">
        <w:rPr>
          <w:rFonts w:ascii="Calibri" w:hAnsi="Calibri" w:cs="Calibri"/>
          <w:sz w:val="22"/>
          <w:szCs w:val="22"/>
        </w:rPr>
        <w:t xml:space="preserve">, this represents a preventable loss of talent and leadership capability. For women, it represents an avoidable derailment of career aspirations during peak professional years. For career development professionals, it represents an urgent opportunity to expand practice frameworks to include life-stage literacy, advocacy, and </w:t>
      </w:r>
      <w:proofErr w:type="spellStart"/>
      <w:r w:rsidRPr="002600C9">
        <w:rPr>
          <w:rFonts w:ascii="Calibri" w:hAnsi="Calibri" w:cs="Calibri"/>
          <w:sz w:val="22"/>
          <w:szCs w:val="22"/>
        </w:rPr>
        <w:t>organisational</w:t>
      </w:r>
      <w:proofErr w:type="spellEnd"/>
      <w:r w:rsidRPr="002600C9">
        <w:rPr>
          <w:rFonts w:ascii="Calibri" w:hAnsi="Calibri" w:cs="Calibri"/>
          <w:sz w:val="22"/>
          <w:szCs w:val="22"/>
        </w:rPr>
        <w:t xml:space="preserve"> education. </w:t>
      </w:r>
      <w:proofErr w:type="spellStart"/>
      <w:r w:rsidRPr="002600C9">
        <w:rPr>
          <w:rFonts w:ascii="Calibri" w:hAnsi="Calibri" w:cs="Calibri"/>
          <w:sz w:val="22"/>
          <w:szCs w:val="22"/>
        </w:rPr>
        <w:t>Normalising</w:t>
      </w:r>
      <w:proofErr w:type="spellEnd"/>
      <w:r w:rsidRPr="002600C9">
        <w:rPr>
          <w:rFonts w:ascii="Calibri" w:hAnsi="Calibri" w:cs="Calibri"/>
          <w:sz w:val="22"/>
          <w:szCs w:val="22"/>
        </w:rPr>
        <w:t xml:space="preserve"> conversations, encouraging reasonable adjustments, supporting flexible work design, and educating managers can significantly mitigate negative outcomes. When menopause is </w:t>
      </w:r>
      <w:proofErr w:type="spellStart"/>
      <w:r w:rsidRPr="002600C9">
        <w:rPr>
          <w:rFonts w:ascii="Calibri" w:hAnsi="Calibri" w:cs="Calibri"/>
          <w:sz w:val="22"/>
          <w:szCs w:val="22"/>
        </w:rPr>
        <w:t>recognised</w:t>
      </w:r>
      <w:proofErr w:type="spellEnd"/>
      <w:r w:rsidRPr="002600C9">
        <w:rPr>
          <w:rFonts w:ascii="Calibri" w:hAnsi="Calibri" w:cs="Calibri"/>
          <w:sz w:val="22"/>
          <w:szCs w:val="22"/>
        </w:rPr>
        <w:t xml:space="preserve"> as a workplace wellbeing issue rather than a private struggle, women are far more likely to remain confident, capable, and ambitious in their careers.</w:t>
      </w:r>
    </w:p>
    <w:p w14:paraId="3E52ADB4" w14:textId="77777777" w:rsidR="0088513B" w:rsidRDefault="0088513B" w:rsidP="002600C9">
      <w:pPr>
        <w:spacing w:line="360" w:lineRule="auto"/>
        <w:rPr>
          <w:rFonts w:ascii="Calibri" w:hAnsi="Calibri" w:cs="Calibri"/>
          <w:b/>
          <w:bCs/>
          <w:sz w:val="22"/>
          <w:szCs w:val="22"/>
        </w:rPr>
      </w:pPr>
    </w:p>
    <w:p w14:paraId="7B0A9047" w14:textId="7A8D86EF" w:rsidR="002600C9" w:rsidRPr="00421574" w:rsidRDefault="00421574" w:rsidP="002600C9">
      <w:pPr>
        <w:spacing w:line="360" w:lineRule="auto"/>
        <w:rPr>
          <w:rFonts w:ascii="Calibri" w:hAnsi="Calibri" w:cs="Calibri"/>
          <w:b/>
          <w:bCs/>
          <w:sz w:val="22"/>
          <w:szCs w:val="22"/>
        </w:rPr>
      </w:pPr>
      <w:r w:rsidRPr="00421574">
        <w:rPr>
          <w:rFonts w:ascii="Calibri" w:hAnsi="Calibri" w:cs="Calibri"/>
          <w:b/>
          <w:bCs/>
          <w:sz w:val="22"/>
          <w:szCs w:val="22"/>
        </w:rPr>
        <w:t xml:space="preserve">Bibliographic </w:t>
      </w:r>
      <w:r w:rsidR="00CC2140" w:rsidRPr="00421574">
        <w:rPr>
          <w:rFonts w:ascii="Calibri" w:hAnsi="Calibri" w:cs="Calibri"/>
          <w:b/>
          <w:bCs/>
          <w:sz w:val="22"/>
          <w:szCs w:val="22"/>
        </w:rPr>
        <w:t>R</w:t>
      </w:r>
      <w:r w:rsidR="002600C9" w:rsidRPr="00421574">
        <w:rPr>
          <w:rFonts w:ascii="Calibri" w:hAnsi="Calibri" w:cs="Calibri"/>
          <w:b/>
          <w:bCs/>
          <w:sz w:val="22"/>
          <w:szCs w:val="22"/>
        </w:rPr>
        <w:t>eferences</w:t>
      </w:r>
      <w:r w:rsidR="00CC2140" w:rsidRPr="00421574">
        <w:rPr>
          <w:rFonts w:ascii="Calibri" w:hAnsi="Calibri" w:cs="Calibri"/>
          <w:b/>
          <w:bCs/>
          <w:sz w:val="22"/>
          <w:szCs w:val="22"/>
        </w:rPr>
        <w:t>:</w:t>
      </w:r>
      <w:r w:rsidR="002600C9" w:rsidRPr="00421574">
        <w:rPr>
          <w:rFonts w:ascii="Calibri" w:hAnsi="Calibri" w:cs="Calibri"/>
          <w:b/>
          <w:bCs/>
          <w:sz w:val="22"/>
          <w:szCs w:val="22"/>
        </w:rPr>
        <w:t xml:space="preserve"> </w:t>
      </w:r>
    </w:p>
    <w:p w14:paraId="22AF0462" w14:textId="0E6CEB99" w:rsidR="00F021F7" w:rsidRDefault="00F021F7" w:rsidP="002600C9">
      <w:pPr>
        <w:spacing w:line="360" w:lineRule="auto"/>
        <w:rPr>
          <w:rFonts w:ascii="Calibri" w:hAnsi="Calibri" w:cs="Calibri"/>
          <w:sz w:val="22"/>
          <w:szCs w:val="22"/>
        </w:rPr>
      </w:pPr>
      <w:r w:rsidRPr="00F021F7">
        <w:rPr>
          <w:rFonts w:ascii="Calibri" w:hAnsi="Calibri" w:cs="Calibri"/>
          <w:sz w:val="22"/>
          <w:szCs w:val="22"/>
        </w:rPr>
        <w:t>CIPD. (2023)</w:t>
      </w:r>
      <w:r w:rsidR="0000600D">
        <w:rPr>
          <w:rFonts w:ascii="Calibri" w:hAnsi="Calibri" w:cs="Calibri"/>
          <w:sz w:val="22"/>
          <w:szCs w:val="22"/>
        </w:rPr>
        <w:t>.</w:t>
      </w:r>
      <w:r w:rsidRPr="00F021F7">
        <w:rPr>
          <w:rFonts w:ascii="Calibri" w:hAnsi="Calibri" w:cs="Calibri"/>
          <w:sz w:val="22"/>
          <w:szCs w:val="22"/>
        </w:rPr>
        <w:t xml:space="preserve"> </w:t>
      </w:r>
      <w:r w:rsidRPr="0000600D">
        <w:rPr>
          <w:rFonts w:ascii="Calibri" w:hAnsi="Calibri" w:cs="Calibri"/>
          <w:i/>
          <w:iCs/>
          <w:sz w:val="22"/>
          <w:szCs w:val="22"/>
        </w:rPr>
        <w:t>Menopause in the workplace: Employee experiences in 2023</w:t>
      </w:r>
      <w:r w:rsidRPr="00F021F7">
        <w:rPr>
          <w:rFonts w:ascii="Calibri" w:hAnsi="Calibri" w:cs="Calibri"/>
          <w:sz w:val="22"/>
          <w:szCs w:val="22"/>
        </w:rPr>
        <w:t>. London: Chartered Institute of Personnel and Development.</w:t>
      </w:r>
    </w:p>
    <w:p w14:paraId="77CB06EC" w14:textId="20238AF2" w:rsidR="0000600D" w:rsidRPr="0000600D" w:rsidRDefault="0000600D" w:rsidP="002600C9">
      <w:pPr>
        <w:spacing w:line="360" w:lineRule="auto"/>
        <w:rPr>
          <w:rFonts w:ascii="Calibri" w:hAnsi="Calibri" w:cs="Calibri"/>
          <w:sz w:val="22"/>
          <w:szCs w:val="22"/>
        </w:rPr>
      </w:pPr>
      <w:r>
        <w:rPr>
          <w:rFonts w:ascii="Calibri" w:hAnsi="Calibri" w:cs="Calibri"/>
          <w:sz w:val="22"/>
          <w:szCs w:val="22"/>
        </w:rPr>
        <w:t xml:space="preserve">Conti, G., Ginja, R., Persson, P., &amp; </w:t>
      </w:r>
      <w:proofErr w:type="spellStart"/>
      <w:r>
        <w:rPr>
          <w:rFonts w:ascii="Calibri" w:hAnsi="Calibri" w:cs="Calibri"/>
          <w:sz w:val="22"/>
          <w:szCs w:val="22"/>
        </w:rPr>
        <w:t>Willage</w:t>
      </w:r>
      <w:proofErr w:type="spellEnd"/>
      <w:r>
        <w:rPr>
          <w:rFonts w:ascii="Calibri" w:hAnsi="Calibri" w:cs="Calibri"/>
          <w:sz w:val="22"/>
          <w:szCs w:val="22"/>
        </w:rPr>
        <w:t xml:space="preserve">, B. (2025). </w:t>
      </w:r>
      <w:r>
        <w:rPr>
          <w:rFonts w:ascii="Calibri" w:hAnsi="Calibri" w:cs="Calibri"/>
          <w:i/>
          <w:iCs/>
          <w:sz w:val="22"/>
          <w:szCs w:val="22"/>
        </w:rPr>
        <w:t xml:space="preserve">The Menopause “Penalty” </w:t>
      </w:r>
      <w:r>
        <w:rPr>
          <w:rFonts w:ascii="Calibri" w:hAnsi="Calibri" w:cs="Calibri"/>
          <w:sz w:val="22"/>
          <w:szCs w:val="22"/>
        </w:rPr>
        <w:t xml:space="preserve">(working paper). Stanford Institute of Economic Policy Research. </w:t>
      </w:r>
    </w:p>
    <w:p w14:paraId="069491AE" w14:textId="1642A27B" w:rsidR="002600C9" w:rsidRPr="002600C9" w:rsidRDefault="0000600D" w:rsidP="002600C9">
      <w:pPr>
        <w:spacing w:line="360" w:lineRule="auto"/>
        <w:rPr>
          <w:rFonts w:ascii="Calibri" w:hAnsi="Calibri" w:cs="Calibri"/>
          <w:sz w:val="22"/>
          <w:szCs w:val="22"/>
        </w:rPr>
      </w:pPr>
      <w:r>
        <w:rPr>
          <w:rFonts w:ascii="Calibri" w:hAnsi="Calibri" w:cs="Calibri"/>
          <w:sz w:val="22"/>
          <w:szCs w:val="22"/>
        </w:rPr>
        <w:lastRenderedPageBreak/>
        <w:t>Hogan, S.</w:t>
      </w:r>
      <w:r w:rsidR="005B69BD" w:rsidRPr="005B69BD">
        <w:rPr>
          <w:rFonts w:ascii="Calibri" w:hAnsi="Calibri" w:cs="Calibri"/>
          <w:sz w:val="22"/>
          <w:szCs w:val="22"/>
        </w:rPr>
        <w:t xml:space="preserve"> </w:t>
      </w:r>
      <w:r>
        <w:rPr>
          <w:rFonts w:ascii="Calibri" w:hAnsi="Calibri" w:cs="Calibri"/>
          <w:sz w:val="22"/>
          <w:szCs w:val="22"/>
        </w:rPr>
        <w:t>(</w:t>
      </w:r>
      <w:r w:rsidR="005B69BD" w:rsidRPr="005B69BD">
        <w:rPr>
          <w:rFonts w:ascii="Calibri" w:hAnsi="Calibri" w:cs="Calibri"/>
          <w:sz w:val="22"/>
          <w:szCs w:val="22"/>
        </w:rPr>
        <w:t>2023</w:t>
      </w:r>
      <w:r>
        <w:rPr>
          <w:rFonts w:ascii="Calibri" w:hAnsi="Calibri" w:cs="Calibri"/>
          <w:sz w:val="22"/>
          <w:szCs w:val="22"/>
        </w:rPr>
        <w:t>)</w:t>
      </w:r>
      <w:r w:rsidR="005B69BD" w:rsidRPr="005B69BD">
        <w:rPr>
          <w:rFonts w:ascii="Calibri" w:hAnsi="Calibri" w:cs="Calibri"/>
          <w:sz w:val="22"/>
          <w:szCs w:val="22"/>
        </w:rPr>
        <w:t xml:space="preserve">. </w:t>
      </w:r>
      <w:r w:rsidR="005B69BD" w:rsidRPr="0000600D">
        <w:rPr>
          <w:rFonts w:ascii="Calibri" w:hAnsi="Calibri" w:cs="Calibri"/>
          <w:i/>
          <w:iCs/>
          <w:sz w:val="22"/>
          <w:szCs w:val="22"/>
        </w:rPr>
        <w:t>The silent transition: Understanding the impacts of menopause in New Zealand workplaces. A report for Global Women.</w:t>
      </w:r>
      <w:r>
        <w:rPr>
          <w:rFonts w:ascii="Calibri" w:hAnsi="Calibri" w:cs="Calibri"/>
          <w:i/>
          <w:iCs/>
          <w:sz w:val="22"/>
          <w:szCs w:val="22"/>
        </w:rPr>
        <w:t xml:space="preserve"> </w:t>
      </w:r>
      <w:r>
        <w:rPr>
          <w:rFonts w:ascii="Calibri" w:hAnsi="Calibri" w:cs="Calibri"/>
          <w:sz w:val="22"/>
          <w:szCs w:val="22"/>
        </w:rPr>
        <w:t>New Zealand Institute for Economic Research.</w:t>
      </w:r>
    </w:p>
    <w:sectPr w:rsidR="002600C9" w:rsidRPr="002600C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00C9"/>
    <w:rsid w:val="0000600D"/>
    <w:rsid w:val="0008590D"/>
    <w:rsid w:val="002600C9"/>
    <w:rsid w:val="00421574"/>
    <w:rsid w:val="005B69BD"/>
    <w:rsid w:val="00610E80"/>
    <w:rsid w:val="006641AC"/>
    <w:rsid w:val="006C0312"/>
    <w:rsid w:val="006C0531"/>
    <w:rsid w:val="00811A8B"/>
    <w:rsid w:val="0088513B"/>
    <w:rsid w:val="00B15C9E"/>
    <w:rsid w:val="00CC2140"/>
    <w:rsid w:val="00CD1B10"/>
    <w:rsid w:val="00E34084"/>
    <w:rsid w:val="00E85371"/>
    <w:rsid w:val="00F021F7"/>
    <w:rsid w:val="00F06925"/>
    <w:rsid w:val="00F66E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2BC14D"/>
  <w15:chartTrackingRefBased/>
  <w15:docId w15:val="{943A43AC-8390-4A55-9D48-210385D31A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600C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600C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600C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600C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600C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600C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600C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600C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600C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600C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600C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600C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600C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600C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600C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600C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600C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600C9"/>
    <w:rPr>
      <w:rFonts w:eastAsiaTheme="majorEastAsia" w:cstheme="majorBidi"/>
      <w:color w:val="272727" w:themeColor="text1" w:themeTint="D8"/>
    </w:rPr>
  </w:style>
  <w:style w:type="paragraph" w:styleId="Title">
    <w:name w:val="Title"/>
    <w:basedOn w:val="Normal"/>
    <w:next w:val="Normal"/>
    <w:link w:val="TitleChar"/>
    <w:uiPriority w:val="10"/>
    <w:qFormat/>
    <w:rsid w:val="002600C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600C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600C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600C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600C9"/>
    <w:pPr>
      <w:spacing w:before="160"/>
      <w:jc w:val="center"/>
    </w:pPr>
    <w:rPr>
      <w:i/>
      <w:iCs/>
      <w:color w:val="404040" w:themeColor="text1" w:themeTint="BF"/>
    </w:rPr>
  </w:style>
  <w:style w:type="character" w:customStyle="1" w:styleId="QuoteChar">
    <w:name w:val="Quote Char"/>
    <w:basedOn w:val="DefaultParagraphFont"/>
    <w:link w:val="Quote"/>
    <w:uiPriority w:val="29"/>
    <w:rsid w:val="002600C9"/>
    <w:rPr>
      <w:i/>
      <w:iCs/>
      <w:color w:val="404040" w:themeColor="text1" w:themeTint="BF"/>
    </w:rPr>
  </w:style>
  <w:style w:type="paragraph" w:styleId="ListParagraph">
    <w:name w:val="List Paragraph"/>
    <w:basedOn w:val="Normal"/>
    <w:uiPriority w:val="34"/>
    <w:qFormat/>
    <w:rsid w:val="002600C9"/>
    <w:pPr>
      <w:ind w:left="720"/>
      <w:contextualSpacing/>
    </w:pPr>
  </w:style>
  <w:style w:type="character" w:styleId="IntenseEmphasis">
    <w:name w:val="Intense Emphasis"/>
    <w:basedOn w:val="DefaultParagraphFont"/>
    <w:uiPriority w:val="21"/>
    <w:qFormat/>
    <w:rsid w:val="002600C9"/>
    <w:rPr>
      <w:i/>
      <w:iCs/>
      <w:color w:val="0F4761" w:themeColor="accent1" w:themeShade="BF"/>
    </w:rPr>
  </w:style>
  <w:style w:type="paragraph" w:styleId="IntenseQuote">
    <w:name w:val="Intense Quote"/>
    <w:basedOn w:val="Normal"/>
    <w:next w:val="Normal"/>
    <w:link w:val="IntenseQuoteChar"/>
    <w:uiPriority w:val="30"/>
    <w:qFormat/>
    <w:rsid w:val="002600C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600C9"/>
    <w:rPr>
      <w:i/>
      <w:iCs/>
      <w:color w:val="0F4761" w:themeColor="accent1" w:themeShade="BF"/>
    </w:rPr>
  </w:style>
  <w:style w:type="character" w:styleId="IntenseReference">
    <w:name w:val="Intense Reference"/>
    <w:basedOn w:val="DefaultParagraphFont"/>
    <w:uiPriority w:val="32"/>
    <w:qFormat/>
    <w:rsid w:val="002600C9"/>
    <w:rPr>
      <w:b/>
      <w:bCs/>
      <w:smallCaps/>
      <w:color w:val="0F4761" w:themeColor="accent1" w:themeShade="BF"/>
      <w:spacing w:val="5"/>
    </w:rPr>
  </w:style>
  <w:style w:type="character" w:styleId="Hyperlink">
    <w:name w:val="Hyperlink"/>
    <w:basedOn w:val="DefaultParagraphFont"/>
    <w:uiPriority w:val="99"/>
    <w:unhideWhenUsed/>
    <w:rsid w:val="00421574"/>
    <w:rPr>
      <w:color w:val="467886" w:themeColor="hyperlink"/>
      <w:u w:val="single"/>
    </w:rPr>
  </w:style>
  <w:style w:type="character" w:styleId="UnresolvedMention">
    <w:name w:val="Unresolved Mention"/>
    <w:basedOn w:val="DefaultParagraphFont"/>
    <w:uiPriority w:val="99"/>
    <w:semiHidden/>
    <w:unhideWhenUsed/>
    <w:rsid w:val="00421574"/>
    <w:rPr>
      <w:color w:val="605E5C"/>
      <w:shd w:val="clear" w:color="auto" w:fill="E1DFDD"/>
    </w:rPr>
  </w:style>
  <w:style w:type="table" w:styleId="TableGrid">
    <w:name w:val="Table Grid"/>
    <w:basedOn w:val="TableNormal"/>
    <w:uiPriority w:val="39"/>
    <w:rsid w:val="006C05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jenniemiller.cdanz@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782</Words>
  <Characters>4461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Jennie Miller</dc:creator>
  <cp:keywords/>
  <dc:description/>
  <cp:lastModifiedBy>Jennie Miller</cp:lastModifiedBy>
  <cp:revision>2</cp:revision>
  <dcterms:created xsi:type="dcterms:W3CDTF">2026-04-20T03:23:00Z</dcterms:created>
  <dcterms:modified xsi:type="dcterms:W3CDTF">2026-04-20T03:23:00Z</dcterms:modified>
</cp:coreProperties>
</file>