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58D36" w14:textId="77777777" w:rsidR="00EA0934" w:rsidRPr="0065253B" w:rsidRDefault="00054D32" w:rsidP="0065253B">
      <w:pPr>
        <w:spacing w:line="360" w:lineRule="auto"/>
        <w:rPr>
          <w:rFonts w:ascii="Calibri" w:hAnsi="Calibri" w:cs="Calibri"/>
        </w:rPr>
      </w:pPr>
      <w:r w:rsidRPr="0065253B">
        <w:rPr>
          <w:rFonts w:ascii="Calibri" w:hAnsi="Calibri" w:cs="Calibri"/>
          <w:b/>
          <w:bCs/>
        </w:rPr>
        <w:t>Title</w:t>
      </w:r>
      <w:r w:rsidRPr="0065253B">
        <w:rPr>
          <w:rFonts w:ascii="Calibri" w:hAnsi="Calibri" w:cs="Calibri"/>
        </w:rPr>
        <w:br/>
        <w:t>Advocating for Career Education in Schools: Leadership, Practice, and Change from Within</w:t>
      </w:r>
      <w:r w:rsidRPr="0065253B">
        <w:rPr>
          <w:rFonts w:ascii="Calibri" w:hAnsi="Calibri" w:cs="Calibri"/>
        </w:rPr>
        <w:br/>
      </w:r>
      <w:r w:rsidRPr="0065253B">
        <w:rPr>
          <w:rFonts w:ascii="Calibri" w:hAnsi="Calibri" w:cs="Calibri"/>
        </w:rPr>
        <w:br/>
      </w:r>
      <w:r w:rsidRPr="0065253B">
        <w:rPr>
          <w:rFonts w:ascii="Calibri" w:hAnsi="Calibri" w:cs="Calibri"/>
          <w:b/>
          <w:bCs/>
        </w:rPr>
        <w:t>Conference subtheme:</w:t>
      </w:r>
      <w:r w:rsidRPr="0065253B">
        <w:rPr>
          <w:rFonts w:ascii="Calibri" w:hAnsi="Calibri" w:cs="Calibri"/>
        </w:rPr>
        <w:t xml:space="preserve"> Best Practice – Tupuānuku  </w:t>
      </w:r>
      <w:r w:rsidRPr="0065253B">
        <w:rPr>
          <w:rFonts w:ascii="Calibri" w:hAnsi="Calibri" w:cs="Calibri"/>
        </w:rPr>
        <w:br/>
      </w:r>
      <w:r w:rsidRPr="0065253B">
        <w:rPr>
          <w:rFonts w:ascii="Calibri" w:hAnsi="Calibri" w:cs="Calibri"/>
          <w:b/>
          <w:bCs/>
        </w:rPr>
        <w:t>Presentation language:</w:t>
      </w:r>
      <w:r w:rsidRPr="0065253B">
        <w:rPr>
          <w:rFonts w:ascii="Calibri" w:hAnsi="Calibri" w:cs="Calibri"/>
        </w:rPr>
        <w:t xml:space="preserve"> English  </w:t>
      </w:r>
      <w:r w:rsidRPr="0065253B">
        <w:rPr>
          <w:rFonts w:ascii="Calibri" w:hAnsi="Calibri" w:cs="Calibri"/>
        </w:rPr>
        <w:br/>
      </w:r>
      <w:r w:rsidRPr="0065253B">
        <w:rPr>
          <w:rFonts w:ascii="Calibri" w:hAnsi="Calibri" w:cs="Calibri"/>
          <w:b/>
          <w:bCs/>
        </w:rPr>
        <w:t>Keywords:</w:t>
      </w:r>
      <w:r w:rsidRPr="0065253B">
        <w:rPr>
          <w:rFonts w:ascii="Calibri" w:hAnsi="Calibri" w:cs="Calibri"/>
        </w:rPr>
        <w:t xml:space="preserve"> career education; advocacy; school leadership; whole-school approach; practitioner learning  </w:t>
      </w:r>
      <w:r w:rsidRPr="0065253B">
        <w:rPr>
          <w:rFonts w:ascii="Calibri" w:hAnsi="Calibri" w:cs="Calibri"/>
        </w:rPr>
        <w:br/>
      </w:r>
      <w:r w:rsidRPr="0065253B">
        <w:rPr>
          <w:rFonts w:ascii="Calibri" w:hAnsi="Calibri" w:cs="Calibri"/>
        </w:rPr>
        <w:br/>
      </w:r>
      <w:r w:rsidRPr="0065253B">
        <w:rPr>
          <w:rFonts w:ascii="Calibri" w:hAnsi="Calibri" w:cs="Calibri"/>
          <w:b/>
          <w:bCs/>
        </w:rPr>
        <w:t xml:space="preserve">Workshop abstract  </w:t>
      </w:r>
      <w:r w:rsidRPr="0065253B">
        <w:rPr>
          <w:rFonts w:ascii="Calibri" w:hAnsi="Calibri" w:cs="Calibri"/>
          <w:b/>
          <w:bCs/>
        </w:rPr>
        <w:br/>
      </w:r>
      <w:r w:rsidRPr="0065253B">
        <w:rPr>
          <w:rFonts w:ascii="Calibri" w:hAnsi="Calibri" w:cs="Calibri"/>
        </w:rPr>
        <w:br/>
      </w:r>
      <w:r w:rsidRPr="0065253B">
        <w:rPr>
          <w:rFonts w:ascii="Calibri" w:hAnsi="Calibri" w:cs="Calibri"/>
          <w:b/>
          <w:bCs/>
        </w:rPr>
        <w:t>Introduction:</w:t>
      </w:r>
      <w:r w:rsidRPr="0065253B">
        <w:rPr>
          <w:rFonts w:ascii="Calibri" w:hAnsi="Calibri" w:cs="Calibri"/>
        </w:rPr>
        <w:t xml:space="preserve">  </w:t>
      </w:r>
      <w:r w:rsidRPr="0065253B">
        <w:rPr>
          <w:rFonts w:ascii="Calibri" w:hAnsi="Calibri" w:cs="Calibri"/>
        </w:rPr>
        <w:br/>
        <w:t xml:space="preserve">This interactive workshop explores how career education can be positioned as a strategic, whole-school priority through effective advocacy with senior leaders. Drawing on practice from Aotearoa New Zealand schools, the session focuses on how career practitioners and educators can influence change within their own contexts, even where broader policy settings sit beyond their direct control.  </w:t>
      </w:r>
      <w:r w:rsidRPr="0065253B">
        <w:rPr>
          <w:rFonts w:ascii="Calibri" w:hAnsi="Calibri" w:cs="Calibri"/>
        </w:rPr>
        <w:br/>
      </w:r>
      <w:r w:rsidRPr="0065253B">
        <w:rPr>
          <w:rFonts w:ascii="Calibri" w:hAnsi="Calibri" w:cs="Calibri"/>
        </w:rPr>
        <w:br/>
        <w:t xml:space="preserve">This workshop highlights the importance of strong leadership, a whole-school approach, and the integration of career learning across curriculum areas. Career education is positioned not as a standalone function, but as a structured, developmental process embedded across schooling that supports learners to build identity, agency, and pathways.  </w:t>
      </w:r>
      <w:r w:rsidRPr="0065253B">
        <w:rPr>
          <w:rFonts w:ascii="Calibri" w:hAnsi="Calibri" w:cs="Calibri"/>
        </w:rPr>
        <w:br/>
      </w:r>
      <w:r w:rsidRPr="0065253B">
        <w:rPr>
          <w:rFonts w:ascii="Calibri" w:hAnsi="Calibri" w:cs="Calibri"/>
        </w:rPr>
        <w:br/>
      </w:r>
      <w:r w:rsidRPr="0065253B">
        <w:rPr>
          <w:rFonts w:ascii="Calibri" w:hAnsi="Calibri" w:cs="Calibri"/>
          <w:b/>
          <w:bCs/>
        </w:rPr>
        <w:t>Objectives:</w:t>
      </w:r>
      <w:r w:rsidRPr="0065253B">
        <w:rPr>
          <w:rFonts w:ascii="Calibri" w:hAnsi="Calibri" w:cs="Calibri"/>
        </w:rPr>
        <w:t xml:space="preserve">  </w:t>
      </w:r>
      <w:r w:rsidRPr="0065253B">
        <w:rPr>
          <w:rFonts w:ascii="Calibri" w:hAnsi="Calibri" w:cs="Calibri"/>
        </w:rPr>
        <w:br/>
        <w:t xml:space="preserve">The workshop aims to:  </w:t>
      </w:r>
    </w:p>
    <w:p w14:paraId="2DC5377D" w14:textId="487A5EEE" w:rsidR="00EA0934" w:rsidRPr="0065253B" w:rsidRDefault="00054D32" w:rsidP="0065253B">
      <w:pPr>
        <w:pStyle w:val="ListParagraph"/>
        <w:numPr>
          <w:ilvl w:val="0"/>
          <w:numId w:val="13"/>
        </w:numPr>
        <w:spacing w:line="360" w:lineRule="auto"/>
        <w:rPr>
          <w:rFonts w:ascii="Calibri" w:hAnsi="Calibri" w:cs="Calibri"/>
          <w:lang w:val="en-AU"/>
        </w:rPr>
      </w:pPr>
      <w:r w:rsidRPr="0065253B">
        <w:rPr>
          <w:rFonts w:ascii="Calibri" w:hAnsi="Calibri" w:cs="Calibri"/>
        </w:rPr>
        <w:t>share practical examples of how schools have successfully advocated for and embedded career education</w:t>
      </w:r>
      <w:r w:rsidR="00EA0934" w:rsidRPr="0065253B">
        <w:rPr>
          <w:rFonts w:ascii="Calibri" w:hAnsi="Calibri" w:cs="Calibri"/>
        </w:rPr>
        <w:t>.</w:t>
      </w:r>
    </w:p>
    <w:p w14:paraId="03984127" w14:textId="77777777" w:rsidR="00EA0934" w:rsidRPr="0065253B" w:rsidRDefault="00054D32" w:rsidP="0065253B">
      <w:pPr>
        <w:pStyle w:val="ListParagraph"/>
        <w:numPr>
          <w:ilvl w:val="0"/>
          <w:numId w:val="13"/>
        </w:numPr>
        <w:spacing w:line="360" w:lineRule="auto"/>
        <w:rPr>
          <w:rFonts w:ascii="Calibri" w:hAnsi="Calibri" w:cs="Calibri"/>
          <w:lang w:val="en-AU"/>
        </w:rPr>
      </w:pPr>
      <w:r w:rsidRPr="0065253B">
        <w:rPr>
          <w:rFonts w:ascii="Calibri" w:hAnsi="Calibri" w:cs="Calibri"/>
        </w:rPr>
        <w:t>explore the role of senior leadership, relationships, and strategic positioning in enabling change</w:t>
      </w:r>
    </w:p>
    <w:p w14:paraId="7B20F055" w14:textId="77777777" w:rsidR="00EA0934" w:rsidRPr="0065253B" w:rsidRDefault="00054D32" w:rsidP="0065253B">
      <w:pPr>
        <w:pStyle w:val="ListParagraph"/>
        <w:numPr>
          <w:ilvl w:val="0"/>
          <w:numId w:val="13"/>
        </w:numPr>
        <w:spacing w:line="360" w:lineRule="auto"/>
        <w:rPr>
          <w:rFonts w:ascii="Calibri" w:hAnsi="Calibri" w:cs="Calibri"/>
          <w:lang w:val="en-AU"/>
        </w:rPr>
      </w:pPr>
      <w:r w:rsidRPr="0065253B">
        <w:rPr>
          <w:rFonts w:ascii="Calibri" w:hAnsi="Calibri" w:cs="Calibri"/>
        </w:rPr>
        <w:t xml:space="preserve">build participants’ capability to advocate effectively within their own school contexts; </w:t>
      </w:r>
      <w:proofErr w:type="gramStart"/>
      <w:r w:rsidRPr="0065253B">
        <w:rPr>
          <w:rFonts w:ascii="Calibri" w:hAnsi="Calibri" w:cs="Calibri"/>
        </w:rPr>
        <w:t>and  provide</w:t>
      </w:r>
      <w:proofErr w:type="gramEnd"/>
      <w:r w:rsidRPr="0065253B">
        <w:rPr>
          <w:rFonts w:ascii="Calibri" w:hAnsi="Calibri" w:cs="Calibri"/>
        </w:rPr>
        <w:t xml:space="preserve"> practical tools and strategies</w:t>
      </w:r>
      <w:r w:rsidR="00EA0934" w:rsidRPr="0065253B">
        <w:rPr>
          <w:rFonts w:ascii="Calibri" w:hAnsi="Calibri" w:cs="Calibri"/>
        </w:rPr>
        <w:t>.</w:t>
      </w:r>
    </w:p>
    <w:p w14:paraId="467E3C92" w14:textId="6763CF9F" w:rsidR="00054D32" w:rsidRPr="0065253B" w:rsidRDefault="00054D32" w:rsidP="0065253B">
      <w:pPr>
        <w:spacing w:line="360" w:lineRule="auto"/>
        <w:rPr>
          <w:rFonts w:ascii="Calibri" w:hAnsi="Calibri" w:cs="Calibri"/>
          <w:lang w:val="en-AU"/>
        </w:rPr>
      </w:pPr>
      <w:r w:rsidRPr="0065253B">
        <w:rPr>
          <w:rFonts w:ascii="Calibri" w:hAnsi="Calibri" w:cs="Calibri"/>
          <w:b/>
          <w:bCs/>
        </w:rPr>
        <w:lastRenderedPageBreak/>
        <w:t>Theoretical and practice basis:</w:t>
      </w:r>
      <w:r w:rsidRPr="0065253B">
        <w:rPr>
          <w:rFonts w:ascii="Calibri" w:hAnsi="Calibri" w:cs="Calibri"/>
        </w:rPr>
        <w:t xml:space="preserve">  </w:t>
      </w:r>
      <w:r w:rsidRPr="0065253B">
        <w:rPr>
          <w:rFonts w:ascii="Calibri" w:hAnsi="Calibri" w:cs="Calibri"/>
        </w:rPr>
        <w:br/>
        <w:t xml:space="preserve">This workshop is informed by international and Aotearoa New Zealand research, including OECD work on career readiness and Dr Lynette Reid’s research on successful career transitions. OECD research highlights the importance of career readiness indicators such as exposure to workplaces, engagement with employers, and the development of career decision-making capabilities. The State of Global Teenage Career Preparation further identifies gaps between student aspirations and labour market realities, reinforcing the need for structured career education within schools.  </w:t>
      </w:r>
      <w:r w:rsidRPr="0065253B">
        <w:rPr>
          <w:rFonts w:ascii="Calibri" w:hAnsi="Calibri" w:cs="Calibri"/>
        </w:rPr>
        <w:br/>
      </w:r>
      <w:r w:rsidRPr="0065253B">
        <w:rPr>
          <w:rFonts w:ascii="Calibri" w:hAnsi="Calibri" w:cs="Calibri"/>
        </w:rPr>
        <w:br/>
        <w:t xml:space="preserve">Reid’s research emphasises that effective career education is enabled through strong senior leadership support, high-trust environments, and collaborative, whole-school and community-connected approaches. It highlights that successful transitions are shaped by relationships, meaningful career conversations, and flexible, non-linear pathways.  </w:t>
      </w:r>
      <w:r w:rsidRPr="0065253B">
        <w:rPr>
          <w:rFonts w:ascii="Calibri" w:hAnsi="Calibri" w:cs="Calibri"/>
        </w:rPr>
        <w:br/>
      </w:r>
      <w:r w:rsidRPr="0065253B">
        <w:rPr>
          <w:rFonts w:ascii="Calibri" w:hAnsi="Calibri" w:cs="Calibri"/>
        </w:rPr>
        <w:br/>
        <w:t xml:space="preserve">The ERO (2015) report on career education and guidance in New Zealand schools reinforces these findings, identifying leadership commitment, strategic planning, and strong partnerships as key features of effective practice.  </w:t>
      </w:r>
      <w:r w:rsidRPr="0065253B">
        <w:rPr>
          <w:rFonts w:ascii="Calibri" w:hAnsi="Calibri" w:cs="Calibri"/>
        </w:rPr>
        <w:br/>
      </w:r>
      <w:r w:rsidRPr="0065253B">
        <w:rPr>
          <w:rFonts w:ascii="Calibri" w:hAnsi="Calibri" w:cs="Calibri"/>
        </w:rPr>
        <w:br/>
      </w:r>
      <w:r w:rsidRPr="0065253B">
        <w:rPr>
          <w:rFonts w:ascii="Calibri" w:hAnsi="Calibri" w:cs="Calibri"/>
          <w:b/>
          <w:bCs/>
        </w:rPr>
        <w:t>Content:</w:t>
      </w:r>
      <w:r w:rsidRPr="0065253B">
        <w:rPr>
          <w:rFonts w:ascii="Calibri" w:hAnsi="Calibri" w:cs="Calibri"/>
        </w:rPr>
        <w:t xml:space="preserve">  </w:t>
      </w:r>
      <w:r w:rsidRPr="0065253B">
        <w:rPr>
          <w:rFonts w:ascii="Calibri" w:hAnsi="Calibri" w:cs="Calibri"/>
        </w:rPr>
        <w:br/>
      </w:r>
      <w:r w:rsidRPr="0065253B">
        <w:rPr>
          <w:rFonts w:ascii="Calibri" w:hAnsi="Calibri" w:cs="Calibri"/>
          <w:lang w:val="en-AU"/>
        </w:rPr>
        <w:t>This 60-minute workshop is designed as an interactive, practice-focused session that combines practitioner insight with participant engagement. It begins with a concise overview of key concepts drawn from the Career Education Vision and relevant research, establishing a shared understanding of what enables effective, whole-school career education. This is followed by a practitioner panel featuring school-based leaders and career professionals who will present brief case studies, illustrating how they have successfully advocated to senior leadership, embedded career education within their curriculum, navigated challenges, and influenced outcomes for learners.</w:t>
      </w:r>
    </w:p>
    <w:p w14:paraId="73E68766" w14:textId="77777777" w:rsidR="00054D32" w:rsidRPr="0065253B" w:rsidRDefault="00054D32" w:rsidP="0065253B">
      <w:pPr>
        <w:spacing w:line="360" w:lineRule="auto"/>
        <w:rPr>
          <w:rFonts w:ascii="Calibri" w:hAnsi="Calibri" w:cs="Calibri"/>
          <w:lang w:val="en-AU"/>
        </w:rPr>
      </w:pPr>
      <w:r w:rsidRPr="0065253B">
        <w:rPr>
          <w:rFonts w:ascii="Calibri" w:hAnsi="Calibri" w:cs="Calibri"/>
          <w:lang w:val="en-AU"/>
        </w:rPr>
        <w:t>Building on these real-world examples, participants will then engage in a structured, collaborative activity where they analyse their own school contexts. Through guided discussion, they will identify barriers and opportunities for advocacy, and begin to develop a practical, context-specific advocacy strategy. This includes clarifying key messages, identifying potential allies, and recognising strategic entry points for influencing change within their school.</w:t>
      </w:r>
    </w:p>
    <w:p w14:paraId="6DE55681" w14:textId="77777777" w:rsidR="00054D32" w:rsidRPr="0065253B" w:rsidRDefault="00054D32" w:rsidP="0065253B">
      <w:pPr>
        <w:spacing w:line="360" w:lineRule="auto"/>
        <w:rPr>
          <w:rFonts w:ascii="Calibri" w:hAnsi="Calibri" w:cs="Calibri"/>
          <w:lang w:val="en-AU"/>
        </w:rPr>
      </w:pPr>
      <w:r w:rsidRPr="0065253B">
        <w:rPr>
          <w:rFonts w:ascii="Calibri" w:hAnsi="Calibri" w:cs="Calibri"/>
          <w:lang w:val="en-AU"/>
        </w:rPr>
        <w:lastRenderedPageBreak/>
        <w:t>The workshop concludes with a facilitated sharing session, where participants reflect on their ideas and learn from others, supported by responses and insights from the panel. Together, these components ensure the workshop is not only informative but highly practical, enabling participants to leave with concrete strategies and increased confidence to advocate for career education in their own settings.</w:t>
      </w:r>
    </w:p>
    <w:p w14:paraId="6C289898" w14:textId="3A48D3FD" w:rsidR="00EA0934" w:rsidRPr="0065253B" w:rsidRDefault="00000000" w:rsidP="0065253B">
      <w:pPr>
        <w:spacing w:line="360" w:lineRule="auto"/>
        <w:rPr>
          <w:rFonts w:ascii="Calibri" w:hAnsi="Calibri" w:cs="Calibri"/>
          <w:lang w:val="en-AU"/>
        </w:rPr>
      </w:pPr>
      <w:r w:rsidRPr="0065253B">
        <w:rPr>
          <w:rFonts w:ascii="Calibri" w:hAnsi="Calibri" w:cs="Calibri"/>
        </w:rPr>
        <w:br/>
      </w:r>
      <w:r w:rsidRPr="0065253B">
        <w:rPr>
          <w:rFonts w:ascii="Calibri" w:hAnsi="Calibri" w:cs="Calibri"/>
          <w:b/>
          <w:bCs/>
        </w:rPr>
        <w:t>Results/anticipated outcomes:</w:t>
      </w:r>
      <w:r w:rsidRPr="0065253B">
        <w:rPr>
          <w:rFonts w:ascii="Calibri" w:hAnsi="Calibri" w:cs="Calibri"/>
        </w:rPr>
        <w:t xml:space="preserve">  </w:t>
      </w:r>
      <w:r w:rsidRPr="0065253B">
        <w:rPr>
          <w:rFonts w:ascii="Calibri" w:hAnsi="Calibri" w:cs="Calibri"/>
        </w:rPr>
        <w:br/>
        <w:t xml:space="preserve">Participants will leave with a clearer understanding of how advocacy can influence school systems and leadership decision-making. They will gain practical strategies for engaging senior leaders, strengthening relationships across the school, and positioning career education as a shared responsibility.  </w:t>
      </w:r>
      <w:r w:rsidRPr="0065253B">
        <w:rPr>
          <w:rFonts w:ascii="Calibri" w:hAnsi="Calibri" w:cs="Calibri"/>
        </w:rPr>
        <w:br/>
      </w:r>
      <w:r w:rsidRPr="0065253B">
        <w:rPr>
          <w:rFonts w:ascii="Calibri" w:hAnsi="Calibri" w:cs="Calibri"/>
        </w:rPr>
        <w:br/>
        <w:t>Participants will also leave with a draft advocacy plan</w:t>
      </w:r>
      <w:r w:rsidR="00054D32" w:rsidRPr="0065253B">
        <w:rPr>
          <w:rFonts w:ascii="Calibri" w:hAnsi="Calibri" w:cs="Calibri"/>
        </w:rPr>
        <w:t xml:space="preserve"> and resources</w:t>
      </w:r>
      <w:r w:rsidRPr="0065253B">
        <w:rPr>
          <w:rFonts w:ascii="Calibri" w:hAnsi="Calibri" w:cs="Calibri"/>
        </w:rPr>
        <w:t xml:space="preserve"> tailored to their own context, increasing their confidence and capability to initiate or strengthen career education within their school.  </w:t>
      </w:r>
      <w:r w:rsidRPr="0065253B">
        <w:rPr>
          <w:rFonts w:ascii="Calibri" w:hAnsi="Calibri" w:cs="Calibri"/>
        </w:rPr>
        <w:br/>
      </w:r>
      <w:r w:rsidRPr="0065253B">
        <w:rPr>
          <w:rFonts w:ascii="Calibri" w:hAnsi="Calibri" w:cs="Calibri"/>
        </w:rPr>
        <w:br/>
      </w:r>
      <w:r w:rsidRPr="0065253B">
        <w:rPr>
          <w:rFonts w:ascii="Calibri" w:hAnsi="Calibri" w:cs="Calibri"/>
          <w:b/>
          <w:bCs/>
        </w:rPr>
        <w:t>Conclusions:</w:t>
      </w:r>
      <w:r w:rsidRPr="0065253B">
        <w:rPr>
          <w:rFonts w:ascii="Calibri" w:hAnsi="Calibri" w:cs="Calibri"/>
        </w:rPr>
        <w:t xml:space="preserve">  </w:t>
      </w:r>
      <w:r w:rsidRPr="0065253B">
        <w:rPr>
          <w:rFonts w:ascii="Calibri" w:hAnsi="Calibri" w:cs="Calibri"/>
        </w:rPr>
        <w:br/>
        <w:t xml:space="preserve">While educators cannot directly control government policy, they can significantly influence how career education is enacted within schools. This workshop demonstrates how strategic advocacy, combined with strong relationships and practical action, can lead to meaningful and sustainable change.  </w:t>
      </w:r>
      <w:r w:rsidRPr="0065253B">
        <w:rPr>
          <w:rFonts w:ascii="Calibri" w:hAnsi="Calibri" w:cs="Calibri"/>
        </w:rPr>
        <w:br/>
      </w:r>
      <w:r w:rsidRPr="0065253B">
        <w:rPr>
          <w:rFonts w:ascii="Calibri" w:hAnsi="Calibri" w:cs="Calibri"/>
        </w:rPr>
        <w:br/>
      </w:r>
      <w:r w:rsidRPr="0065253B">
        <w:rPr>
          <w:rFonts w:ascii="Calibri" w:hAnsi="Calibri" w:cs="Calibri"/>
          <w:b/>
          <w:bCs/>
        </w:rPr>
        <w:t>Target audience:</w:t>
      </w:r>
      <w:r w:rsidRPr="0065253B">
        <w:rPr>
          <w:rFonts w:ascii="Calibri" w:hAnsi="Calibri" w:cs="Calibri"/>
        </w:rPr>
        <w:t xml:space="preserve">  </w:t>
      </w:r>
      <w:r w:rsidRPr="0065253B">
        <w:rPr>
          <w:rFonts w:ascii="Calibri" w:hAnsi="Calibri" w:cs="Calibri"/>
        </w:rPr>
        <w:br/>
        <w:t xml:space="preserve">Career practitioners, school leaders, teachers, and education professionals.  </w:t>
      </w:r>
      <w:r w:rsidRPr="0065253B">
        <w:rPr>
          <w:rFonts w:ascii="Calibri" w:hAnsi="Calibri" w:cs="Calibri"/>
        </w:rPr>
        <w:br/>
      </w:r>
      <w:r w:rsidRPr="0065253B">
        <w:rPr>
          <w:rFonts w:ascii="Calibri" w:hAnsi="Calibri" w:cs="Calibri"/>
        </w:rPr>
        <w:br/>
      </w:r>
      <w:r w:rsidRPr="0065253B">
        <w:rPr>
          <w:rFonts w:ascii="Calibri" w:hAnsi="Calibri" w:cs="Calibri"/>
          <w:b/>
          <w:bCs/>
        </w:rPr>
        <w:t>References</w:t>
      </w:r>
      <w:r w:rsidRPr="0065253B">
        <w:rPr>
          <w:rFonts w:ascii="Calibri" w:hAnsi="Calibri" w:cs="Calibri"/>
        </w:rPr>
        <w:br/>
      </w:r>
      <w:r w:rsidRPr="0065253B">
        <w:rPr>
          <w:rFonts w:ascii="Calibri" w:hAnsi="Calibri" w:cs="Calibri"/>
        </w:rPr>
        <w:br/>
      </w:r>
      <w:r w:rsidR="00EA0934" w:rsidRPr="0065253B">
        <w:rPr>
          <w:rFonts w:ascii="Calibri" w:hAnsi="Calibri" w:cs="Calibri"/>
          <w:lang w:val="en-AU"/>
        </w:rPr>
        <w:t xml:space="preserve">Education Review Office. (2015). </w:t>
      </w:r>
      <w:r w:rsidR="00EA0934" w:rsidRPr="0065253B">
        <w:rPr>
          <w:rFonts w:ascii="Calibri" w:hAnsi="Calibri" w:cs="Calibri"/>
          <w:i/>
          <w:iCs/>
          <w:lang w:val="en-AU"/>
        </w:rPr>
        <w:t>Careers education and guidance: Good practice</w:t>
      </w:r>
      <w:r w:rsidR="00EA0934" w:rsidRPr="0065253B">
        <w:rPr>
          <w:rFonts w:ascii="Calibri" w:hAnsi="Calibri" w:cs="Calibri"/>
          <w:lang w:val="en-AU"/>
        </w:rPr>
        <w:t>.</w:t>
      </w:r>
      <w:r w:rsidR="00EA0934" w:rsidRPr="0065253B">
        <w:rPr>
          <w:rFonts w:ascii="Calibri" w:hAnsi="Calibri" w:cs="Calibri"/>
          <w:lang w:val="en-AU"/>
        </w:rPr>
        <w:br/>
      </w:r>
      <w:hyperlink r:id="rId6" w:tgtFrame="_new" w:history="1">
        <w:r w:rsidR="00EA0934" w:rsidRPr="0065253B">
          <w:rPr>
            <w:rStyle w:val="Hyperlink"/>
            <w:rFonts w:ascii="Calibri" w:hAnsi="Calibri" w:cs="Calibri"/>
            <w:lang w:val="en-AU"/>
          </w:rPr>
          <w:t>https://ero.govt.nz/sites/default/files/2021-05/ERO-CareersEdu-Guid-2015-WEB2.pdf</w:t>
        </w:r>
      </w:hyperlink>
      <w:r w:rsidR="00EA0934" w:rsidRPr="0065253B">
        <w:rPr>
          <w:rFonts w:ascii="Calibri" w:hAnsi="Calibri" w:cs="Calibri"/>
          <w:lang w:val="en-AU"/>
        </w:rPr>
        <w:t xml:space="preserve"> </w:t>
      </w:r>
    </w:p>
    <w:p w14:paraId="113F5542" w14:textId="75AFC564" w:rsidR="00EA0934" w:rsidRPr="0065253B" w:rsidRDefault="00EA0934" w:rsidP="0065253B">
      <w:pPr>
        <w:spacing w:line="360" w:lineRule="auto"/>
        <w:rPr>
          <w:rFonts w:ascii="Calibri" w:hAnsi="Calibri" w:cs="Calibri"/>
          <w:lang w:val="en-AU"/>
        </w:rPr>
      </w:pPr>
      <w:r w:rsidRPr="0065253B">
        <w:rPr>
          <w:rFonts w:ascii="Calibri" w:hAnsi="Calibri" w:cs="Calibri"/>
          <w:lang w:val="en-AU"/>
        </w:rPr>
        <w:t xml:space="preserve">Organisation for Economic Co-operation and Development (OECD). (2025). </w:t>
      </w:r>
      <w:r w:rsidRPr="0065253B">
        <w:rPr>
          <w:rFonts w:ascii="Calibri" w:hAnsi="Calibri" w:cs="Calibri"/>
          <w:i/>
          <w:iCs/>
          <w:lang w:val="en-AU"/>
        </w:rPr>
        <w:t>The state of global teenage career preparation</w:t>
      </w:r>
      <w:r w:rsidRPr="0065253B">
        <w:rPr>
          <w:rFonts w:ascii="Calibri" w:hAnsi="Calibri" w:cs="Calibri"/>
          <w:lang w:val="en-AU"/>
        </w:rPr>
        <w:t>.</w:t>
      </w:r>
      <w:r w:rsidRPr="0065253B">
        <w:rPr>
          <w:rFonts w:ascii="Calibri" w:hAnsi="Calibri" w:cs="Calibri"/>
          <w:lang w:val="en-AU"/>
        </w:rPr>
        <w:br/>
      </w:r>
      <w:hyperlink r:id="rId7" w:tgtFrame="_new" w:history="1">
        <w:r w:rsidRPr="0065253B">
          <w:rPr>
            <w:rStyle w:val="Hyperlink"/>
            <w:rFonts w:ascii="Calibri" w:hAnsi="Calibri" w:cs="Calibri"/>
            <w:lang w:val="en-AU"/>
          </w:rPr>
          <w:t>https://www.educationandemployers.org/wp-content/uploads/2025/05/The-State-of-Global-Teenage-Career-Preparation-20th-May-2025-2.pdf</w:t>
        </w:r>
      </w:hyperlink>
      <w:r w:rsidRPr="0065253B">
        <w:rPr>
          <w:rFonts w:ascii="Calibri" w:hAnsi="Calibri" w:cs="Calibri"/>
          <w:lang w:val="en-AU"/>
        </w:rPr>
        <w:t xml:space="preserve"> </w:t>
      </w:r>
    </w:p>
    <w:p w14:paraId="07E6A166" w14:textId="3F57CC7C" w:rsidR="00EA0934" w:rsidRPr="0065253B" w:rsidRDefault="00EA0934" w:rsidP="0065253B">
      <w:pPr>
        <w:spacing w:line="360" w:lineRule="auto"/>
        <w:rPr>
          <w:rFonts w:ascii="Calibri" w:hAnsi="Calibri" w:cs="Calibri"/>
          <w:lang w:val="en-AU"/>
        </w:rPr>
      </w:pPr>
      <w:r w:rsidRPr="0065253B">
        <w:rPr>
          <w:rFonts w:ascii="Calibri" w:hAnsi="Calibri" w:cs="Calibri"/>
          <w:lang w:val="en-AU"/>
        </w:rPr>
        <w:t xml:space="preserve">Organisation for Economic Co-operation and Development (OECD). (2021). </w:t>
      </w:r>
      <w:r w:rsidRPr="0065253B">
        <w:rPr>
          <w:rFonts w:ascii="Calibri" w:hAnsi="Calibri" w:cs="Calibri"/>
          <w:i/>
          <w:iCs/>
          <w:lang w:val="en-AU"/>
        </w:rPr>
        <w:t>Indicators of career readiness</w:t>
      </w:r>
      <w:r w:rsidRPr="0065253B">
        <w:rPr>
          <w:rFonts w:ascii="Calibri" w:hAnsi="Calibri" w:cs="Calibri"/>
          <w:lang w:val="en-AU"/>
        </w:rPr>
        <w:t>.</w:t>
      </w:r>
      <w:r w:rsidRPr="0065253B">
        <w:rPr>
          <w:rFonts w:ascii="Calibri" w:hAnsi="Calibri" w:cs="Calibri"/>
          <w:lang w:val="en-AU"/>
        </w:rPr>
        <w:br/>
      </w:r>
      <w:hyperlink r:id="rId8" w:tgtFrame="_new" w:history="1">
        <w:r w:rsidRPr="0065253B">
          <w:rPr>
            <w:rStyle w:val="Hyperlink"/>
            <w:rFonts w:ascii="Calibri" w:hAnsi="Calibri" w:cs="Calibri"/>
            <w:lang w:val="en-AU"/>
          </w:rPr>
          <w:t>https://www.oecd.org/en/about/projects/career-readiness.html</w:t>
        </w:r>
      </w:hyperlink>
      <w:r w:rsidRPr="0065253B">
        <w:rPr>
          <w:rFonts w:ascii="Calibri" w:hAnsi="Calibri" w:cs="Calibri"/>
          <w:lang w:val="en-AU"/>
        </w:rPr>
        <w:t xml:space="preserve"> </w:t>
      </w:r>
    </w:p>
    <w:p w14:paraId="543D6496" w14:textId="77777777" w:rsidR="00EA0934" w:rsidRPr="0065253B" w:rsidRDefault="00EA0934" w:rsidP="0065253B">
      <w:pPr>
        <w:spacing w:line="360" w:lineRule="auto"/>
        <w:rPr>
          <w:rFonts w:ascii="Calibri" w:hAnsi="Calibri" w:cs="Calibri"/>
        </w:rPr>
      </w:pPr>
      <w:r w:rsidRPr="0065253B">
        <w:rPr>
          <w:rFonts w:ascii="Calibri" w:hAnsi="Calibri" w:cs="Calibri"/>
        </w:rPr>
        <w:t xml:space="preserve">Reid, L. (2023). </w:t>
      </w:r>
      <w:r w:rsidRPr="0065253B">
        <w:rPr>
          <w:rFonts w:ascii="Calibri" w:hAnsi="Calibri" w:cs="Calibri"/>
          <w:i/>
          <w:iCs/>
        </w:rPr>
        <w:t>Empowering our youth: Career processes, strategies, and practices that enable successful career transitions</w:t>
      </w:r>
      <w:r w:rsidRPr="0065253B">
        <w:rPr>
          <w:rFonts w:ascii="Calibri" w:hAnsi="Calibri" w:cs="Calibri"/>
        </w:rPr>
        <w:t>. Education Partnership &amp; Innovation Trust (EPIT).</w:t>
      </w:r>
      <w:r w:rsidRPr="0065253B">
        <w:rPr>
          <w:rFonts w:ascii="Calibri" w:hAnsi="Calibri" w:cs="Calibri"/>
        </w:rPr>
        <w:br/>
      </w:r>
      <w:hyperlink r:id="rId9" w:tgtFrame="_new" w:history="1">
        <w:r w:rsidRPr="0065253B">
          <w:rPr>
            <w:rStyle w:val="Hyperlink"/>
            <w:rFonts w:ascii="Calibri" w:hAnsi="Calibri" w:cs="Calibri"/>
          </w:rPr>
          <w:t>https://cdn-asset-mel-2.airsquare.com/yea/library/research/2023-epit-empowering-our-youth.pdf</w:t>
        </w:r>
      </w:hyperlink>
    </w:p>
    <w:p w14:paraId="76181AD7" w14:textId="0090F616" w:rsidR="00483225" w:rsidRPr="0065253B" w:rsidRDefault="00000000" w:rsidP="0065253B">
      <w:pPr>
        <w:spacing w:line="360" w:lineRule="auto"/>
        <w:rPr>
          <w:rFonts w:ascii="Calibri" w:hAnsi="Calibri" w:cs="Calibri"/>
        </w:rPr>
      </w:pPr>
      <w:r w:rsidRPr="0065253B">
        <w:rPr>
          <w:rFonts w:ascii="Calibri" w:hAnsi="Calibri" w:cs="Calibri"/>
        </w:rPr>
        <w:br/>
      </w:r>
    </w:p>
    <w:sectPr w:rsidR="00483225" w:rsidRPr="0065253B"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F820478"/>
    <w:multiLevelType w:val="hybridMultilevel"/>
    <w:tmpl w:val="3D00A3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2A122BD"/>
    <w:multiLevelType w:val="hybridMultilevel"/>
    <w:tmpl w:val="25849C28"/>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B5F1F3A"/>
    <w:multiLevelType w:val="hybridMultilevel"/>
    <w:tmpl w:val="FD203A2E"/>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3710C65"/>
    <w:multiLevelType w:val="hybridMultilevel"/>
    <w:tmpl w:val="40F43A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61122320">
    <w:abstractNumId w:val="8"/>
  </w:num>
  <w:num w:numId="2" w16cid:durableId="2121413071">
    <w:abstractNumId w:val="6"/>
  </w:num>
  <w:num w:numId="3" w16cid:durableId="816069127">
    <w:abstractNumId w:val="5"/>
  </w:num>
  <w:num w:numId="4" w16cid:durableId="735860729">
    <w:abstractNumId w:val="4"/>
  </w:num>
  <w:num w:numId="5" w16cid:durableId="538860650">
    <w:abstractNumId w:val="7"/>
  </w:num>
  <w:num w:numId="6" w16cid:durableId="643776346">
    <w:abstractNumId w:val="3"/>
  </w:num>
  <w:num w:numId="7" w16cid:durableId="909537735">
    <w:abstractNumId w:val="2"/>
  </w:num>
  <w:num w:numId="8" w16cid:durableId="208037521">
    <w:abstractNumId w:val="1"/>
  </w:num>
  <w:num w:numId="9" w16cid:durableId="984898655">
    <w:abstractNumId w:val="0"/>
  </w:num>
  <w:num w:numId="10" w16cid:durableId="911620025">
    <w:abstractNumId w:val="12"/>
  </w:num>
  <w:num w:numId="11" w16cid:durableId="1029379802">
    <w:abstractNumId w:val="11"/>
  </w:num>
  <w:num w:numId="12" w16cid:durableId="1921139533">
    <w:abstractNumId w:val="10"/>
  </w:num>
  <w:num w:numId="13" w16cid:durableId="12998706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4D32"/>
    <w:rsid w:val="0006063C"/>
    <w:rsid w:val="000822A6"/>
    <w:rsid w:val="0015074B"/>
    <w:rsid w:val="0029639D"/>
    <w:rsid w:val="00326F90"/>
    <w:rsid w:val="00483225"/>
    <w:rsid w:val="00553C2B"/>
    <w:rsid w:val="0065253B"/>
    <w:rsid w:val="006D038B"/>
    <w:rsid w:val="008540F2"/>
    <w:rsid w:val="008A288D"/>
    <w:rsid w:val="00940917"/>
    <w:rsid w:val="009C7CA7"/>
    <w:rsid w:val="00A3395E"/>
    <w:rsid w:val="00AA1D8D"/>
    <w:rsid w:val="00B47730"/>
    <w:rsid w:val="00CB0664"/>
    <w:rsid w:val="00EA093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662405"/>
  <w14:defaultImageDpi w14:val="330"/>
  <w15:docId w15:val="{B1655166-6143-4F36-9594-A394FDDF7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054D32"/>
    <w:rPr>
      <w:rFonts w:ascii="Times New Roman" w:hAnsi="Times New Roman" w:cs="Times New Roman"/>
      <w:sz w:val="24"/>
      <w:szCs w:val="24"/>
    </w:rPr>
  </w:style>
  <w:style w:type="character" w:styleId="Hyperlink">
    <w:name w:val="Hyperlink"/>
    <w:basedOn w:val="DefaultParagraphFont"/>
    <w:uiPriority w:val="99"/>
    <w:unhideWhenUsed/>
    <w:rsid w:val="00EA0934"/>
    <w:rPr>
      <w:color w:val="0000FF" w:themeColor="hyperlink"/>
      <w:u w:val="single"/>
    </w:rPr>
  </w:style>
  <w:style w:type="character" w:styleId="UnresolvedMention">
    <w:name w:val="Unresolved Mention"/>
    <w:basedOn w:val="DefaultParagraphFont"/>
    <w:uiPriority w:val="99"/>
    <w:semiHidden/>
    <w:unhideWhenUsed/>
    <w:rsid w:val="00EA09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ecd.org/en/about/projects/career-readiness.html" TargetMode="External"/><Relationship Id="rId3" Type="http://schemas.openxmlformats.org/officeDocument/2006/relationships/styles" Target="styles.xml"/><Relationship Id="rId7" Type="http://schemas.openxmlformats.org/officeDocument/2006/relationships/hyperlink" Target="https://www.educationandemployers.org/wp-content/uploads/2025/05/The-State-of-Global-Teenage-Career-Preparation-20th-May-2025-2.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ro.govt.nz/sites/default/files/2021-05/ERO-CareersEdu-Guid-2015-WEB2.pdf"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dn-asset-mel-2.airsquare.com/yea/library/research/2023-epit-empowering-our-yout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964</Words>
  <Characters>5496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Leigh | Strategic Growth Partners</cp:lastModifiedBy>
  <cp:revision>2</cp:revision>
  <dcterms:created xsi:type="dcterms:W3CDTF">2026-04-17T01:44:00Z</dcterms:created>
  <dcterms:modified xsi:type="dcterms:W3CDTF">2026-04-17T01:44:00Z</dcterms:modified>
  <cp:category/>
</cp:coreProperties>
</file>