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68EA3" w14:textId="2A54C18F" w:rsidR="00034844" w:rsidRPr="00F961B1" w:rsidRDefault="006C540B" w:rsidP="00CC2C16">
      <w:pPr>
        <w:spacing w:after="0" w:line="360" w:lineRule="auto"/>
        <w:rPr>
          <w:rFonts w:ascii="Calibri" w:hAnsi="Calibri" w:cs="Calibri"/>
          <w:sz w:val="22"/>
          <w:szCs w:val="22"/>
        </w:rPr>
      </w:pPr>
      <w:r w:rsidRPr="00F961B1">
        <w:rPr>
          <w:rFonts w:ascii="Calibri" w:hAnsi="Calibri" w:cs="Calibri"/>
          <w:b/>
          <w:bCs/>
          <w:sz w:val="22"/>
          <w:szCs w:val="22"/>
        </w:rPr>
        <w:t xml:space="preserve">Authors: </w:t>
      </w:r>
      <w:r w:rsidR="00034844" w:rsidRPr="00F961B1">
        <w:rPr>
          <w:rFonts w:ascii="Calibri" w:hAnsi="Calibri" w:cs="Calibri"/>
          <w:sz w:val="22"/>
          <w:szCs w:val="22"/>
        </w:rPr>
        <w:t xml:space="preserve">Manion, Kathleen, Professor, </w:t>
      </w:r>
      <w:hyperlink r:id="rId5" w:history="1">
        <w:r w:rsidR="00034844" w:rsidRPr="00F961B1">
          <w:rPr>
            <w:rStyle w:val="Hyperlink"/>
            <w:rFonts w:ascii="Calibri" w:hAnsi="Calibri" w:cs="Calibri"/>
            <w:sz w:val="22"/>
            <w:szCs w:val="22"/>
          </w:rPr>
          <w:t>Kathleen.manion@royalroads.ca</w:t>
        </w:r>
      </w:hyperlink>
      <w:r w:rsidR="00034844" w:rsidRPr="00F961B1">
        <w:rPr>
          <w:rFonts w:ascii="Calibri" w:hAnsi="Calibri" w:cs="Calibri"/>
          <w:sz w:val="22"/>
          <w:szCs w:val="22"/>
        </w:rPr>
        <w:t>, Faculty of Interdisciplinary Study</w:t>
      </w:r>
    </w:p>
    <w:p w14:paraId="216AE3F3" w14:textId="77777777" w:rsidR="00034844" w:rsidRPr="00F961B1" w:rsidRDefault="00034844" w:rsidP="00CC2C16">
      <w:pPr>
        <w:spacing w:after="0" w:line="360" w:lineRule="auto"/>
        <w:rPr>
          <w:rFonts w:ascii="Calibri" w:hAnsi="Calibri" w:cs="Calibri"/>
          <w:sz w:val="22"/>
          <w:szCs w:val="22"/>
        </w:rPr>
      </w:pPr>
      <w:r w:rsidRPr="00F961B1">
        <w:rPr>
          <w:rFonts w:ascii="Calibri" w:hAnsi="Calibri" w:cs="Calibri"/>
          <w:sz w:val="22"/>
          <w:szCs w:val="22"/>
        </w:rPr>
        <w:t>Childs, Elizabeth, Professor, Faculty of Interdisciplinary Study</w:t>
      </w:r>
    </w:p>
    <w:p w14:paraId="10FF6100" w14:textId="77777777" w:rsidR="006C540B" w:rsidRPr="00F961B1" w:rsidRDefault="00034844" w:rsidP="00CC2C16">
      <w:pPr>
        <w:spacing w:after="0" w:line="360" w:lineRule="auto"/>
        <w:rPr>
          <w:rFonts w:ascii="Calibri" w:hAnsi="Calibri" w:cs="Calibri"/>
          <w:b/>
          <w:bCs/>
          <w:sz w:val="22"/>
          <w:szCs w:val="22"/>
        </w:rPr>
      </w:pPr>
      <w:r w:rsidRPr="00F961B1">
        <w:rPr>
          <w:rFonts w:ascii="Calibri" w:hAnsi="Calibri" w:cs="Calibri"/>
          <w:b/>
          <w:bCs/>
          <w:sz w:val="22"/>
          <w:szCs w:val="22"/>
        </w:rPr>
        <w:t>Title (up to 15 words)</w:t>
      </w:r>
      <w:r w:rsidR="006C540B" w:rsidRPr="00F961B1">
        <w:rPr>
          <w:rFonts w:ascii="Calibri" w:hAnsi="Calibri" w:cs="Calibri"/>
          <w:b/>
          <w:bCs/>
          <w:sz w:val="22"/>
          <w:szCs w:val="22"/>
        </w:rPr>
        <w:t xml:space="preserve">: </w:t>
      </w:r>
      <w:r w:rsidR="006C540B" w:rsidRPr="00F961B1">
        <w:rPr>
          <w:rFonts w:ascii="Calibri" w:hAnsi="Calibri" w:cs="Calibri"/>
          <w:sz w:val="22"/>
          <w:szCs w:val="22"/>
        </w:rPr>
        <w:t>Designing Inclusive Classrooms: A Participatory Approach to Supporting Student Well-Being and Belonging</w:t>
      </w:r>
    </w:p>
    <w:p w14:paraId="4CAF80CE" w14:textId="29731D99" w:rsidR="00034844" w:rsidRPr="00F961B1" w:rsidRDefault="00034844" w:rsidP="00CC2C16">
      <w:pPr>
        <w:spacing w:after="0" w:line="360" w:lineRule="auto"/>
        <w:rPr>
          <w:rFonts w:ascii="Calibri" w:hAnsi="Calibri" w:cs="Calibri"/>
          <w:sz w:val="22"/>
          <w:szCs w:val="22"/>
        </w:rPr>
      </w:pPr>
      <w:r w:rsidRPr="00F961B1">
        <w:rPr>
          <w:rFonts w:ascii="Calibri" w:hAnsi="Calibri" w:cs="Calibri"/>
          <w:b/>
          <w:bCs/>
          <w:sz w:val="22"/>
          <w:szCs w:val="22"/>
        </w:rPr>
        <w:t>Theme:</w:t>
      </w:r>
      <w:r w:rsidR="0089036F" w:rsidRPr="00F961B1">
        <w:rPr>
          <w:rFonts w:ascii="Calibri" w:hAnsi="Calibri" w:cs="Calibri"/>
          <w:b/>
          <w:bCs/>
          <w:sz w:val="22"/>
          <w:szCs w:val="22"/>
        </w:rPr>
        <w:t xml:space="preserve"> </w:t>
      </w:r>
      <w:r w:rsidR="0089036F" w:rsidRPr="00F961B1">
        <w:rPr>
          <w:rFonts w:ascii="Calibri" w:hAnsi="Calibri" w:cs="Calibri"/>
          <w:sz w:val="22"/>
          <w:szCs w:val="22"/>
        </w:rPr>
        <w:t>Navigating the Future</w:t>
      </w:r>
    </w:p>
    <w:p w14:paraId="5DC45F14" w14:textId="21BD0C92" w:rsidR="0089036F" w:rsidRPr="00F961B1" w:rsidRDefault="0089036F" w:rsidP="00CC2C16">
      <w:pPr>
        <w:spacing w:after="0" w:line="360" w:lineRule="auto"/>
        <w:rPr>
          <w:rFonts w:ascii="Calibri" w:hAnsi="Calibri" w:cs="Calibri"/>
          <w:sz w:val="22"/>
          <w:szCs w:val="22"/>
        </w:rPr>
      </w:pPr>
      <w:r w:rsidRPr="00F961B1">
        <w:rPr>
          <w:rFonts w:ascii="Calibri" w:hAnsi="Calibri" w:cs="Calibri"/>
          <w:b/>
          <w:bCs/>
          <w:sz w:val="22"/>
          <w:szCs w:val="22"/>
        </w:rPr>
        <w:t xml:space="preserve">Sub-Theme: </w:t>
      </w:r>
      <w:r w:rsidRPr="00F961B1">
        <w:rPr>
          <w:rFonts w:ascii="Calibri" w:hAnsi="Calibri" w:cs="Calibri"/>
          <w:sz w:val="22"/>
          <w:szCs w:val="22"/>
        </w:rPr>
        <w:t xml:space="preserve">Well-being – </w:t>
      </w:r>
      <w:proofErr w:type="spellStart"/>
      <w:r w:rsidRPr="00F961B1">
        <w:rPr>
          <w:rFonts w:ascii="Calibri" w:hAnsi="Calibri" w:cs="Calibri"/>
          <w:sz w:val="22"/>
          <w:szCs w:val="22"/>
        </w:rPr>
        <w:t>Matariki</w:t>
      </w:r>
      <w:proofErr w:type="spellEnd"/>
      <w:r w:rsidRPr="00F961B1">
        <w:rPr>
          <w:rFonts w:ascii="Calibri" w:hAnsi="Calibri" w:cs="Calibri"/>
          <w:sz w:val="22"/>
          <w:szCs w:val="22"/>
        </w:rPr>
        <w:t xml:space="preserve"> (Mental Health and Resilience; Work-Life Balance and Wānanga (Learning); Holistic Organisational, or Personal Wellness.)</w:t>
      </w:r>
    </w:p>
    <w:p w14:paraId="03ED4F88" w14:textId="77777777" w:rsidR="00034844" w:rsidRPr="00F961B1" w:rsidRDefault="00034844" w:rsidP="00CC2C16">
      <w:pPr>
        <w:spacing w:after="0" w:line="360" w:lineRule="auto"/>
        <w:rPr>
          <w:rFonts w:ascii="Calibri" w:hAnsi="Calibri" w:cs="Calibri"/>
          <w:sz w:val="22"/>
          <w:szCs w:val="22"/>
        </w:rPr>
      </w:pPr>
      <w:r w:rsidRPr="00F961B1">
        <w:rPr>
          <w:rFonts w:ascii="Calibri" w:hAnsi="Calibri" w:cs="Calibri"/>
          <w:b/>
          <w:bCs/>
          <w:sz w:val="22"/>
          <w:szCs w:val="22"/>
        </w:rPr>
        <w:t>Language:</w:t>
      </w:r>
      <w:r w:rsidRPr="00F961B1">
        <w:rPr>
          <w:rFonts w:ascii="Calibri" w:hAnsi="Calibri" w:cs="Calibri"/>
          <w:sz w:val="22"/>
          <w:szCs w:val="22"/>
        </w:rPr>
        <w:t xml:space="preserve"> English</w:t>
      </w:r>
    </w:p>
    <w:p w14:paraId="4210CF13" w14:textId="77777777" w:rsidR="00034844" w:rsidRPr="00F961B1" w:rsidRDefault="00034844" w:rsidP="00CC2C16">
      <w:pPr>
        <w:spacing w:after="0" w:line="360" w:lineRule="auto"/>
        <w:rPr>
          <w:rFonts w:ascii="Calibri" w:hAnsi="Calibri" w:cs="Calibri"/>
          <w:b/>
          <w:bCs/>
          <w:sz w:val="22"/>
          <w:szCs w:val="22"/>
        </w:rPr>
      </w:pPr>
      <w:r w:rsidRPr="00F961B1">
        <w:rPr>
          <w:rFonts w:ascii="Calibri" w:hAnsi="Calibri" w:cs="Calibri"/>
          <w:b/>
          <w:bCs/>
          <w:sz w:val="22"/>
          <w:szCs w:val="22"/>
        </w:rPr>
        <w:t>Abstract (up to 600 words)</w:t>
      </w:r>
    </w:p>
    <w:p w14:paraId="1106B00A"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b/>
          <w:bCs/>
          <w:sz w:val="22"/>
          <w:szCs w:val="22"/>
        </w:rPr>
        <w:t>Introduction</w:t>
      </w:r>
    </w:p>
    <w:p w14:paraId="489C3098"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sz w:val="22"/>
          <w:szCs w:val="22"/>
        </w:rPr>
        <w:t xml:space="preserve">Student belonging has emerged as a critical determinant of academic success and mental health outcomes for school-aged children, yet educators often lack practical, evidence-based tools to foster genuinely inclusive classroom environments (Allen et al., 2024; Kapil &amp; Hadwin, 2026; Brown et al., 2025). While ministries across Canada increasingly mandate equity and inclusion initiatives, school personnel report insufficient resources to enact these priorities effectively (MacCormack et al., 2021; </w:t>
      </w:r>
      <w:proofErr w:type="spellStart"/>
      <w:r w:rsidRPr="00666B66">
        <w:rPr>
          <w:rFonts w:ascii="Calibri" w:hAnsi="Calibri" w:cs="Calibri"/>
          <w:sz w:val="22"/>
          <w:szCs w:val="22"/>
        </w:rPr>
        <w:t>Voutier</w:t>
      </w:r>
      <w:proofErr w:type="spellEnd"/>
      <w:r w:rsidRPr="00666B66">
        <w:rPr>
          <w:rFonts w:ascii="Calibri" w:hAnsi="Calibri" w:cs="Calibri"/>
          <w:sz w:val="22"/>
          <w:szCs w:val="22"/>
        </w:rPr>
        <w:t>, 2025). Experiences of marginalization, microaggressions, and cultural invalidation in educational settings demonstrably affect student trust, engagement, and psychological health (Gyan et al., 2024).</w:t>
      </w:r>
    </w:p>
    <w:p w14:paraId="65BE3E2D"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b/>
          <w:bCs/>
          <w:sz w:val="22"/>
          <w:szCs w:val="22"/>
        </w:rPr>
        <w:t>Objectives</w:t>
      </w:r>
    </w:p>
    <w:p w14:paraId="4E642FA5"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sz w:val="22"/>
          <w:szCs w:val="22"/>
        </w:rPr>
        <w:t>This paper presents findings from a participatory action research project that inverts traditional program development by positioning educators as co-designers of inclusion strategies, rather than passive recipients of externally developed curricula. The study aims to identify practical design principles for inclusive classroom tools and to model a collaborative approach to resource development that can be adopted across diverse school contexts. A secondary goal is to explore how school counsellors might contribute to building school cultures where every learner experiences a genuine sense of belonging.</w:t>
      </w:r>
    </w:p>
    <w:p w14:paraId="20A01117"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b/>
          <w:bCs/>
          <w:sz w:val="22"/>
          <w:szCs w:val="22"/>
        </w:rPr>
        <w:t>Theoretical Basis</w:t>
      </w:r>
    </w:p>
    <w:p w14:paraId="37BC51EF"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sz w:val="22"/>
          <w:szCs w:val="22"/>
        </w:rPr>
        <w:t>The study is grounded in constructivist participatory action research (Adams, 2006; Cunliffe, 2008) and draws on inclusive and critical pedagogy frameworks (</w:t>
      </w:r>
      <w:proofErr w:type="spellStart"/>
      <w:r w:rsidRPr="00666B66">
        <w:rPr>
          <w:rFonts w:ascii="Calibri" w:hAnsi="Calibri" w:cs="Calibri"/>
          <w:sz w:val="22"/>
          <w:szCs w:val="22"/>
        </w:rPr>
        <w:t>Liasidou</w:t>
      </w:r>
      <w:proofErr w:type="spellEnd"/>
      <w:r w:rsidRPr="00666B66">
        <w:rPr>
          <w:rFonts w:ascii="Calibri" w:hAnsi="Calibri" w:cs="Calibri"/>
          <w:sz w:val="22"/>
          <w:szCs w:val="22"/>
        </w:rPr>
        <w:t xml:space="preserve">, 2012; </w:t>
      </w:r>
      <w:proofErr w:type="spellStart"/>
      <w:r w:rsidRPr="00666B66">
        <w:rPr>
          <w:rFonts w:ascii="Calibri" w:hAnsi="Calibri" w:cs="Calibri"/>
          <w:sz w:val="22"/>
          <w:szCs w:val="22"/>
        </w:rPr>
        <w:t>Cibukcu</w:t>
      </w:r>
      <w:proofErr w:type="spellEnd"/>
      <w:r w:rsidRPr="00666B66">
        <w:rPr>
          <w:rFonts w:ascii="Calibri" w:hAnsi="Calibri" w:cs="Calibri"/>
          <w:sz w:val="22"/>
          <w:szCs w:val="22"/>
        </w:rPr>
        <w:t>, 2025). Participants are treated as co-researchers who actively shape both the inquiry and its practical applications. This approach responds to evidence that resistance to diversity initiatives often stems from implementation approaches rather than underlying values, suggesting that educator-generated strategies may achieve greater adoption and sustainability than top-down mandates.</w:t>
      </w:r>
    </w:p>
    <w:p w14:paraId="6C76E06C"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b/>
          <w:bCs/>
          <w:sz w:val="22"/>
          <w:szCs w:val="22"/>
        </w:rPr>
        <w:lastRenderedPageBreak/>
        <w:t>Methodology</w:t>
      </w:r>
    </w:p>
    <w:p w14:paraId="278C7F54"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sz w:val="22"/>
          <w:szCs w:val="22"/>
        </w:rPr>
        <w:t>Through a partnership between Royal Roads University and the WITS Foundation (Walk Away, Ignore, Talk it out, Seek Help), design conversations were conducted with over fifty educators and administrators across urban, rural, and remote settings in British Columbia, Ontario, and Alberta. These sessions were structured to centre participant expertise, inviting educators to co-define what effective, feasible inclusion tools look like in their specific contexts.</w:t>
      </w:r>
    </w:p>
    <w:p w14:paraId="4083ED52"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b/>
          <w:bCs/>
          <w:sz w:val="22"/>
          <w:szCs w:val="22"/>
        </w:rPr>
        <w:t>Results</w:t>
      </w:r>
    </w:p>
    <w:p w14:paraId="20342D32"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sz w:val="22"/>
          <w:szCs w:val="22"/>
        </w:rPr>
        <w:t xml:space="preserve">Seven design principles for inclusive classroom tools emerged from the design conversations: prioritizing customization and flexibility; ensuring ease of use and time efficiency; providing comprehensive and diverse formats; integrating research-backed and </w:t>
      </w:r>
      <w:proofErr w:type="spellStart"/>
      <w:r w:rsidRPr="00666B66">
        <w:rPr>
          <w:rFonts w:ascii="Calibri" w:hAnsi="Calibri" w:cs="Calibri"/>
          <w:sz w:val="22"/>
          <w:szCs w:val="22"/>
        </w:rPr>
        <w:t>curricularly</w:t>
      </w:r>
      <w:proofErr w:type="spellEnd"/>
      <w:r w:rsidRPr="00666B66">
        <w:rPr>
          <w:rFonts w:ascii="Calibri" w:hAnsi="Calibri" w:cs="Calibri"/>
          <w:sz w:val="22"/>
          <w:szCs w:val="22"/>
        </w:rPr>
        <w:t xml:space="preserve"> aligned content; fostering student independence and engagement; promoting peer learning with exemplars; and leveraging existing resources and community partnerships. Preliminary findings suggest that effective inclusion tools must balance research validity with practical accessibility, acknowledging the time constraints educators face while addressing the complex skills required to honour intersectional identities.</w:t>
      </w:r>
    </w:p>
    <w:p w14:paraId="5410CECE"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b/>
          <w:bCs/>
          <w:sz w:val="22"/>
          <w:szCs w:val="22"/>
        </w:rPr>
        <w:t>Conclusions</w:t>
      </w:r>
    </w:p>
    <w:p w14:paraId="23DAA8FA" w14:textId="77777777" w:rsidR="00666B66" w:rsidRPr="00666B66" w:rsidRDefault="00666B66" w:rsidP="00666B66">
      <w:pPr>
        <w:spacing w:after="0" w:line="360" w:lineRule="auto"/>
        <w:rPr>
          <w:rFonts w:ascii="Calibri" w:hAnsi="Calibri" w:cs="Calibri"/>
          <w:sz w:val="22"/>
          <w:szCs w:val="22"/>
        </w:rPr>
      </w:pPr>
      <w:r w:rsidRPr="00666B66">
        <w:rPr>
          <w:rFonts w:ascii="Calibri" w:hAnsi="Calibri" w:cs="Calibri"/>
          <w:sz w:val="22"/>
          <w:szCs w:val="22"/>
        </w:rPr>
        <w:t>This research offers school counsellors two contributions. First, it provides design principles for classroom-level supports that educators themselves identify as most needed and feasible. Second, it models a collaborative approach to resource development that counsellors might adapt when working alongside teaching colleagues to address well-being holistically across school communities. Next phases of the project will involve student and community co-design. We invite discussion of how counselling professionals might contribute to building school cultures where every learner matters equally.</w:t>
      </w:r>
    </w:p>
    <w:p w14:paraId="553A0965" w14:textId="77777777" w:rsidR="0000733A" w:rsidRPr="00F961B1" w:rsidRDefault="0000733A" w:rsidP="00CC2C16">
      <w:pPr>
        <w:spacing w:after="0" w:line="360" w:lineRule="auto"/>
        <w:rPr>
          <w:rFonts w:ascii="Calibri" w:hAnsi="Calibri" w:cs="Calibri"/>
          <w:b/>
          <w:bCs/>
          <w:sz w:val="22"/>
          <w:szCs w:val="22"/>
        </w:rPr>
      </w:pPr>
    </w:p>
    <w:p w14:paraId="19E4EE5C" w14:textId="77777777" w:rsidR="00034844" w:rsidRPr="00F961B1" w:rsidRDefault="00034844" w:rsidP="00CC2C16">
      <w:pPr>
        <w:spacing w:after="0" w:line="360" w:lineRule="auto"/>
        <w:rPr>
          <w:rFonts w:ascii="Calibri" w:hAnsi="Calibri" w:cs="Calibri"/>
          <w:b/>
          <w:bCs/>
          <w:sz w:val="22"/>
          <w:szCs w:val="22"/>
        </w:rPr>
      </w:pPr>
      <w:r w:rsidRPr="00F961B1">
        <w:rPr>
          <w:rFonts w:ascii="Calibri" w:hAnsi="Calibri" w:cs="Calibri"/>
          <w:b/>
          <w:bCs/>
          <w:sz w:val="22"/>
          <w:szCs w:val="22"/>
        </w:rPr>
        <w:t>Keyword (3-5)</w:t>
      </w:r>
    </w:p>
    <w:p w14:paraId="01917ACF" w14:textId="1D37C8B9" w:rsidR="00B34003" w:rsidRPr="00F961B1" w:rsidRDefault="00B34003" w:rsidP="00CC2C16">
      <w:pPr>
        <w:tabs>
          <w:tab w:val="num" w:pos="720"/>
        </w:tabs>
        <w:spacing w:after="0" w:line="360" w:lineRule="auto"/>
        <w:rPr>
          <w:rFonts w:ascii="Calibri" w:hAnsi="Calibri" w:cs="Calibri"/>
          <w:sz w:val="22"/>
          <w:szCs w:val="22"/>
        </w:rPr>
      </w:pPr>
      <w:r w:rsidRPr="00F961B1">
        <w:rPr>
          <w:rFonts w:ascii="Calibri" w:hAnsi="Calibri" w:cs="Calibri"/>
          <w:sz w:val="22"/>
          <w:szCs w:val="22"/>
        </w:rPr>
        <w:t>Student belonging, inclusion strategies, participatory action research, educator co</w:t>
      </w:r>
      <w:r w:rsidRPr="00F961B1">
        <w:rPr>
          <w:rFonts w:ascii="Calibri" w:hAnsi="Calibri" w:cs="Calibri"/>
          <w:sz w:val="22"/>
          <w:szCs w:val="22"/>
        </w:rPr>
        <w:noBreakHyphen/>
        <w:t>design</w:t>
      </w:r>
    </w:p>
    <w:p w14:paraId="60F1A963" w14:textId="77777777" w:rsidR="00B34003" w:rsidRPr="00F961B1" w:rsidRDefault="00B34003" w:rsidP="00CC2C16">
      <w:pPr>
        <w:spacing w:after="0" w:line="360" w:lineRule="auto"/>
        <w:rPr>
          <w:rFonts w:ascii="Calibri" w:hAnsi="Calibri" w:cs="Calibri"/>
          <w:b/>
          <w:bCs/>
          <w:sz w:val="22"/>
          <w:szCs w:val="22"/>
        </w:rPr>
      </w:pPr>
    </w:p>
    <w:p w14:paraId="7E990CD2" w14:textId="77777777" w:rsidR="00034844" w:rsidRPr="00F961B1" w:rsidRDefault="00034844" w:rsidP="00CC2C16">
      <w:pPr>
        <w:spacing w:after="0" w:line="360" w:lineRule="auto"/>
        <w:rPr>
          <w:rFonts w:ascii="Calibri" w:hAnsi="Calibri" w:cs="Calibri"/>
          <w:b/>
          <w:bCs/>
          <w:sz w:val="22"/>
          <w:szCs w:val="22"/>
        </w:rPr>
      </w:pPr>
      <w:r w:rsidRPr="00F961B1">
        <w:rPr>
          <w:rFonts w:ascii="Calibri" w:hAnsi="Calibri" w:cs="Calibri"/>
          <w:b/>
          <w:bCs/>
          <w:sz w:val="22"/>
          <w:szCs w:val="22"/>
        </w:rPr>
        <w:t>References</w:t>
      </w:r>
    </w:p>
    <w:p w14:paraId="0A6A2715" w14:textId="77777777" w:rsidR="005736DA" w:rsidRPr="00F961B1" w:rsidRDefault="005736DA" w:rsidP="00CC2C16">
      <w:pPr>
        <w:spacing w:after="0" w:line="360" w:lineRule="auto"/>
        <w:ind w:left="720" w:hanging="720"/>
        <w:rPr>
          <w:rFonts w:ascii="Calibri" w:eastAsia="Times New Roman" w:hAnsi="Calibri" w:cs="Calibri"/>
          <w:color w:val="000000"/>
          <w:sz w:val="22"/>
          <w:szCs w:val="22"/>
        </w:rPr>
      </w:pPr>
      <w:r w:rsidRPr="00F961B1">
        <w:rPr>
          <w:rFonts w:ascii="Calibri" w:eastAsia="Times New Roman" w:hAnsi="Calibri" w:cs="Calibri"/>
          <w:color w:val="333333"/>
          <w:sz w:val="22"/>
          <w:szCs w:val="22"/>
          <w:highlight w:val="white"/>
        </w:rPr>
        <w:t>Adams, P. (2006). Exploring social constructivism: theories and practicalities, Education 3-13, 34:3, 243-257, DOI: </w:t>
      </w:r>
      <w:hyperlink r:id="rId6">
        <w:r w:rsidRPr="00F961B1">
          <w:rPr>
            <w:rFonts w:ascii="Calibri" w:eastAsia="Times New Roman" w:hAnsi="Calibri" w:cs="Calibri"/>
            <w:color w:val="333333"/>
            <w:sz w:val="22"/>
            <w:szCs w:val="22"/>
            <w:highlight w:val="white"/>
            <w:u w:val="single"/>
          </w:rPr>
          <w:t>10.1080/03004270600898893</w:t>
        </w:r>
      </w:hyperlink>
    </w:p>
    <w:p w14:paraId="6EE572C4" w14:textId="1327CE98" w:rsidR="008B0DF8" w:rsidRPr="00F961B1" w:rsidRDefault="008B0DF8" w:rsidP="00CC2C16">
      <w:pPr>
        <w:spacing w:after="0" w:line="360" w:lineRule="auto"/>
        <w:ind w:left="567" w:hanging="567"/>
        <w:rPr>
          <w:rFonts w:ascii="Calibri" w:hAnsi="Calibri" w:cs="Calibri"/>
          <w:sz w:val="22"/>
          <w:szCs w:val="22"/>
        </w:rPr>
      </w:pPr>
      <w:r w:rsidRPr="00F961B1">
        <w:rPr>
          <w:rFonts w:ascii="Calibri" w:hAnsi="Calibri" w:cs="Calibri"/>
          <w:sz w:val="22"/>
          <w:szCs w:val="22"/>
        </w:rPr>
        <w:t xml:space="preserve">Allen, K.-A., Kern, M. L., Slaten, C., D’Argenio, E., Arslan, G., &amp; Reardon, J. (2024). </w:t>
      </w:r>
      <w:r w:rsidRPr="00F961B1">
        <w:rPr>
          <w:rFonts w:ascii="Calibri" w:hAnsi="Calibri" w:cs="Calibri"/>
          <w:i/>
          <w:iCs/>
          <w:sz w:val="22"/>
          <w:szCs w:val="22"/>
        </w:rPr>
        <w:t>Student belonging in focus: Bridging research, theory, and practice with contextual relevance to enhance well-being and academic outcomes.</w:t>
      </w:r>
      <w:r w:rsidRPr="00F961B1">
        <w:rPr>
          <w:rFonts w:ascii="Calibri" w:hAnsi="Calibri" w:cs="Calibri"/>
          <w:sz w:val="22"/>
          <w:szCs w:val="22"/>
        </w:rPr>
        <w:t xml:space="preserve"> In G. Arslan &amp; M. Yıldırım (Eds.), </w:t>
      </w:r>
      <w:r w:rsidRPr="00F961B1">
        <w:rPr>
          <w:rFonts w:ascii="Calibri" w:hAnsi="Calibri" w:cs="Calibri"/>
          <w:i/>
          <w:iCs/>
          <w:sz w:val="22"/>
          <w:szCs w:val="22"/>
        </w:rPr>
        <w:t xml:space="preserve">Handbook of positive school psychology: </w:t>
      </w:r>
      <w:r w:rsidRPr="00F961B1">
        <w:rPr>
          <w:rFonts w:ascii="Calibri" w:hAnsi="Calibri" w:cs="Calibri"/>
          <w:i/>
          <w:iCs/>
          <w:sz w:val="22"/>
          <w:szCs w:val="22"/>
        </w:rPr>
        <w:lastRenderedPageBreak/>
        <w:t>Evidence-based strategies for youth well-being</w:t>
      </w:r>
      <w:r w:rsidRPr="00F961B1">
        <w:rPr>
          <w:rFonts w:ascii="Calibri" w:hAnsi="Calibri" w:cs="Calibri"/>
          <w:sz w:val="22"/>
          <w:szCs w:val="22"/>
        </w:rPr>
        <w:t xml:space="preserve"> (pp. 55–71). Springer Nature Switzerland AG. </w:t>
      </w:r>
      <w:hyperlink r:id="rId7" w:tgtFrame="_blank" w:tooltip="doi.org" w:history="1">
        <w:r w:rsidRPr="00F961B1">
          <w:rPr>
            <w:rStyle w:val="Hyperlink"/>
            <w:rFonts w:ascii="Calibri" w:hAnsi="Calibri" w:cs="Calibri"/>
            <w:sz w:val="22"/>
            <w:szCs w:val="22"/>
          </w:rPr>
          <w:t>https://doi.org/10.1007/978-3-031-54295-4_5</w:t>
        </w:r>
      </w:hyperlink>
    </w:p>
    <w:p w14:paraId="7132EE80" w14:textId="1C226766" w:rsidR="008B0DF8" w:rsidRPr="00F961B1" w:rsidRDefault="008B0DF8" w:rsidP="00CC2C16">
      <w:pPr>
        <w:spacing w:after="0" w:line="360" w:lineRule="auto"/>
        <w:ind w:left="567" w:hanging="567"/>
        <w:rPr>
          <w:rFonts w:ascii="Calibri" w:hAnsi="Calibri" w:cs="Calibri"/>
          <w:sz w:val="22"/>
          <w:szCs w:val="22"/>
        </w:rPr>
      </w:pPr>
      <w:r w:rsidRPr="00F961B1">
        <w:rPr>
          <w:rFonts w:ascii="Calibri" w:hAnsi="Calibri" w:cs="Calibri"/>
          <w:sz w:val="22"/>
          <w:szCs w:val="22"/>
        </w:rPr>
        <w:t xml:space="preserve">Brown, C., Douthwaite, A., Donnelly, M., &amp; Olaniyan, Y. D. (2025). </w:t>
      </w:r>
      <w:r w:rsidRPr="00F961B1">
        <w:rPr>
          <w:rFonts w:ascii="Calibri" w:hAnsi="Calibri" w:cs="Calibri"/>
          <w:i/>
          <w:iCs/>
          <w:sz w:val="22"/>
          <w:szCs w:val="22"/>
        </w:rPr>
        <w:t>Resilience through belonging: Schools’ role in promoting the mental health and well-being of children and young people.</w:t>
      </w:r>
      <w:r w:rsidRPr="00F961B1">
        <w:rPr>
          <w:rFonts w:ascii="Calibri" w:hAnsi="Calibri" w:cs="Calibri"/>
          <w:sz w:val="22"/>
          <w:szCs w:val="22"/>
        </w:rPr>
        <w:t xml:space="preserve"> Behavioral Sciences, 15(10), 1421. </w:t>
      </w:r>
      <w:hyperlink r:id="rId8" w:tgtFrame="_blank" w:tooltip="doi.org" w:history="1">
        <w:r w:rsidRPr="00F961B1">
          <w:rPr>
            <w:rStyle w:val="Hyperlink"/>
            <w:rFonts w:ascii="Calibri" w:hAnsi="Calibri" w:cs="Calibri"/>
            <w:sz w:val="22"/>
            <w:szCs w:val="22"/>
          </w:rPr>
          <w:t>https://doi.org/10.3390/bs15101421</w:t>
        </w:r>
      </w:hyperlink>
    </w:p>
    <w:p w14:paraId="4C554625" w14:textId="77777777" w:rsidR="004D5FE7" w:rsidRPr="00F961B1" w:rsidRDefault="004D5FE7" w:rsidP="00CC2C16">
      <w:pPr>
        <w:pStyle w:val="BodyText"/>
        <w:spacing w:line="360" w:lineRule="auto"/>
        <w:ind w:left="567" w:right="793" w:hanging="567"/>
        <w:rPr>
          <w:rFonts w:ascii="Calibri" w:hAnsi="Calibri" w:cs="Calibri"/>
          <w:sz w:val="22"/>
          <w:szCs w:val="22"/>
          <w:lang w:val="en-CA"/>
        </w:rPr>
      </w:pPr>
      <w:proofErr w:type="spellStart"/>
      <w:r w:rsidRPr="00F961B1">
        <w:rPr>
          <w:rFonts w:ascii="Calibri" w:hAnsi="Calibri" w:cs="Calibri"/>
          <w:sz w:val="22"/>
          <w:szCs w:val="22"/>
          <w:lang w:val="en-CA"/>
        </w:rPr>
        <w:t>Çibukçiu</w:t>
      </w:r>
      <w:proofErr w:type="spellEnd"/>
      <w:r w:rsidRPr="00F961B1">
        <w:rPr>
          <w:rFonts w:ascii="Calibri" w:hAnsi="Calibri" w:cs="Calibri"/>
          <w:sz w:val="22"/>
          <w:szCs w:val="22"/>
          <w:lang w:val="en-CA"/>
        </w:rPr>
        <w:t xml:space="preserve">, B. (2025). The relationship between constructivist approach and inclusive education in primary school. </w:t>
      </w:r>
      <w:r w:rsidRPr="00F961B1">
        <w:rPr>
          <w:rFonts w:ascii="Calibri" w:hAnsi="Calibri" w:cs="Calibri"/>
          <w:i/>
          <w:iCs/>
          <w:sz w:val="22"/>
          <w:szCs w:val="22"/>
          <w:lang w:val="en-CA"/>
        </w:rPr>
        <w:t>Frontiers in Education</w:t>
      </w:r>
      <w:r w:rsidRPr="00F961B1">
        <w:rPr>
          <w:rFonts w:ascii="Calibri" w:hAnsi="Calibri" w:cs="Calibri"/>
          <w:sz w:val="22"/>
          <w:szCs w:val="22"/>
          <w:lang w:val="en-CA"/>
        </w:rPr>
        <w:t xml:space="preserve">, </w:t>
      </w:r>
      <w:r w:rsidRPr="00F961B1">
        <w:rPr>
          <w:rFonts w:ascii="Calibri" w:hAnsi="Calibri" w:cs="Calibri"/>
          <w:i/>
          <w:iCs/>
          <w:sz w:val="22"/>
          <w:szCs w:val="22"/>
          <w:lang w:val="en-CA"/>
        </w:rPr>
        <w:t>10</w:t>
      </w:r>
      <w:r w:rsidRPr="00F961B1">
        <w:rPr>
          <w:rFonts w:ascii="Calibri" w:hAnsi="Calibri" w:cs="Calibri"/>
          <w:sz w:val="22"/>
          <w:szCs w:val="22"/>
          <w:lang w:val="en-CA"/>
        </w:rPr>
        <w:t>, 1600711. https://doi.org/10.3389/feduc.2025.1600711</w:t>
      </w:r>
    </w:p>
    <w:p w14:paraId="1D1F3383" w14:textId="77777777" w:rsidR="00875611" w:rsidRPr="00F961B1" w:rsidRDefault="00875611" w:rsidP="00CC2C16">
      <w:pPr>
        <w:pStyle w:val="BodyText"/>
        <w:spacing w:line="360" w:lineRule="auto"/>
        <w:ind w:left="567" w:right="793" w:hanging="567"/>
        <w:rPr>
          <w:rFonts w:ascii="Calibri" w:hAnsi="Calibri" w:cs="Calibri"/>
          <w:sz w:val="22"/>
          <w:szCs w:val="22"/>
          <w:lang w:val="en-CA"/>
        </w:rPr>
      </w:pPr>
      <w:proofErr w:type="spellStart"/>
      <w:r w:rsidRPr="00F961B1">
        <w:rPr>
          <w:rFonts w:ascii="Calibri" w:hAnsi="Calibri" w:cs="Calibri"/>
          <w:sz w:val="22"/>
          <w:szCs w:val="22"/>
          <w:lang w:val="en-CA"/>
        </w:rPr>
        <w:t>Çibukçiu</w:t>
      </w:r>
      <w:proofErr w:type="spellEnd"/>
      <w:r w:rsidRPr="00F961B1">
        <w:rPr>
          <w:rFonts w:ascii="Calibri" w:hAnsi="Calibri" w:cs="Calibri"/>
          <w:sz w:val="22"/>
          <w:szCs w:val="22"/>
          <w:lang w:val="en-CA"/>
        </w:rPr>
        <w:t xml:space="preserve">, B. (2025). The relationship between constructivist approach and inclusive education in primary school. </w:t>
      </w:r>
      <w:r w:rsidRPr="00F961B1">
        <w:rPr>
          <w:rFonts w:ascii="Calibri" w:hAnsi="Calibri" w:cs="Calibri"/>
          <w:i/>
          <w:iCs/>
          <w:sz w:val="22"/>
          <w:szCs w:val="22"/>
          <w:lang w:val="en-CA"/>
        </w:rPr>
        <w:t>Frontiers in Education</w:t>
      </w:r>
      <w:r w:rsidRPr="00F961B1">
        <w:rPr>
          <w:rFonts w:ascii="Calibri" w:hAnsi="Calibri" w:cs="Calibri"/>
          <w:sz w:val="22"/>
          <w:szCs w:val="22"/>
          <w:lang w:val="en-CA"/>
        </w:rPr>
        <w:t xml:space="preserve">, </w:t>
      </w:r>
      <w:r w:rsidRPr="00F961B1">
        <w:rPr>
          <w:rFonts w:ascii="Calibri" w:hAnsi="Calibri" w:cs="Calibri"/>
          <w:i/>
          <w:iCs/>
          <w:sz w:val="22"/>
          <w:szCs w:val="22"/>
          <w:lang w:val="en-CA"/>
        </w:rPr>
        <w:t>10</w:t>
      </w:r>
      <w:r w:rsidRPr="00F961B1">
        <w:rPr>
          <w:rFonts w:ascii="Calibri" w:hAnsi="Calibri" w:cs="Calibri"/>
          <w:sz w:val="22"/>
          <w:szCs w:val="22"/>
          <w:lang w:val="en-CA"/>
        </w:rPr>
        <w:t>, 1600711. https://doi.org/10.3389/feduc.2025.1600711</w:t>
      </w:r>
    </w:p>
    <w:p w14:paraId="41DF1AB7" w14:textId="326BA417" w:rsidR="00B41A4B" w:rsidRPr="00F961B1" w:rsidRDefault="00B41A4B" w:rsidP="00CC2C16">
      <w:pPr>
        <w:spacing w:after="0" w:line="360" w:lineRule="auto"/>
        <w:ind w:left="567" w:hanging="567"/>
        <w:rPr>
          <w:rFonts w:ascii="Calibri" w:hAnsi="Calibri" w:cs="Calibri"/>
          <w:sz w:val="22"/>
          <w:szCs w:val="22"/>
        </w:rPr>
      </w:pPr>
      <w:r w:rsidRPr="00F961B1">
        <w:rPr>
          <w:rFonts w:ascii="Calibri" w:hAnsi="Calibri" w:cs="Calibri"/>
          <w:sz w:val="22"/>
          <w:szCs w:val="22"/>
        </w:rPr>
        <w:t xml:space="preserve">Gyan, C., </w:t>
      </w:r>
      <w:proofErr w:type="spellStart"/>
      <w:r w:rsidRPr="00F961B1">
        <w:rPr>
          <w:rFonts w:ascii="Calibri" w:hAnsi="Calibri" w:cs="Calibri"/>
          <w:sz w:val="22"/>
          <w:szCs w:val="22"/>
        </w:rPr>
        <w:t>Baskh</w:t>
      </w:r>
      <w:proofErr w:type="spellEnd"/>
      <w:r w:rsidRPr="00F961B1">
        <w:rPr>
          <w:rFonts w:ascii="Calibri" w:hAnsi="Calibri" w:cs="Calibri"/>
          <w:sz w:val="22"/>
          <w:szCs w:val="22"/>
        </w:rPr>
        <w:t xml:space="preserve">, B., Song, W., &amp; Yeboah, A. S. (2024). “Withdrawal syndrome”: The effects of acts of microaggression in the classroom on racialized students. </w:t>
      </w:r>
      <w:r w:rsidRPr="00F961B1">
        <w:rPr>
          <w:rFonts w:ascii="Calibri" w:hAnsi="Calibri" w:cs="Calibri"/>
          <w:i/>
          <w:iCs/>
          <w:sz w:val="22"/>
          <w:szCs w:val="22"/>
        </w:rPr>
        <w:t>Applied Research in Quality of Life, 19</w:t>
      </w:r>
      <w:r w:rsidRPr="00F961B1">
        <w:rPr>
          <w:rFonts w:ascii="Calibri" w:hAnsi="Calibri" w:cs="Calibri"/>
          <w:sz w:val="22"/>
          <w:szCs w:val="22"/>
        </w:rPr>
        <w:t xml:space="preserve">, 3169–3187. </w:t>
      </w:r>
      <w:hyperlink r:id="rId9" w:tgtFrame="_blank" w:tooltip="doi.org" w:history="1">
        <w:r w:rsidRPr="00F961B1">
          <w:rPr>
            <w:rStyle w:val="Hyperlink"/>
            <w:rFonts w:ascii="Calibri" w:hAnsi="Calibri" w:cs="Calibri"/>
            <w:sz w:val="22"/>
            <w:szCs w:val="22"/>
          </w:rPr>
          <w:t>https://doi.org/10.1007/s11482-024-10373-2</w:t>
        </w:r>
      </w:hyperlink>
    </w:p>
    <w:p w14:paraId="0DE6FB54" w14:textId="2DA584A9" w:rsidR="00034844" w:rsidRPr="00F961B1" w:rsidRDefault="00E605A7" w:rsidP="00CC2C16">
      <w:pPr>
        <w:spacing w:after="0" w:line="360" w:lineRule="auto"/>
        <w:ind w:left="567" w:hanging="567"/>
        <w:rPr>
          <w:rFonts w:ascii="Calibri" w:hAnsi="Calibri" w:cs="Calibri"/>
          <w:sz w:val="22"/>
          <w:szCs w:val="22"/>
        </w:rPr>
      </w:pPr>
      <w:r w:rsidRPr="00F961B1">
        <w:rPr>
          <w:rFonts w:ascii="Calibri" w:hAnsi="Calibri" w:cs="Calibri"/>
          <w:sz w:val="22"/>
          <w:szCs w:val="22"/>
        </w:rPr>
        <w:t xml:space="preserve">Kapil, M., &amp; Hadwin, A. (2026). </w:t>
      </w:r>
      <w:r w:rsidRPr="00F961B1">
        <w:rPr>
          <w:rFonts w:ascii="Calibri" w:hAnsi="Calibri" w:cs="Calibri"/>
          <w:i/>
          <w:iCs/>
          <w:sz w:val="22"/>
          <w:szCs w:val="22"/>
        </w:rPr>
        <w:t>Setting the stage for learning and student success: An integrated framework linking stress, mental health, and self-regulated learning.</w:t>
      </w:r>
      <w:r w:rsidRPr="00F961B1">
        <w:rPr>
          <w:rFonts w:ascii="Calibri" w:hAnsi="Calibri" w:cs="Calibri"/>
          <w:sz w:val="22"/>
          <w:szCs w:val="22"/>
        </w:rPr>
        <w:t xml:space="preserve"> Frontiers in Education, 11. </w:t>
      </w:r>
      <w:hyperlink r:id="rId10" w:history="1">
        <w:r w:rsidR="0054068F" w:rsidRPr="00F961B1">
          <w:rPr>
            <w:rStyle w:val="Hyperlink"/>
            <w:rFonts w:ascii="Calibri" w:hAnsi="Calibri" w:cs="Calibri"/>
            <w:sz w:val="22"/>
            <w:szCs w:val="22"/>
          </w:rPr>
          <w:t>https://doi.org/10.3389/feduc.2026.1714552</w:t>
        </w:r>
      </w:hyperlink>
    </w:p>
    <w:p w14:paraId="3771C3F6" w14:textId="77777777" w:rsidR="00CC2C16" w:rsidRPr="00F961B1" w:rsidRDefault="00CC2C16" w:rsidP="00CC2C16">
      <w:pPr>
        <w:pStyle w:val="BodyText"/>
        <w:spacing w:line="360" w:lineRule="auto"/>
        <w:ind w:left="567" w:right="507" w:hanging="567"/>
        <w:rPr>
          <w:rFonts w:ascii="Calibri" w:hAnsi="Calibri" w:cs="Calibri"/>
          <w:sz w:val="22"/>
          <w:szCs w:val="22"/>
          <w:lang w:val="en-CA"/>
        </w:rPr>
      </w:pPr>
      <w:proofErr w:type="spellStart"/>
      <w:r w:rsidRPr="00F961B1">
        <w:rPr>
          <w:rFonts w:ascii="Calibri" w:hAnsi="Calibri" w:cs="Calibri"/>
          <w:sz w:val="22"/>
          <w:szCs w:val="22"/>
          <w:lang w:val="en-CA"/>
        </w:rPr>
        <w:t>Liasidou</w:t>
      </w:r>
      <w:proofErr w:type="spellEnd"/>
      <w:r w:rsidRPr="00F961B1">
        <w:rPr>
          <w:rFonts w:ascii="Calibri" w:hAnsi="Calibri" w:cs="Calibri"/>
          <w:sz w:val="22"/>
          <w:szCs w:val="22"/>
          <w:lang w:val="en-CA"/>
        </w:rPr>
        <w:t xml:space="preserve">, A. (2012). Inclusive Education and Critical Pedagogy at the Intersections of Disability, Race, Gender and Class. </w:t>
      </w:r>
      <w:r w:rsidRPr="00F961B1">
        <w:rPr>
          <w:rFonts w:ascii="Calibri" w:hAnsi="Calibri" w:cs="Calibri"/>
          <w:i/>
          <w:iCs/>
          <w:sz w:val="22"/>
          <w:szCs w:val="22"/>
          <w:lang w:val="en-CA"/>
        </w:rPr>
        <w:t>The Journal for Critical Education Policy Studies,</w:t>
      </w:r>
      <w:r w:rsidRPr="00F961B1">
        <w:rPr>
          <w:rFonts w:ascii="Calibri" w:hAnsi="Calibri" w:cs="Calibri"/>
          <w:sz w:val="22"/>
          <w:szCs w:val="22"/>
          <w:lang w:val="en-CA"/>
        </w:rPr>
        <w:t xml:space="preserve"> 10, 168-184.</w:t>
      </w:r>
    </w:p>
    <w:p w14:paraId="210FDA2C" w14:textId="34452213" w:rsidR="0054068F" w:rsidRPr="00F961B1" w:rsidRDefault="0054068F" w:rsidP="00CC2C16">
      <w:pPr>
        <w:spacing w:after="0" w:line="360" w:lineRule="auto"/>
        <w:ind w:left="567" w:hanging="567"/>
        <w:rPr>
          <w:rFonts w:ascii="Calibri" w:hAnsi="Calibri" w:cs="Calibri"/>
          <w:sz w:val="22"/>
          <w:szCs w:val="22"/>
        </w:rPr>
      </w:pPr>
      <w:r w:rsidRPr="00F961B1">
        <w:rPr>
          <w:rFonts w:ascii="Calibri" w:hAnsi="Calibri" w:cs="Calibri"/>
          <w:sz w:val="22"/>
          <w:szCs w:val="22"/>
        </w:rPr>
        <w:t xml:space="preserve">MacCormack, J. W. H., Sider, S., Maich, K., &amp; Specht, J. A. (2021). </w:t>
      </w:r>
      <w:r w:rsidRPr="00F961B1">
        <w:rPr>
          <w:rFonts w:ascii="Calibri" w:hAnsi="Calibri" w:cs="Calibri"/>
          <w:i/>
          <w:iCs/>
          <w:sz w:val="22"/>
          <w:szCs w:val="22"/>
        </w:rPr>
        <w:t>Self</w:t>
      </w:r>
      <w:r w:rsidRPr="00F961B1">
        <w:rPr>
          <w:rFonts w:ascii="Calibri" w:hAnsi="Calibri" w:cs="Calibri"/>
          <w:i/>
          <w:iCs/>
          <w:sz w:val="22"/>
          <w:szCs w:val="22"/>
        </w:rPr>
        <w:noBreakHyphen/>
        <w:t>Determination and Inclusion: The Role of Canadian Principals in Catalyzing Inclusive</w:t>
      </w:r>
      <w:r w:rsidRPr="00F961B1">
        <w:rPr>
          <w:rFonts w:ascii="Calibri" w:hAnsi="Calibri" w:cs="Calibri"/>
          <w:i/>
          <w:iCs/>
          <w:sz w:val="22"/>
          <w:szCs w:val="22"/>
        </w:rPr>
        <w:noBreakHyphen/>
        <w:t>Positive Practices.</w:t>
      </w:r>
      <w:r w:rsidRPr="00F961B1">
        <w:rPr>
          <w:rFonts w:ascii="Calibri" w:hAnsi="Calibri" w:cs="Calibri"/>
          <w:sz w:val="22"/>
          <w:szCs w:val="22"/>
        </w:rPr>
        <w:t xml:space="preserve"> International Journal of Education Policy &amp; Leadership, 17(2).</w:t>
      </w:r>
    </w:p>
    <w:p w14:paraId="59070F4D" w14:textId="567A6693" w:rsidR="002A192C" w:rsidRPr="00F961B1" w:rsidRDefault="002A192C" w:rsidP="00CC2C16">
      <w:pPr>
        <w:spacing w:after="0" w:line="360" w:lineRule="auto"/>
        <w:ind w:left="567" w:hanging="567"/>
        <w:rPr>
          <w:rFonts w:ascii="Calibri" w:hAnsi="Calibri" w:cs="Calibri"/>
          <w:sz w:val="22"/>
          <w:szCs w:val="22"/>
          <w:lang w:val="en-US"/>
        </w:rPr>
      </w:pPr>
      <w:proofErr w:type="spellStart"/>
      <w:r w:rsidRPr="00F961B1">
        <w:rPr>
          <w:rFonts w:ascii="Calibri" w:hAnsi="Calibri" w:cs="Calibri"/>
          <w:sz w:val="22"/>
          <w:szCs w:val="22"/>
        </w:rPr>
        <w:t>Voutier</w:t>
      </w:r>
      <w:proofErr w:type="spellEnd"/>
      <w:r w:rsidRPr="00F961B1">
        <w:rPr>
          <w:rFonts w:ascii="Calibri" w:hAnsi="Calibri" w:cs="Calibri"/>
          <w:sz w:val="22"/>
          <w:szCs w:val="22"/>
        </w:rPr>
        <w:t xml:space="preserve">, A. (2025). </w:t>
      </w:r>
      <w:r w:rsidRPr="00F961B1">
        <w:rPr>
          <w:rFonts w:ascii="Calibri" w:hAnsi="Calibri" w:cs="Calibri"/>
          <w:i/>
          <w:iCs/>
          <w:sz w:val="22"/>
          <w:szCs w:val="22"/>
        </w:rPr>
        <w:t>Developing Inclusive Schools: School Leaders’ Perspectives on Policy to Practice.</w:t>
      </w:r>
      <w:r w:rsidRPr="00F961B1">
        <w:rPr>
          <w:rFonts w:ascii="Calibri" w:hAnsi="Calibri" w:cs="Calibri"/>
          <w:sz w:val="22"/>
          <w:szCs w:val="22"/>
        </w:rPr>
        <w:t xml:space="preserve"> University of Manitoba (Doctoral dissertation)</w:t>
      </w:r>
    </w:p>
    <w:sectPr w:rsidR="002A192C" w:rsidRPr="00F96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E7BB5"/>
    <w:multiLevelType w:val="multilevel"/>
    <w:tmpl w:val="455A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7638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DB4"/>
    <w:rsid w:val="0000733A"/>
    <w:rsid w:val="00034844"/>
    <w:rsid w:val="00163C94"/>
    <w:rsid w:val="001F15C9"/>
    <w:rsid w:val="002669C2"/>
    <w:rsid w:val="002A192C"/>
    <w:rsid w:val="00312245"/>
    <w:rsid w:val="003A2755"/>
    <w:rsid w:val="00406969"/>
    <w:rsid w:val="00410569"/>
    <w:rsid w:val="004C23FD"/>
    <w:rsid w:val="004D5FE7"/>
    <w:rsid w:val="00523EB6"/>
    <w:rsid w:val="00536EBE"/>
    <w:rsid w:val="0054068F"/>
    <w:rsid w:val="005736DA"/>
    <w:rsid w:val="00594DB4"/>
    <w:rsid w:val="00666B66"/>
    <w:rsid w:val="006B1E7D"/>
    <w:rsid w:val="006C540B"/>
    <w:rsid w:val="00763BBB"/>
    <w:rsid w:val="008234CF"/>
    <w:rsid w:val="008702A5"/>
    <w:rsid w:val="00875611"/>
    <w:rsid w:val="00884491"/>
    <w:rsid w:val="0089036F"/>
    <w:rsid w:val="008937F7"/>
    <w:rsid w:val="008B0DF8"/>
    <w:rsid w:val="008D3BF6"/>
    <w:rsid w:val="008D791E"/>
    <w:rsid w:val="009B4DD9"/>
    <w:rsid w:val="00A864F7"/>
    <w:rsid w:val="00B22A29"/>
    <w:rsid w:val="00B34003"/>
    <w:rsid w:val="00B41A4B"/>
    <w:rsid w:val="00CB55F1"/>
    <w:rsid w:val="00CC2C16"/>
    <w:rsid w:val="00D02404"/>
    <w:rsid w:val="00D9746E"/>
    <w:rsid w:val="00E1422C"/>
    <w:rsid w:val="00E605A7"/>
    <w:rsid w:val="00EB7A6C"/>
    <w:rsid w:val="00F12B3F"/>
    <w:rsid w:val="00F961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8D9F1"/>
  <w15:chartTrackingRefBased/>
  <w15:docId w15:val="{48CFA88C-F86C-47F9-861A-372D44FC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4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4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DB4"/>
    <w:rPr>
      <w:rFonts w:eastAsiaTheme="majorEastAsia" w:cstheme="majorBidi"/>
      <w:color w:val="272727" w:themeColor="text1" w:themeTint="D8"/>
    </w:rPr>
  </w:style>
  <w:style w:type="paragraph" w:styleId="Title">
    <w:name w:val="Title"/>
    <w:basedOn w:val="Normal"/>
    <w:next w:val="Normal"/>
    <w:link w:val="TitleChar"/>
    <w:uiPriority w:val="10"/>
    <w:qFormat/>
    <w:rsid w:val="00594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DB4"/>
    <w:pPr>
      <w:spacing w:before="160"/>
      <w:jc w:val="center"/>
    </w:pPr>
    <w:rPr>
      <w:i/>
      <w:iCs/>
      <w:color w:val="404040" w:themeColor="text1" w:themeTint="BF"/>
    </w:rPr>
  </w:style>
  <w:style w:type="character" w:customStyle="1" w:styleId="QuoteChar">
    <w:name w:val="Quote Char"/>
    <w:basedOn w:val="DefaultParagraphFont"/>
    <w:link w:val="Quote"/>
    <w:uiPriority w:val="29"/>
    <w:rsid w:val="00594DB4"/>
    <w:rPr>
      <w:i/>
      <w:iCs/>
      <w:color w:val="404040" w:themeColor="text1" w:themeTint="BF"/>
    </w:rPr>
  </w:style>
  <w:style w:type="paragraph" w:styleId="ListParagraph">
    <w:name w:val="List Paragraph"/>
    <w:basedOn w:val="Normal"/>
    <w:uiPriority w:val="34"/>
    <w:qFormat/>
    <w:rsid w:val="00594DB4"/>
    <w:pPr>
      <w:ind w:left="720"/>
      <w:contextualSpacing/>
    </w:pPr>
  </w:style>
  <w:style w:type="character" w:styleId="IntenseEmphasis">
    <w:name w:val="Intense Emphasis"/>
    <w:basedOn w:val="DefaultParagraphFont"/>
    <w:uiPriority w:val="21"/>
    <w:qFormat/>
    <w:rsid w:val="00594DB4"/>
    <w:rPr>
      <w:i/>
      <w:iCs/>
      <w:color w:val="0F4761" w:themeColor="accent1" w:themeShade="BF"/>
    </w:rPr>
  </w:style>
  <w:style w:type="paragraph" w:styleId="IntenseQuote">
    <w:name w:val="Intense Quote"/>
    <w:basedOn w:val="Normal"/>
    <w:next w:val="Normal"/>
    <w:link w:val="IntenseQuoteChar"/>
    <w:uiPriority w:val="30"/>
    <w:qFormat/>
    <w:rsid w:val="00594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DB4"/>
    <w:rPr>
      <w:i/>
      <w:iCs/>
      <w:color w:val="0F4761" w:themeColor="accent1" w:themeShade="BF"/>
    </w:rPr>
  </w:style>
  <w:style w:type="character" w:styleId="IntenseReference">
    <w:name w:val="Intense Reference"/>
    <w:basedOn w:val="DefaultParagraphFont"/>
    <w:uiPriority w:val="32"/>
    <w:qFormat/>
    <w:rsid w:val="00594DB4"/>
    <w:rPr>
      <w:b/>
      <w:bCs/>
      <w:smallCaps/>
      <w:color w:val="0F4761" w:themeColor="accent1" w:themeShade="BF"/>
      <w:spacing w:val="5"/>
    </w:rPr>
  </w:style>
  <w:style w:type="character" w:styleId="Hyperlink">
    <w:name w:val="Hyperlink"/>
    <w:basedOn w:val="DefaultParagraphFont"/>
    <w:uiPriority w:val="99"/>
    <w:unhideWhenUsed/>
    <w:rsid w:val="00034844"/>
    <w:rPr>
      <w:color w:val="467886" w:themeColor="hyperlink"/>
      <w:u w:val="single"/>
    </w:rPr>
  </w:style>
  <w:style w:type="character" w:styleId="CommentReference">
    <w:name w:val="annotation reference"/>
    <w:basedOn w:val="DefaultParagraphFont"/>
    <w:uiPriority w:val="99"/>
    <w:semiHidden/>
    <w:unhideWhenUsed/>
    <w:rsid w:val="006C540B"/>
    <w:rPr>
      <w:sz w:val="16"/>
      <w:szCs w:val="16"/>
    </w:rPr>
  </w:style>
  <w:style w:type="paragraph" w:styleId="CommentText">
    <w:name w:val="annotation text"/>
    <w:basedOn w:val="Normal"/>
    <w:link w:val="CommentTextChar"/>
    <w:uiPriority w:val="99"/>
    <w:semiHidden/>
    <w:unhideWhenUsed/>
    <w:rsid w:val="006C540B"/>
    <w:pPr>
      <w:spacing w:line="240" w:lineRule="auto"/>
    </w:pPr>
    <w:rPr>
      <w:sz w:val="20"/>
      <w:szCs w:val="20"/>
    </w:rPr>
  </w:style>
  <w:style w:type="character" w:customStyle="1" w:styleId="CommentTextChar">
    <w:name w:val="Comment Text Char"/>
    <w:basedOn w:val="DefaultParagraphFont"/>
    <w:link w:val="CommentText"/>
    <w:uiPriority w:val="99"/>
    <w:semiHidden/>
    <w:rsid w:val="006C540B"/>
    <w:rPr>
      <w:sz w:val="20"/>
      <w:szCs w:val="20"/>
    </w:rPr>
  </w:style>
  <w:style w:type="paragraph" w:styleId="CommentSubject">
    <w:name w:val="annotation subject"/>
    <w:basedOn w:val="CommentText"/>
    <w:next w:val="CommentText"/>
    <w:link w:val="CommentSubjectChar"/>
    <w:uiPriority w:val="99"/>
    <w:semiHidden/>
    <w:unhideWhenUsed/>
    <w:rsid w:val="006C540B"/>
    <w:rPr>
      <w:b/>
      <w:bCs/>
    </w:rPr>
  </w:style>
  <w:style w:type="character" w:customStyle="1" w:styleId="CommentSubjectChar">
    <w:name w:val="Comment Subject Char"/>
    <w:basedOn w:val="CommentTextChar"/>
    <w:link w:val="CommentSubject"/>
    <w:uiPriority w:val="99"/>
    <w:semiHidden/>
    <w:rsid w:val="006C540B"/>
    <w:rPr>
      <w:b/>
      <w:bCs/>
      <w:sz w:val="20"/>
      <w:szCs w:val="20"/>
    </w:rPr>
  </w:style>
  <w:style w:type="character" w:styleId="UnresolvedMention">
    <w:name w:val="Unresolved Mention"/>
    <w:basedOn w:val="DefaultParagraphFont"/>
    <w:uiPriority w:val="99"/>
    <w:semiHidden/>
    <w:unhideWhenUsed/>
    <w:rsid w:val="008B0DF8"/>
    <w:rPr>
      <w:color w:val="605E5C"/>
      <w:shd w:val="clear" w:color="auto" w:fill="E1DFDD"/>
    </w:rPr>
  </w:style>
  <w:style w:type="paragraph" w:styleId="BodyText">
    <w:name w:val="Body Text"/>
    <w:basedOn w:val="Normal"/>
    <w:link w:val="BodyTextChar"/>
    <w:uiPriority w:val="1"/>
    <w:qFormat/>
    <w:rsid w:val="004D5FE7"/>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4D5FE7"/>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bs15101421?utm_source=copilot.com" TargetMode="External"/><Relationship Id="rId3" Type="http://schemas.openxmlformats.org/officeDocument/2006/relationships/settings" Target="settings.xml"/><Relationship Id="rId7" Type="http://schemas.openxmlformats.org/officeDocument/2006/relationships/hyperlink" Target="https://doi.org/10.1007/978-3-031-54295-4_5?utm_source=copilo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0/03004270600898893" TargetMode="External"/><Relationship Id="rId11" Type="http://schemas.openxmlformats.org/officeDocument/2006/relationships/fontTable" Target="fontTable.xml"/><Relationship Id="rId5" Type="http://schemas.openxmlformats.org/officeDocument/2006/relationships/hyperlink" Target="mailto:Kathleen.manion@royalroads.ca" TargetMode="External"/><Relationship Id="rId10" Type="http://schemas.openxmlformats.org/officeDocument/2006/relationships/hyperlink" Target="https://doi.org/10.3389/feduc.2026.1714552" TargetMode="External"/><Relationship Id="rId4" Type="http://schemas.openxmlformats.org/officeDocument/2006/relationships/webSettings" Target="webSettings.xml"/><Relationship Id="rId9" Type="http://schemas.openxmlformats.org/officeDocument/2006/relationships/hyperlink" Target="https://doi.org/10.1007/s11482-024-10373-2?utm_source=copil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Manion</dc:creator>
  <cp:keywords/>
  <dc:description/>
  <cp:lastModifiedBy>Kathleen Manion</cp:lastModifiedBy>
  <cp:revision>34</cp:revision>
  <dcterms:created xsi:type="dcterms:W3CDTF">2026-03-24T03:38:00Z</dcterms:created>
  <dcterms:modified xsi:type="dcterms:W3CDTF">2026-04-14T19:28:00Z</dcterms:modified>
</cp:coreProperties>
</file>