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016C9" w14:textId="10CCC0AB" w:rsidR="00C33EF9" w:rsidRPr="00B77A31" w:rsidRDefault="00C33EF9"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B77A31">
        <w:rPr>
          <w:rFonts w:ascii="Calibri" w:eastAsia="Times New Roman" w:hAnsi="Calibri" w:cs="Calibri"/>
          <w:b/>
          <w:bCs/>
          <w:kern w:val="0"/>
          <w:sz w:val="22"/>
          <w:szCs w:val="22"/>
          <w:lang w:eastAsia="en-GB"/>
          <w14:ligatures w14:val="none"/>
        </w:rPr>
        <w:t>Dr Fay Amaral (Chief Executive Officer</w:t>
      </w:r>
      <w:r w:rsidR="000A4D28" w:rsidRPr="00B77A31">
        <w:rPr>
          <w:rFonts w:ascii="Calibri" w:eastAsia="Times New Roman" w:hAnsi="Calibri" w:cs="Calibri"/>
          <w:b/>
          <w:bCs/>
          <w:kern w:val="0"/>
          <w:sz w:val="22"/>
          <w:szCs w:val="22"/>
          <w:lang w:eastAsia="en-GB"/>
          <w14:ligatures w14:val="none"/>
        </w:rPr>
        <w:t>)</w:t>
      </w:r>
    </w:p>
    <w:p w14:paraId="73638090" w14:textId="3520B194" w:rsidR="000A4D28" w:rsidRDefault="000A4D28"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B77A31">
        <w:rPr>
          <w:rFonts w:ascii="Calibri" w:eastAsia="Times New Roman" w:hAnsi="Calibri" w:cs="Calibri"/>
          <w:b/>
          <w:bCs/>
          <w:kern w:val="0"/>
          <w:sz w:val="22"/>
          <w:szCs w:val="22"/>
          <w:lang w:eastAsia="en-GB"/>
          <w14:ligatures w14:val="none"/>
        </w:rPr>
        <w:t xml:space="preserve">Email: </w:t>
      </w:r>
      <w:hyperlink r:id="rId6" w:history="1">
        <w:r w:rsidR="007E0DC9" w:rsidRPr="00B77A31">
          <w:rPr>
            <w:rStyle w:val="Hyperlink"/>
            <w:rFonts w:ascii="Calibri" w:eastAsia="Times New Roman" w:hAnsi="Calibri" w:cs="Calibri"/>
            <w:b/>
            <w:bCs/>
            <w:kern w:val="0"/>
            <w:sz w:val="22"/>
            <w:szCs w:val="22"/>
            <w:lang w:eastAsia="en-GB"/>
            <w14:ligatures w14:val="none"/>
          </w:rPr>
          <w:t>fay@whitecliffe.ac.nz</w:t>
        </w:r>
      </w:hyperlink>
    </w:p>
    <w:p w14:paraId="126FEB4C" w14:textId="6753774B" w:rsidR="007E0DC9" w:rsidRDefault="007E0DC9" w:rsidP="008143B5">
      <w:pPr>
        <w:spacing w:before="100" w:beforeAutospacing="1" w:after="100" w:afterAutospacing="1" w:line="360" w:lineRule="auto"/>
        <w:jc w:val="both"/>
        <w:outlineLvl w:val="1"/>
        <w:rPr>
          <w:rFonts w:ascii="Calibri" w:eastAsia="Times New Roman" w:hAnsi="Calibri" w:cs="Calibri"/>
          <w:kern w:val="0"/>
          <w:sz w:val="22"/>
          <w:szCs w:val="22"/>
          <w:lang w:eastAsia="en-GB"/>
          <w14:ligatures w14:val="none"/>
        </w:rPr>
      </w:pPr>
      <w:proofErr w:type="spellStart"/>
      <w:r w:rsidRPr="00B77A31">
        <w:rPr>
          <w:rFonts w:ascii="Calibri" w:eastAsia="Times New Roman" w:hAnsi="Calibri" w:cs="Calibri"/>
          <w:kern w:val="0"/>
          <w:sz w:val="22"/>
          <w:szCs w:val="22"/>
          <w:lang w:eastAsia="en-GB"/>
          <w14:ligatures w14:val="none"/>
        </w:rPr>
        <w:t>Whitecliffe</w:t>
      </w:r>
      <w:proofErr w:type="spellEnd"/>
      <w:r w:rsidRPr="00B77A31">
        <w:rPr>
          <w:rFonts w:ascii="Calibri" w:eastAsia="Times New Roman" w:hAnsi="Calibri" w:cs="Calibri"/>
          <w:kern w:val="0"/>
          <w:sz w:val="22"/>
          <w:szCs w:val="22"/>
          <w:lang w:eastAsia="en-GB"/>
          <w14:ligatures w14:val="none"/>
        </w:rPr>
        <w:t xml:space="preserve"> </w:t>
      </w:r>
      <w:r w:rsidR="009C2E36" w:rsidRPr="00B77A31">
        <w:rPr>
          <w:rFonts w:ascii="Calibri" w:eastAsia="Times New Roman" w:hAnsi="Calibri" w:cs="Calibri"/>
          <w:kern w:val="0"/>
          <w:sz w:val="22"/>
          <w:szCs w:val="22"/>
          <w:lang w:eastAsia="en-GB"/>
          <w14:ligatures w14:val="none"/>
        </w:rPr>
        <w:t xml:space="preserve">College – NZ largest </w:t>
      </w:r>
      <w:r w:rsidR="0000015A" w:rsidRPr="00B77A31">
        <w:rPr>
          <w:rFonts w:ascii="Calibri" w:eastAsia="Times New Roman" w:hAnsi="Calibri" w:cs="Calibri"/>
          <w:kern w:val="0"/>
          <w:sz w:val="22"/>
          <w:szCs w:val="22"/>
          <w:lang w:eastAsia="en-GB"/>
          <w14:ligatures w14:val="none"/>
        </w:rPr>
        <w:t xml:space="preserve">private provider in higher </w:t>
      </w:r>
      <w:r w:rsidR="00FB0FE8" w:rsidRPr="00B77A31">
        <w:rPr>
          <w:rFonts w:ascii="Calibri" w:eastAsia="Times New Roman" w:hAnsi="Calibri" w:cs="Calibri"/>
          <w:kern w:val="0"/>
          <w:sz w:val="22"/>
          <w:szCs w:val="22"/>
          <w:lang w:eastAsia="en-GB"/>
          <w14:ligatures w14:val="none"/>
        </w:rPr>
        <w:t>education</w:t>
      </w:r>
      <w:r w:rsidR="00FB0FE8">
        <w:rPr>
          <w:rFonts w:ascii="Calibri" w:eastAsia="Times New Roman" w:hAnsi="Calibri" w:cs="Calibri"/>
          <w:kern w:val="0"/>
          <w:sz w:val="22"/>
          <w:szCs w:val="22"/>
          <w:lang w:eastAsia="en-GB"/>
          <w14:ligatures w14:val="none"/>
        </w:rPr>
        <w:t xml:space="preserve"> in art, design, fashion, technology and mental health</w:t>
      </w:r>
      <w:r w:rsidR="0000015A" w:rsidRPr="00B77A31">
        <w:rPr>
          <w:rFonts w:ascii="Calibri" w:eastAsia="Times New Roman" w:hAnsi="Calibri" w:cs="Calibri"/>
          <w:kern w:val="0"/>
          <w:sz w:val="22"/>
          <w:szCs w:val="22"/>
          <w:lang w:eastAsia="en-GB"/>
          <w14:ligatures w14:val="none"/>
        </w:rPr>
        <w:t xml:space="preserve"> </w:t>
      </w:r>
      <w:r w:rsidRPr="00B77A31">
        <w:rPr>
          <w:rFonts w:ascii="Calibri" w:eastAsia="Times New Roman" w:hAnsi="Calibri" w:cs="Calibri"/>
          <w:kern w:val="0"/>
          <w:sz w:val="22"/>
          <w:szCs w:val="22"/>
          <w:lang w:eastAsia="en-GB"/>
          <w14:ligatures w14:val="none"/>
        </w:rPr>
        <w:t>(</w:t>
      </w:r>
      <w:r w:rsidR="009C2E36" w:rsidRPr="00B77A31">
        <w:rPr>
          <w:rFonts w:ascii="Calibri" w:eastAsia="Times New Roman" w:hAnsi="Calibri" w:cs="Calibri"/>
          <w:kern w:val="0"/>
          <w:sz w:val="22"/>
          <w:szCs w:val="22"/>
          <w:lang w:eastAsia="en-GB"/>
          <w14:ligatures w14:val="none"/>
        </w:rPr>
        <w:t xml:space="preserve">Part of </w:t>
      </w:r>
      <w:proofErr w:type="spellStart"/>
      <w:r w:rsidR="009C2E36" w:rsidRPr="00B77A31">
        <w:rPr>
          <w:rFonts w:ascii="Calibri" w:eastAsia="Times New Roman" w:hAnsi="Calibri" w:cs="Calibri"/>
          <w:kern w:val="0"/>
          <w:sz w:val="22"/>
          <w:szCs w:val="22"/>
          <w:lang w:eastAsia="en-GB"/>
          <w14:ligatures w14:val="none"/>
        </w:rPr>
        <w:t>Whitecliffe</w:t>
      </w:r>
      <w:proofErr w:type="spellEnd"/>
      <w:r w:rsidR="009C2E36" w:rsidRPr="00B77A31">
        <w:rPr>
          <w:rFonts w:ascii="Calibri" w:eastAsia="Times New Roman" w:hAnsi="Calibri" w:cs="Calibri"/>
          <w:kern w:val="0"/>
          <w:sz w:val="22"/>
          <w:szCs w:val="22"/>
          <w:lang w:eastAsia="en-GB"/>
          <w14:ligatures w14:val="none"/>
        </w:rPr>
        <w:t xml:space="preserve"> Global</w:t>
      </w:r>
      <w:r w:rsidR="0000015A" w:rsidRPr="00B77A31">
        <w:rPr>
          <w:rFonts w:ascii="Calibri" w:eastAsia="Times New Roman" w:hAnsi="Calibri" w:cs="Calibri"/>
          <w:kern w:val="0"/>
          <w:sz w:val="22"/>
          <w:szCs w:val="22"/>
          <w:lang w:eastAsia="en-GB"/>
          <w14:ligatures w14:val="none"/>
        </w:rPr>
        <w:t xml:space="preserve"> </w:t>
      </w:r>
      <w:r w:rsidR="00301DAB" w:rsidRPr="00B77A31">
        <w:rPr>
          <w:rFonts w:ascii="Calibri" w:eastAsia="Times New Roman" w:hAnsi="Calibri" w:cs="Calibri"/>
          <w:kern w:val="0"/>
          <w:sz w:val="22"/>
          <w:szCs w:val="22"/>
          <w:lang w:eastAsia="en-GB"/>
          <w14:ligatures w14:val="none"/>
        </w:rPr>
        <w:t xml:space="preserve">founded 40 years ago in Aotearoa, now also </w:t>
      </w:r>
      <w:r w:rsidR="0000015A" w:rsidRPr="00B77A31">
        <w:rPr>
          <w:rFonts w:ascii="Calibri" w:eastAsia="Times New Roman" w:hAnsi="Calibri" w:cs="Calibri"/>
          <w:kern w:val="0"/>
          <w:sz w:val="22"/>
          <w:szCs w:val="22"/>
          <w:lang w:eastAsia="en-GB"/>
          <w14:ligatures w14:val="none"/>
        </w:rPr>
        <w:t>operating in Australia, Canada</w:t>
      </w:r>
      <w:r w:rsidR="00301DAB" w:rsidRPr="00B77A31">
        <w:rPr>
          <w:rFonts w:ascii="Calibri" w:eastAsia="Times New Roman" w:hAnsi="Calibri" w:cs="Calibri"/>
          <w:kern w:val="0"/>
          <w:sz w:val="22"/>
          <w:szCs w:val="22"/>
          <w:lang w:eastAsia="en-GB"/>
          <w14:ligatures w14:val="none"/>
        </w:rPr>
        <w:t xml:space="preserve">, UAE and Germany) </w:t>
      </w:r>
    </w:p>
    <w:p w14:paraId="48878F56" w14:textId="7B045C76" w:rsidR="00F950E9" w:rsidRDefault="00F950E9" w:rsidP="008143B5">
      <w:pPr>
        <w:spacing w:before="100" w:beforeAutospacing="1" w:after="100" w:afterAutospacing="1" w:line="360" w:lineRule="auto"/>
        <w:jc w:val="both"/>
        <w:outlineLvl w:val="1"/>
        <w:rPr>
          <w:rFonts w:ascii="Calibri" w:eastAsia="Times New Roman" w:hAnsi="Calibri" w:cs="Calibri"/>
          <w:kern w:val="0"/>
          <w:sz w:val="22"/>
          <w:szCs w:val="22"/>
          <w:lang w:eastAsia="en-GB"/>
          <w14:ligatures w14:val="none"/>
        </w:rPr>
      </w:pPr>
      <w:r w:rsidRPr="00FD6C32">
        <w:rPr>
          <w:rFonts w:ascii="Calibri" w:eastAsia="Times New Roman" w:hAnsi="Calibri" w:cs="Calibri"/>
          <w:b/>
          <w:bCs/>
          <w:kern w:val="0"/>
          <w:sz w:val="22"/>
          <w:szCs w:val="22"/>
          <w:lang w:eastAsia="en-GB"/>
          <w14:ligatures w14:val="none"/>
        </w:rPr>
        <w:t>Theme:</w:t>
      </w:r>
      <w:r>
        <w:rPr>
          <w:rFonts w:ascii="Calibri" w:eastAsia="Times New Roman" w:hAnsi="Calibri" w:cs="Calibri"/>
          <w:kern w:val="0"/>
          <w:sz w:val="22"/>
          <w:szCs w:val="22"/>
          <w:lang w:eastAsia="en-GB"/>
          <w14:ligatures w14:val="none"/>
        </w:rPr>
        <w:t xml:space="preserve"> </w:t>
      </w:r>
      <w:proofErr w:type="spellStart"/>
      <w:r>
        <w:rPr>
          <w:rFonts w:ascii="Calibri" w:eastAsia="Times New Roman" w:hAnsi="Calibri" w:cs="Calibri"/>
          <w:kern w:val="0"/>
          <w:sz w:val="22"/>
          <w:szCs w:val="22"/>
          <w:lang w:eastAsia="en-GB"/>
          <w14:ligatures w14:val="none"/>
        </w:rPr>
        <w:t>Matariki</w:t>
      </w:r>
      <w:proofErr w:type="spellEnd"/>
      <w:r>
        <w:rPr>
          <w:rFonts w:ascii="Calibri" w:eastAsia="Times New Roman" w:hAnsi="Calibri" w:cs="Calibri"/>
          <w:kern w:val="0"/>
          <w:sz w:val="22"/>
          <w:szCs w:val="22"/>
          <w:lang w:eastAsia="en-GB"/>
          <w14:ligatures w14:val="none"/>
        </w:rPr>
        <w:t xml:space="preserve"> </w:t>
      </w:r>
      <w:r w:rsidR="007667DC">
        <w:rPr>
          <w:rFonts w:ascii="Calibri" w:eastAsia="Times New Roman" w:hAnsi="Calibri" w:cs="Calibri"/>
          <w:kern w:val="0"/>
          <w:sz w:val="22"/>
          <w:szCs w:val="22"/>
          <w:lang w:eastAsia="en-GB"/>
          <w14:ligatures w14:val="none"/>
        </w:rPr>
        <w:t>– Well-being (mental health and resilience)</w:t>
      </w:r>
    </w:p>
    <w:p w14:paraId="42A163F1" w14:textId="7CB48609" w:rsidR="00FD6C32" w:rsidRPr="00B77A31" w:rsidRDefault="00FD6C32" w:rsidP="008143B5">
      <w:pPr>
        <w:spacing w:before="100" w:beforeAutospacing="1" w:after="100" w:afterAutospacing="1" w:line="360" w:lineRule="auto"/>
        <w:jc w:val="both"/>
        <w:outlineLvl w:val="1"/>
        <w:rPr>
          <w:rFonts w:ascii="Calibri" w:eastAsia="Times New Roman" w:hAnsi="Calibri" w:cs="Calibri"/>
          <w:kern w:val="0"/>
          <w:sz w:val="22"/>
          <w:szCs w:val="22"/>
          <w:lang w:eastAsia="en-GB"/>
          <w14:ligatures w14:val="none"/>
        </w:rPr>
      </w:pPr>
      <w:r w:rsidRPr="00FD6C32">
        <w:rPr>
          <w:rFonts w:ascii="Calibri" w:eastAsia="Times New Roman" w:hAnsi="Calibri" w:cs="Calibri"/>
          <w:b/>
          <w:bCs/>
          <w:kern w:val="0"/>
          <w:sz w:val="22"/>
          <w:szCs w:val="22"/>
          <w:lang w:eastAsia="en-GB"/>
          <w14:ligatures w14:val="none"/>
        </w:rPr>
        <w:t>Language:</w:t>
      </w:r>
      <w:r>
        <w:rPr>
          <w:rFonts w:ascii="Calibri" w:eastAsia="Times New Roman" w:hAnsi="Calibri" w:cs="Calibri"/>
          <w:kern w:val="0"/>
          <w:sz w:val="22"/>
          <w:szCs w:val="22"/>
          <w:lang w:eastAsia="en-GB"/>
          <w14:ligatures w14:val="none"/>
        </w:rPr>
        <w:t xml:space="preserve"> English</w:t>
      </w:r>
    </w:p>
    <w:p w14:paraId="3AFA5734" w14:textId="0CCF1EA0" w:rsidR="00304B70" w:rsidRPr="00304B70" w:rsidRDefault="00304B70"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Title</w:t>
      </w:r>
    </w:p>
    <w:p w14:paraId="48D87200" w14:textId="4E22AD3E" w:rsidR="00304B70" w:rsidRDefault="000E74A8" w:rsidP="008143B5">
      <w:pPr>
        <w:spacing w:before="100" w:beforeAutospacing="1" w:after="100" w:afterAutospacing="1" w:line="360" w:lineRule="auto"/>
        <w:jc w:val="both"/>
        <w:rPr>
          <w:rFonts w:ascii="Calibri" w:eastAsia="Times New Roman" w:hAnsi="Calibri" w:cs="Calibri"/>
          <w:b/>
          <w:bCs/>
          <w:kern w:val="0"/>
          <w:sz w:val="22"/>
          <w:szCs w:val="22"/>
          <w:lang w:eastAsia="en-GB"/>
          <w14:ligatures w14:val="none"/>
        </w:rPr>
      </w:pPr>
      <w:r w:rsidRPr="00B77A31">
        <w:rPr>
          <w:rFonts w:ascii="Calibri" w:eastAsia="Times New Roman" w:hAnsi="Calibri" w:cs="Calibri"/>
          <w:b/>
          <w:bCs/>
          <w:kern w:val="0"/>
          <w:sz w:val="22"/>
          <w:szCs w:val="22"/>
          <w:lang w:eastAsia="en-GB"/>
          <w14:ligatures w14:val="none"/>
        </w:rPr>
        <w:t>A model analysis</w:t>
      </w:r>
      <w:r w:rsidR="00447FB3" w:rsidRPr="00B77A31">
        <w:rPr>
          <w:rFonts w:ascii="Calibri" w:eastAsia="Times New Roman" w:hAnsi="Calibri" w:cs="Calibri"/>
          <w:b/>
          <w:bCs/>
          <w:kern w:val="0"/>
          <w:sz w:val="22"/>
          <w:szCs w:val="22"/>
          <w:lang w:eastAsia="en-GB"/>
          <w14:ligatures w14:val="none"/>
        </w:rPr>
        <w:t>:</w:t>
      </w:r>
      <w:r w:rsidRPr="00B77A31">
        <w:rPr>
          <w:rFonts w:ascii="Calibri" w:eastAsia="Times New Roman" w:hAnsi="Calibri" w:cs="Calibri"/>
          <w:b/>
          <w:bCs/>
          <w:kern w:val="0"/>
          <w:sz w:val="22"/>
          <w:szCs w:val="22"/>
          <w:lang w:eastAsia="en-GB"/>
          <w14:ligatures w14:val="none"/>
        </w:rPr>
        <w:t xml:space="preserve"> relationships between career indecision, </w:t>
      </w:r>
      <w:r w:rsidR="00CB686F" w:rsidRPr="00B77A31">
        <w:rPr>
          <w:rFonts w:ascii="Calibri" w:eastAsia="Times New Roman" w:hAnsi="Calibri" w:cs="Calibri"/>
          <w:b/>
          <w:bCs/>
          <w:kern w:val="0"/>
          <w:sz w:val="22"/>
          <w:szCs w:val="22"/>
          <w:lang w:eastAsia="en-GB"/>
          <w14:ligatures w14:val="none"/>
        </w:rPr>
        <w:t>constraints</w:t>
      </w:r>
      <w:r w:rsidRPr="00B77A31">
        <w:rPr>
          <w:rFonts w:ascii="Calibri" w:eastAsia="Times New Roman" w:hAnsi="Calibri" w:cs="Calibri"/>
          <w:b/>
          <w:bCs/>
          <w:kern w:val="0"/>
          <w:sz w:val="22"/>
          <w:szCs w:val="22"/>
          <w:lang w:eastAsia="en-GB"/>
          <w14:ligatures w14:val="none"/>
        </w:rPr>
        <w:t>, self-efficacy, r</w:t>
      </w:r>
      <w:r w:rsidR="004B5370" w:rsidRPr="00B77A31">
        <w:rPr>
          <w:rFonts w:ascii="Calibri" w:eastAsia="Times New Roman" w:hAnsi="Calibri" w:cs="Calibri"/>
          <w:b/>
          <w:bCs/>
          <w:kern w:val="0"/>
          <w:sz w:val="22"/>
          <w:szCs w:val="22"/>
          <w:lang w:eastAsia="en-GB"/>
          <w14:ligatures w14:val="none"/>
        </w:rPr>
        <w:t xml:space="preserve">umination and depression </w:t>
      </w:r>
      <w:r w:rsidR="00DE41F2" w:rsidRPr="00B77A31">
        <w:rPr>
          <w:rFonts w:ascii="Calibri" w:eastAsia="Times New Roman" w:hAnsi="Calibri" w:cs="Calibri"/>
          <w:b/>
          <w:bCs/>
          <w:kern w:val="0"/>
          <w:sz w:val="22"/>
          <w:szCs w:val="22"/>
          <w:lang w:eastAsia="en-GB"/>
          <w14:ligatures w14:val="none"/>
        </w:rPr>
        <w:t xml:space="preserve">transitioning from school. </w:t>
      </w:r>
    </w:p>
    <w:p w14:paraId="7E6792C9" w14:textId="57E66A27" w:rsidR="00337893" w:rsidRDefault="00337893" w:rsidP="008143B5">
      <w:pPr>
        <w:spacing w:before="100" w:beforeAutospacing="1" w:after="100" w:afterAutospacing="1" w:line="360" w:lineRule="auto"/>
        <w:jc w:val="both"/>
        <w:rPr>
          <w:rFonts w:ascii="Calibri" w:eastAsia="Times New Roman" w:hAnsi="Calibri" w:cs="Calibri"/>
          <w:b/>
          <w:bCs/>
          <w:kern w:val="0"/>
          <w:sz w:val="22"/>
          <w:szCs w:val="22"/>
          <w:lang w:eastAsia="en-GB"/>
          <w14:ligatures w14:val="none"/>
        </w:rPr>
      </w:pPr>
      <w:r>
        <w:rPr>
          <w:rFonts w:ascii="Calibri" w:eastAsia="Times New Roman" w:hAnsi="Calibri" w:cs="Calibri"/>
          <w:b/>
          <w:bCs/>
          <w:kern w:val="0"/>
          <w:sz w:val="22"/>
          <w:szCs w:val="22"/>
          <w:lang w:eastAsia="en-GB"/>
          <w14:ligatures w14:val="none"/>
        </w:rPr>
        <w:t xml:space="preserve">Abstract </w:t>
      </w:r>
    </w:p>
    <w:p w14:paraId="79625DE6" w14:textId="77777777" w:rsidR="009059B8" w:rsidRPr="00D64345" w:rsidRDefault="009059B8" w:rsidP="009059B8">
      <w:pPr>
        <w:pStyle w:val="NormalWeb"/>
        <w:spacing w:line="360" w:lineRule="auto"/>
        <w:jc w:val="both"/>
        <w:rPr>
          <w:rFonts w:ascii="Calibri" w:hAnsi="Calibri" w:cs="Calibri"/>
          <w:sz w:val="22"/>
          <w:szCs w:val="22"/>
        </w:rPr>
      </w:pPr>
      <w:r w:rsidRPr="00D64345">
        <w:rPr>
          <w:rFonts w:ascii="Calibri" w:hAnsi="Calibri" w:cs="Calibri"/>
          <w:sz w:val="22"/>
          <w:szCs w:val="22"/>
        </w:rPr>
        <w:t>Educational and vocational transitions represent critical periods for adolescent wellbeing, marked by heightened developmental demands, increasing uncertainty, and elevated vulnerability to mental health difficulties. The transition from secondary school to further education or employment requires young people to make consequential career decisions while simultaneously navigating academic pressure, perceived external constraints, and changing social and economic conditions. Although international evidence indicates strong links between career indecision and psychological distress, career decision</w:t>
      </w:r>
      <w:r w:rsidRPr="00D64345">
        <w:rPr>
          <w:rFonts w:ascii="Calibri" w:hAnsi="Calibri" w:cs="Calibri"/>
          <w:sz w:val="22"/>
          <w:szCs w:val="22"/>
        </w:rPr>
        <w:noBreakHyphen/>
        <w:t>making and mental health have traditionally been treated as separate domains within both research and practice. This separation limits the capacity of career guidance systems to function as preventative wellbeing interventions.</w:t>
      </w:r>
    </w:p>
    <w:p w14:paraId="4DB92B67" w14:textId="31AD3BFB" w:rsidR="009059B8" w:rsidRPr="00D64345" w:rsidRDefault="00BF309B" w:rsidP="009059B8">
      <w:pPr>
        <w:pStyle w:val="NormalWeb"/>
        <w:spacing w:line="360" w:lineRule="auto"/>
        <w:jc w:val="both"/>
        <w:rPr>
          <w:rFonts w:ascii="Calibri" w:hAnsi="Calibri" w:cs="Calibri"/>
          <w:sz w:val="22"/>
          <w:szCs w:val="22"/>
        </w:rPr>
      </w:pPr>
      <w:r>
        <w:rPr>
          <w:rFonts w:ascii="Calibri" w:hAnsi="Calibri" w:cs="Calibri"/>
          <w:sz w:val="22"/>
          <w:szCs w:val="22"/>
        </w:rPr>
        <w:t>T</w:t>
      </w:r>
      <w:r w:rsidR="009059B8" w:rsidRPr="00D64345">
        <w:rPr>
          <w:rFonts w:ascii="Calibri" w:hAnsi="Calibri" w:cs="Calibri"/>
          <w:sz w:val="22"/>
          <w:szCs w:val="22"/>
        </w:rPr>
        <w:t>his paper presents findings from a published, theory</w:t>
      </w:r>
      <w:r w:rsidR="009059B8" w:rsidRPr="00D64345">
        <w:rPr>
          <w:rFonts w:ascii="Calibri" w:hAnsi="Calibri" w:cs="Calibri"/>
          <w:sz w:val="22"/>
          <w:szCs w:val="22"/>
        </w:rPr>
        <w:noBreakHyphen/>
        <w:t>driven structural equation modelling (SEM) study done in Aotearoa New Zealand that conceptualises career decision</w:t>
      </w:r>
      <w:r w:rsidR="009059B8" w:rsidRPr="00D64345">
        <w:rPr>
          <w:rFonts w:ascii="Calibri" w:hAnsi="Calibri" w:cs="Calibri"/>
          <w:sz w:val="22"/>
          <w:szCs w:val="22"/>
        </w:rPr>
        <w:noBreakHyphen/>
        <w:t>making as a psychologically embedded wellbeing process strongly linked to mental health outcomes. Drawing on cognitive theories of depression (Beck &amp; Dozois, 2011), rumination theory (Nolen</w:t>
      </w:r>
      <w:r w:rsidR="009059B8" w:rsidRPr="00D64345">
        <w:rPr>
          <w:rFonts w:ascii="Calibri" w:hAnsi="Calibri" w:cs="Calibri"/>
          <w:sz w:val="22"/>
          <w:szCs w:val="22"/>
        </w:rPr>
        <w:noBreakHyphen/>
        <w:t xml:space="preserve">Hoeksema et al., 2008), and Social Cognitive Career Theory (Lent et al., 2017), the study integrates cognitive vulnerability, perceived agency, and contextual constraints into a unified explanatory model. Building on prior scoping work identifying gaps in adolescent career–mental health research (Amaral et al., 2023), the </w:t>
      </w:r>
      <w:r w:rsidR="009059B8" w:rsidRPr="00D64345">
        <w:rPr>
          <w:rFonts w:ascii="Calibri" w:hAnsi="Calibri" w:cs="Calibri"/>
          <w:sz w:val="22"/>
          <w:szCs w:val="22"/>
        </w:rPr>
        <w:lastRenderedPageBreak/>
        <w:t>model positions career indecision as both a stressor and a mechanism through which mental health risk may be amplified during the school</w:t>
      </w:r>
      <w:r w:rsidR="009059B8" w:rsidRPr="00D64345">
        <w:rPr>
          <w:rFonts w:ascii="Calibri" w:hAnsi="Calibri" w:cs="Calibri"/>
          <w:sz w:val="22"/>
          <w:szCs w:val="22"/>
        </w:rPr>
        <w:noBreakHyphen/>
        <w:t>to</w:t>
      </w:r>
      <w:r w:rsidR="009059B8" w:rsidRPr="00D64345">
        <w:rPr>
          <w:rFonts w:ascii="Calibri" w:hAnsi="Calibri" w:cs="Calibri"/>
          <w:sz w:val="22"/>
          <w:szCs w:val="22"/>
        </w:rPr>
        <w:noBreakHyphen/>
        <w:t>work transition.</w:t>
      </w:r>
    </w:p>
    <w:p w14:paraId="53C2E901" w14:textId="77777777" w:rsidR="009059B8" w:rsidRPr="00D64345" w:rsidRDefault="009059B8" w:rsidP="009059B8">
      <w:pPr>
        <w:pStyle w:val="NormalWeb"/>
        <w:spacing w:line="360" w:lineRule="auto"/>
        <w:jc w:val="both"/>
        <w:rPr>
          <w:rFonts w:ascii="Calibri" w:hAnsi="Calibri" w:cs="Calibri"/>
          <w:sz w:val="22"/>
          <w:szCs w:val="22"/>
        </w:rPr>
      </w:pPr>
      <w:r w:rsidRPr="00D64345">
        <w:rPr>
          <w:rFonts w:ascii="Calibri" w:hAnsi="Calibri" w:cs="Calibri"/>
          <w:sz w:val="22"/>
          <w:szCs w:val="22"/>
        </w:rPr>
        <w:t>The study employed a cross</w:t>
      </w:r>
      <w:r w:rsidRPr="00D64345">
        <w:rPr>
          <w:rFonts w:ascii="Calibri" w:hAnsi="Calibri" w:cs="Calibri"/>
          <w:sz w:val="22"/>
          <w:szCs w:val="22"/>
        </w:rPr>
        <w:noBreakHyphen/>
        <w:t>sectional quantitative design with a sample of 275 senior secondary school students aged 16–20 years in Aotearoa New Zealand. Participants were in the final two years of schooling and approaching transition to tertiary study, training, or employment. Five globally validated psychometric instruments were administered to capture a multidimensional profile of vocational decision</w:t>
      </w:r>
      <w:r w:rsidRPr="00D64345">
        <w:rPr>
          <w:rFonts w:ascii="Calibri" w:hAnsi="Calibri" w:cs="Calibri"/>
          <w:sz w:val="22"/>
          <w:szCs w:val="22"/>
        </w:rPr>
        <w:noBreakHyphen/>
        <w:t xml:space="preserve">making and wellbeing: the Career Decision Scale (career indecision), the </w:t>
      </w:r>
      <w:proofErr w:type="spellStart"/>
      <w:r w:rsidRPr="00D64345">
        <w:rPr>
          <w:rFonts w:ascii="Calibri" w:hAnsi="Calibri" w:cs="Calibri"/>
          <w:sz w:val="22"/>
          <w:szCs w:val="22"/>
        </w:rPr>
        <w:t>Center</w:t>
      </w:r>
      <w:proofErr w:type="spellEnd"/>
      <w:r w:rsidRPr="00D64345">
        <w:rPr>
          <w:rFonts w:ascii="Calibri" w:hAnsi="Calibri" w:cs="Calibri"/>
          <w:sz w:val="22"/>
          <w:szCs w:val="22"/>
        </w:rPr>
        <w:t xml:space="preserve"> for Epidemiologic Studies Depression Scale (depressive symptoms), the Ruminative Response Scale–Short Form (brooding and reflection), the New General Self</w:t>
      </w:r>
      <w:r w:rsidRPr="00D64345">
        <w:rPr>
          <w:rFonts w:ascii="Calibri" w:hAnsi="Calibri" w:cs="Calibri"/>
          <w:sz w:val="22"/>
          <w:szCs w:val="22"/>
        </w:rPr>
        <w:noBreakHyphen/>
        <w:t>Efficacy Scale, and the Sense of Control Scale (perceived external constraints and personal mastery). All measures demonstrated strong internal consistency, replicating established international psychometric standards.</w:t>
      </w:r>
    </w:p>
    <w:p w14:paraId="7771BC5A" w14:textId="77777777" w:rsidR="009059B8" w:rsidRPr="00D64345" w:rsidRDefault="009059B8" w:rsidP="009059B8">
      <w:pPr>
        <w:pStyle w:val="NormalWeb"/>
        <w:spacing w:line="360" w:lineRule="auto"/>
        <w:jc w:val="both"/>
        <w:rPr>
          <w:rFonts w:ascii="Calibri" w:hAnsi="Calibri" w:cs="Calibri"/>
          <w:sz w:val="22"/>
          <w:szCs w:val="22"/>
        </w:rPr>
      </w:pPr>
      <w:r w:rsidRPr="00D64345">
        <w:rPr>
          <w:rFonts w:ascii="Calibri" w:hAnsi="Calibri" w:cs="Calibri"/>
          <w:sz w:val="22"/>
          <w:szCs w:val="22"/>
        </w:rPr>
        <w:t>Data were analysed using SPSS and AMOS following a staged analytical strategy. Correlational analyses assessed bivariate relationships, while moderation and mediation analyses tested hypothesised indirect and interaction effects prior to full structural equation modelling. Model fit was evaluated using multiple indices (CFI, GFI, SRMR, RMSEA) in line with best practice for complex quantitative modelling.</w:t>
      </w:r>
    </w:p>
    <w:p w14:paraId="6153C599" w14:textId="77777777" w:rsidR="009059B8" w:rsidRPr="00D64345" w:rsidRDefault="009059B8" w:rsidP="009059B8">
      <w:pPr>
        <w:pStyle w:val="NormalWeb"/>
        <w:spacing w:line="360" w:lineRule="auto"/>
        <w:jc w:val="both"/>
        <w:rPr>
          <w:rFonts w:ascii="Calibri" w:hAnsi="Calibri" w:cs="Calibri"/>
          <w:sz w:val="22"/>
          <w:szCs w:val="22"/>
        </w:rPr>
      </w:pPr>
      <w:r w:rsidRPr="00D64345">
        <w:rPr>
          <w:rFonts w:ascii="Calibri" w:hAnsi="Calibri" w:cs="Calibri"/>
          <w:sz w:val="22"/>
          <w:szCs w:val="22"/>
        </w:rPr>
        <w:t>Results indicated markedly elevated levels of career indecision, ruminative brooding, and depressive symptomatology relative to normative reference samples, alongside lower</w:t>
      </w:r>
      <w:r w:rsidRPr="00D64345">
        <w:rPr>
          <w:rFonts w:ascii="Calibri" w:hAnsi="Calibri" w:cs="Calibri"/>
          <w:sz w:val="22"/>
          <w:szCs w:val="22"/>
        </w:rPr>
        <w:noBreakHyphen/>
        <w:t>than</w:t>
      </w:r>
      <w:r w:rsidRPr="00D64345">
        <w:rPr>
          <w:rFonts w:ascii="Calibri" w:hAnsi="Calibri" w:cs="Calibri"/>
          <w:sz w:val="22"/>
          <w:szCs w:val="22"/>
        </w:rPr>
        <w:noBreakHyphen/>
        <w:t>expected general self</w:t>
      </w:r>
      <w:r w:rsidRPr="00D64345">
        <w:rPr>
          <w:rFonts w:ascii="Calibri" w:hAnsi="Calibri" w:cs="Calibri"/>
          <w:sz w:val="22"/>
          <w:szCs w:val="22"/>
        </w:rPr>
        <w:noBreakHyphen/>
        <w:t>efficacy. Perceived external constraints showed one of the strongest associations with depressive symptoms. Mediation analyses demonstrated that perceived external constraints significantly mediated the relationship between career indecision and depression, while general self</w:t>
      </w:r>
      <w:r w:rsidRPr="00D64345">
        <w:rPr>
          <w:rFonts w:ascii="Calibri" w:hAnsi="Calibri" w:cs="Calibri"/>
          <w:sz w:val="22"/>
          <w:szCs w:val="22"/>
        </w:rPr>
        <w:noBreakHyphen/>
        <w:t>efficacy exerted a partial buffering effect. Importantly, ruminative brooding significantly moderated the relationship between career indecision and perceived external constraints, intensifying students’ perceptions of limited control. The final adjusted SEM demonstrated good overall model fit, supporting the proposed theoretical integration of career, mental health and wellbeing processes (Amaral et al., 2024).</w:t>
      </w:r>
    </w:p>
    <w:p w14:paraId="6C5B0ED0" w14:textId="6D1497F4" w:rsidR="00337893" w:rsidRPr="00BF309B" w:rsidRDefault="009059B8" w:rsidP="00BF309B">
      <w:pPr>
        <w:pStyle w:val="NormalWeb"/>
        <w:spacing w:line="360" w:lineRule="auto"/>
        <w:jc w:val="both"/>
        <w:rPr>
          <w:rFonts w:ascii="Calibri" w:hAnsi="Calibri" w:cs="Calibri"/>
          <w:sz w:val="22"/>
          <w:szCs w:val="22"/>
        </w:rPr>
      </w:pPr>
      <w:r w:rsidRPr="00D64345">
        <w:rPr>
          <w:rFonts w:ascii="Calibri" w:hAnsi="Calibri" w:cs="Calibri"/>
          <w:sz w:val="22"/>
          <w:szCs w:val="22"/>
        </w:rPr>
        <w:t xml:space="preserve">These findings advance international understanding of the </w:t>
      </w:r>
      <w:r w:rsidRPr="00D64345">
        <w:rPr>
          <w:rStyle w:val="Strong"/>
          <w:rFonts w:ascii="Calibri" w:eastAsiaTheme="majorEastAsia" w:hAnsi="Calibri" w:cs="Calibri"/>
          <w:sz w:val="22"/>
          <w:szCs w:val="22"/>
        </w:rPr>
        <w:t>career–wellbeing nexus</w:t>
      </w:r>
      <w:r w:rsidRPr="00D64345">
        <w:rPr>
          <w:rFonts w:ascii="Calibri" w:hAnsi="Calibri" w:cs="Calibri"/>
          <w:sz w:val="22"/>
          <w:szCs w:val="22"/>
        </w:rPr>
        <w:t xml:space="preserve"> by empirically demonstrating that career indecision during adolescence operates as a psychologically meaningful risk factor. The study highlights the importance of integrated career guidance approaches that address mental health, cognitive coping processes, and perceived agency, positioning career development as a core component of wellbeing promotion and prevention during educational transitions (Blustein </w:t>
      </w:r>
      <w:r w:rsidRPr="00D64345">
        <w:rPr>
          <w:rFonts w:ascii="Calibri" w:hAnsi="Calibri" w:cs="Calibri"/>
          <w:sz w:val="22"/>
          <w:szCs w:val="22"/>
        </w:rPr>
        <w:lastRenderedPageBreak/>
        <w:t>et al., 2019). The paper concludes by outlining implications for policy, practice, and professional training within career guidance systems locally and internationally.</w:t>
      </w:r>
    </w:p>
    <w:p w14:paraId="4CEF9C56" w14:textId="33C7A2C8" w:rsidR="004A0D30" w:rsidRPr="00304B70" w:rsidRDefault="004A0D30" w:rsidP="008143B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Pr>
          <w:rFonts w:ascii="Calibri" w:eastAsia="Times New Roman" w:hAnsi="Calibri" w:cs="Calibri"/>
          <w:b/>
          <w:bCs/>
          <w:kern w:val="0"/>
          <w:sz w:val="22"/>
          <w:szCs w:val="22"/>
          <w:lang w:eastAsia="en-GB"/>
          <w14:ligatures w14:val="none"/>
        </w:rPr>
        <w:t xml:space="preserve">Key words: </w:t>
      </w:r>
      <w:r>
        <w:rPr>
          <w:rFonts w:ascii="Calibri" w:eastAsia="Times New Roman" w:hAnsi="Calibri" w:cs="Calibri"/>
          <w:kern w:val="0"/>
          <w:sz w:val="22"/>
          <w:szCs w:val="22"/>
          <w:lang w:eastAsia="en-GB"/>
          <w14:ligatures w14:val="none"/>
        </w:rPr>
        <w:t>Career</w:t>
      </w:r>
      <w:r w:rsidR="00E520B5">
        <w:rPr>
          <w:rFonts w:ascii="Calibri" w:eastAsia="Times New Roman" w:hAnsi="Calibri" w:cs="Calibri"/>
          <w:kern w:val="0"/>
          <w:sz w:val="22"/>
          <w:szCs w:val="22"/>
          <w:lang w:eastAsia="en-GB"/>
          <w14:ligatures w14:val="none"/>
        </w:rPr>
        <w:t>s, depression, rumination, constraints, self-efficacy</w:t>
      </w:r>
    </w:p>
    <w:p w14:paraId="329A3681" w14:textId="77777777" w:rsidR="00304B70" w:rsidRPr="00304B70" w:rsidRDefault="00304B70"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Introduction</w:t>
      </w:r>
    </w:p>
    <w:p w14:paraId="07958EF9" w14:textId="07C741F8" w:rsidR="001C21B7" w:rsidRPr="00B77A31" w:rsidRDefault="00304B70" w:rsidP="008143B5">
      <w:pPr>
        <w:pStyle w:val="NormalWeb"/>
        <w:spacing w:line="360" w:lineRule="auto"/>
        <w:jc w:val="both"/>
        <w:rPr>
          <w:rFonts w:ascii="Calibri" w:hAnsi="Calibri" w:cs="Calibri"/>
          <w:sz w:val="22"/>
          <w:szCs w:val="22"/>
        </w:rPr>
      </w:pPr>
      <w:r w:rsidRPr="00304B70">
        <w:rPr>
          <w:rFonts w:ascii="Calibri" w:hAnsi="Calibri" w:cs="Calibri"/>
          <w:sz w:val="22"/>
          <w:szCs w:val="22"/>
        </w:rPr>
        <w:t xml:space="preserve">Career decision-making in late adolescence coincides with heightened vulnerability to psychological distress, particularly during the transition out of secondary education. Increasing academic pressure, uncertainty about future opportunities, and perceived external constraints may interact with cognitive and emotional factors such as rumination, reduced self-efficacy, and diminished sense of control. Despite strong theoretical links, career indecision and mental health have historically been addressed as separate domains. This paper responds to calls for greater integration by </w:t>
      </w:r>
      <w:r w:rsidR="00BC4760">
        <w:rPr>
          <w:rFonts w:ascii="Calibri" w:hAnsi="Calibri" w:cs="Calibri"/>
          <w:sz w:val="22"/>
          <w:szCs w:val="22"/>
        </w:rPr>
        <w:t xml:space="preserve">specifically </w:t>
      </w:r>
      <w:r w:rsidRPr="00304B70">
        <w:rPr>
          <w:rFonts w:ascii="Calibri" w:hAnsi="Calibri" w:cs="Calibri"/>
          <w:sz w:val="22"/>
          <w:szCs w:val="22"/>
        </w:rPr>
        <w:t>examining career indecision as a psychologically embedded process with direct implications for students’ emotional wellbeing</w:t>
      </w:r>
      <w:r w:rsidR="00923C40" w:rsidRPr="00B77A31">
        <w:rPr>
          <w:rFonts w:ascii="Calibri" w:hAnsi="Calibri" w:cs="Calibri"/>
          <w:sz w:val="22"/>
          <w:szCs w:val="22"/>
        </w:rPr>
        <w:t>.</w:t>
      </w:r>
      <w:r w:rsidR="001C21B7" w:rsidRPr="00B77A31">
        <w:rPr>
          <w:rFonts w:ascii="Calibri" w:hAnsi="Calibri" w:cs="Calibri"/>
          <w:sz w:val="22"/>
          <w:szCs w:val="22"/>
        </w:rPr>
        <w:t xml:space="preserve">  </w:t>
      </w:r>
      <w:r w:rsidR="001C21B7" w:rsidRPr="00B77A31">
        <w:rPr>
          <w:rFonts w:ascii="Calibri" w:hAnsi="Calibri" w:cs="Calibri"/>
          <w:sz w:val="22"/>
          <w:szCs w:val="22"/>
        </w:rPr>
        <w:t>The transition from secondary school to further education or employment represents one of the most consequential developmental junctures in adolescence. During this period, young people are required to make complex career-related decisions while navigating heightened academic demands, social pressures, and uncertainty about future prospects. International and local evidence suggests that this transition coincides with elevated rates of psychological distress, particularly depressive symptoms and maladaptive cognitive patterns, yet career decision-making and mental health continue to be largely addressed as separate domains within research, policy, and practice.</w:t>
      </w:r>
    </w:p>
    <w:p w14:paraId="0F9A9896" w14:textId="1FED1F55" w:rsidR="001C21B7" w:rsidRPr="00B77A31" w:rsidRDefault="001C21B7" w:rsidP="008143B5">
      <w:pPr>
        <w:pStyle w:val="NormalWeb"/>
        <w:spacing w:line="360" w:lineRule="auto"/>
        <w:jc w:val="both"/>
        <w:rPr>
          <w:rFonts w:ascii="Calibri" w:hAnsi="Calibri" w:cs="Calibri"/>
          <w:sz w:val="22"/>
          <w:szCs w:val="22"/>
        </w:rPr>
      </w:pPr>
      <w:r w:rsidRPr="00B77A31">
        <w:rPr>
          <w:rFonts w:ascii="Calibri" w:hAnsi="Calibri" w:cs="Calibri"/>
          <w:sz w:val="22"/>
          <w:szCs w:val="22"/>
        </w:rPr>
        <w:t>Within Aotearoa New Zealand, adolescent mental health has been identified as a critical public health concern, with persistently high rates of depressive symptoms among secondary school students, particularly during senior school years when transition planning intensifies</w:t>
      </w:r>
      <w:r w:rsidR="00DD225B">
        <w:rPr>
          <w:rFonts w:ascii="Calibri" w:hAnsi="Calibri" w:cs="Calibri"/>
          <w:sz w:val="22"/>
          <w:szCs w:val="22"/>
        </w:rPr>
        <w:t xml:space="preserve"> (Fleming et al. 2022)</w:t>
      </w:r>
      <w:r w:rsidRPr="00B77A31">
        <w:rPr>
          <w:rFonts w:ascii="Calibri" w:hAnsi="Calibri" w:cs="Calibri"/>
          <w:sz w:val="22"/>
          <w:szCs w:val="22"/>
        </w:rPr>
        <w:t>. Despite this, there remains a paucity of empirical research integrating career development variables with mental health indicators in this population. As Amaral et al. (2024) note, much of the existing literature examining career indecision and psychological distress has focused on university-aged samples, limiting understanding of wellbeing risks earlier in the transition pipeline.</w:t>
      </w:r>
    </w:p>
    <w:p w14:paraId="187CEB26" w14:textId="2A1FBEEE" w:rsidR="00304B70" w:rsidRPr="00304B70" w:rsidRDefault="001C21B7" w:rsidP="00ED64D8">
      <w:pPr>
        <w:pStyle w:val="NormalWeb"/>
        <w:spacing w:line="360" w:lineRule="auto"/>
        <w:jc w:val="both"/>
        <w:rPr>
          <w:rFonts w:ascii="Calibri" w:hAnsi="Calibri" w:cs="Calibri"/>
          <w:sz w:val="22"/>
          <w:szCs w:val="22"/>
        </w:rPr>
      </w:pPr>
      <w:r w:rsidRPr="00B77A31">
        <w:rPr>
          <w:rFonts w:ascii="Calibri" w:hAnsi="Calibri" w:cs="Calibri"/>
          <w:sz w:val="22"/>
          <w:szCs w:val="22"/>
        </w:rPr>
        <w:t>Aligned with th</w:t>
      </w:r>
      <w:r w:rsidR="00B42797">
        <w:rPr>
          <w:rFonts w:ascii="Calibri" w:hAnsi="Calibri" w:cs="Calibri"/>
          <w:sz w:val="22"/>
          <w:szCs w:val="22"/>
        </w:rPr>
        <w:t>e</w:t>
      </w:r>
      <w:r w:rsidRPr="00B77A31">
        <w:rPr>
          <w:rFonts w:ascii="Calibri" w:hAnsi="Calibri" w:cs="Calibri"/>
          <w:sz w:val="22"/>
          <w:szCs w:val="22"/>
        </w:rPr>
        <w:t xml:space="preserve"> conference theme of </w:t>
      </w:r>
      <w:proofErr w:type="spellStart"/>
      <w:r w:rsidR="00B42797">
        <w:rPr>
          <w:rFonts w:ascii="Calibri" w:hAnsi="Calibri" w:cs="Calibri"/>
          <w:sz w:val="22"/>
          <w:szCs w:val="22"/>
        </w:rPr>
        <w:t>Matariki</w:t>
      </w:r>
      <w:proofErr w:type="spellEnd"/>
      <w:r w:rsidR="00B42797">
        <w:rPr>
          <w:rFonts w:ascii="Calibri" w:hAnsi="Calibri" w:cs="Calibri"/>
          <w:sz w:val="22"/>
          <w:szCs w:val="22"/>
        </w:rPr>
        <w:t xml:space="preserve"> - </w:t>
      </w:r>
      <w:r w:rsidRPr="00B77A31">
        <w:rPr>
          <w:rStyle w:val="Strong"/>
          <w:rFonts w:ascii="Calibri" w:eastAsiaTheme="majorEastAsia" w:hAnsi="Calibri" w:cs="Calibri"/>
          <w:sz w:val="22"/>
          <w:szCs w:val="22"/>
        </w:rPr>
        <w:t>wellbeing and mental health</w:t>
      </w:r>
      <w:r w:rsidRPr="00B77A31">
        <w:rPr>
          <w:rFonts w:ascii="Calibri" w:hAnsi="Calibri" w:cs="Calibri"/>
          <w:sz w:val="22"/>
          <w:szCs w:val="22"/>
        </w:rPr>
        <w:t xml:space="preserve">, this paper reframes career decision-making as a psychologically embedded process with direct implications for adolescent wellbeing. Presenting </w:t>
      </w:r>
      <w:r w:rsidR="00ED64D8">
        <w:rPr>
          <w:rFonts w:ascii="Calibri" w:hAnsi="Calibri" w:cs="Calibri"/>
          <w:sz w:val="22"/>
          <w:szCs w:val="22"/>
        </w:rPr>
        <w:t xml:space="preserve">significant </w:t>
      </w:r>
      <w:r w:rsidRPr="00B77A31">
        <w:rPr>
          <w:rFonts w:ascii="Calibri" w:hAnsi="Calibri" w:cs="Calibri"/>
          <w:sz w:val="22"/>
          <w:szCs w:val="22"/>
        </w:rPr>
        <w:t>findings from a published structural equation modelling study</w:t>
      </w:r>
      <w:r w:rsidR="00AD7F62">
        <w:rPr>
          <w:rFonts w:ascii="Calibri" w:hAnsi="Calibri" w:cs="Calibri"/>
          <w:sz w:val="22"/>
          <w:szCs w:val="22"/>
        </w:rPr>
        <w:t xml:space="preserve"> </w:t>
      </w:r>
      <w:r w:rsidR="0024605C">
        <w:rPr>
          <w:rFonts w:ascii="Calibri" w:hAnsi="Calibri" w:cs="Calibri"/>
          <w:sz w:val="22"/>
          <w:szCs w:val="22"/>
        </w:rPr>
        <w:t xml:space="preserve">done with high school students across Aotearoa </w:t>
      </w:r>
      <w:r w:rsidR="00AD7F62">
        <w:rPr>
          <w:rFonts w:ascii="Calibri" w:hAnsi="Calibri" w:cs="Calibri"/>
          <w:sz w:val="22"/>
          <w:szCs w:val="22"/>
        </w:rPr>
        <w:t>(Amaral et al</w:t>
      </w:r>
      <w:r w:rsidR="0099761F">
        <w:rPr>
          <w:rFonts w:ascii="Calibri" w:hAnsi="Calibri" w:cs="Calibri"/>
          <w:sz w:val="22"/>
          <w:szCs w:val="22"/>
        </w:rPr>
        <w:t>.</w:t>
      </w:r>
      <w:r w:rsidRPr="00B77A31">
        <w:rPr>
          <w:rFonts w:ascii="Calibri" w:hAnsi="Calibri" w:cs="Calibri"/>
          <w:sz w:val="22"/>
          <w:szCs w:val="22"/>
        </w:rPr>
        <w:t>,</w:t>
      </w:r>
      <w:r w:rsidR="0099761F">
        <w:rPr>
          <w:rFonts w:ascii="Calibri" w:hAnsi="Calibri" w:cs="Calibri"/>
          <w:sz w:val="22"/>
          <w:szCs w:val="22"/>
        </w:rPr>
        <w:t xml:space="preserve"> 2024),</w:t>
      </w:r>
      <w:r w:rsidRPr="00B77A31">
        <w:rPr>
          <w:rFonts w:ascii="Calibri" w:hAnsi="Calibri" w:cs="Calibri"/>
          <w:sz w:val="22"/>
          <w:szCs w:val="22"/>
        </w:rPr>
        <w:t xml:space="preserve"> the paper demonstrates how career </w:t>
      </w:r>
      <w:r w:rsidRPr="00B77A31">
        <w:rPr>
          <w:rFonts w:ascii="Calibri" w:hAnsi="Calibri" w:cs="Calibri"/>
          <w:sz w:val="22"/>
          <w:szCs w:val="22"/>
        </w:rPr>
        <w:lastRenderedPageBreak/>
        <w:t xml:space="preserve">indecision interacts with cognitive vulnerability, perceived agency, and contextual constraints to influence depressive symptomatology </w:t>
      </w:r>
      <w:r w:rsidR="00C835B5">
        <w:rPr>
          <w:rFonts w:ascii="Calibri" w:hAnsi="Calibri" w:cs="Calibri"/>
          <w:sz w:val="22"/>
          <w:szCs w:val="22"/>
        </w:rPr>
        <w:t xml:space="preserve"> and rumination </w:t>
      </w:r>
      <w:r w:rsidRPr="00B77A31">
        <w:rPr>
          <w:rFonts w:ascii="Calibri" w:hAnsi="Calibri" w:cs="Calibri"/>
          <w:sz w:val="22"/>
          <w:szCs w:val="22"/>
        </w:rPr>
        <w:t xml:space="preserve">during the school-to-work </w:t>
      </w:r>
      <w:r w:rsidR="00ED64D8">
        <w:rPr>
          <w:rFonts w:ascii="Calibri" w:hAnsi="Calibri" w:cs="Calibri"/>
          <w:sz w:val="22"/>
          <w:szCs w:val="22"/>
        </w:rPr>
        <w:t xml:space="preserve">and study </w:t>
      </w:r>
      <w:r w:rsidRPr="00B77A31">
        <w:rPr>
          <w:rFonts w:ascii="Calibri" w:hAnsi="Calibri" w:cs="Calibri"/>
          <w:sz w:val="22"/>
          <w:szCs w:val="22"/>
        </w:rPr>
        <w:t>transition.</w:t>
      </w:r>
      <w:r w:rsidR="00694D66">
        <w:rPr>
          <w:rFonts w:ascii="Calibri" w:hAnsi="Calibri" w:cs="Calibri"/>
          <w:sz w:val="22"/>
          <w:szCs w:val="22"/>
        </w:rPr>
        <w:t xml:space="preserve"> </w:t>
      </w:r>
    </w:p>
    <w:p w14:paraId="0B55C2B6" w14:textId="77777777" w:rsidR="00304B70" w:rsidRPr="00304B70" w:rsidRDefault="00304B70"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Objectives</w:t>
      </w:r>
    </w:p>
    <w:p w14:paraId="6B833477" w14:textId="77777777" w:rsidR="006B1169" w:rsidRPr="006B1169" w:rsidRDefault="006B1169" w:rsidP="008143B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6B1169">
        <w:rPr>
          <w:rFonts w:ascii="Calibri" w:eastAsia="Times New Roman" w:hAnsi="Calibri" w:cs="Calibri"/>
          <w:kern w:val="0"/>
          <w:sz w:val="22"/>
          <w:szCs w:val="22"/>
          <w:lang w:eastAsia="en-GB"/>
          <w14:ligatures w14:val="none"/>
        </w:rPr>
        <w:t>The objectives of this paper are to:</w:t>
      </w:r>
    </w:p>
    <w:p w14:paraId="238096D1" w14:textId="63AA23A9" w:rsidR="006B1169" w:rsidRPr="006B1169" w:rsidRDefault="006B1169" w:rsidP="008143B5">
      <w:pPr>
        <w:numPr>
          <w:ilvl w:val="0"/>
          <w:numId w:val="2"/>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6B1169">
        <w:rPr>
          <w:rFonts w:ascii="Calibri" w:eastAsia="Times New Roman" w:hAnsi="Calibri" w:cs="Calibri"/>
          <w:kern w:val="0"/>
          <w:sz w:val="22"/>
          <w:szCs w:val="22"/>
          <w:lang w:eastAsia="en-GB"/>
          <w14:ligatures w14:val="none"/>
        </w:rPr>
        <w:t>Present an empirically validated, integrated model linking career indecision and mental health in senior secondary school students</w:t>
      </w:r>
      <w:r w:rsidR="00433A00">
        <w:rPr>
          <w:rFonts w:ascii="Calibri" w:eastAsia="Times New Roman" w:hAnsi="Calibri" w:cs="Calibri"/>
          <w:kern w:val="0"/>
          <w:sz w:val="22"/>
          <w:szCs w:val="22"/>
          <w:lang w:eastAsia="en-GB"/>
          <w14:ligatures w14:val="none"/>
        </w:rPr>
        <w:t xml:space="preserve"> in Aotearoa</w:t>
      </w:r>
      <w:r w:rsidRPr="006B1169">
        <w:rPr>
          <w:rFonts w:ascii="Calibri" w:eastAsia="Times New Roman" w:hAnsi="Calibri" w:cs="Calibri"/>
          <w:kern w:val="0"/>
          <w:sz w:val="22"/>
          <w:szCs w:val="22"/>
          <w:lang w:eastAsia="en-GB"/>
          <w14:ligatures w14:val="none"/>
        </w:rPr>
        <w:t>.</w:t>
      </w:r>
    </w:p>
    <w:p w14:paraId="1726A4D3" w14:textId="77777777" w:rsidR="006B1169" w:rsidRPr="006B1169" w:rsidRDefault="006B1169" w:rsidP="008143B5">
      <w:pPr>
        <w:numPr>
          <w:ilvl w:val="0"/>
          <w:numId w:val="2"/>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6B1169">
        <w:rPr>
          <w:rFonts w:ascii="Calibri" w:eastAsia="Times New Roman" w:hAnsi="Calibri" w:cs="Calibri"/>
          <w:kern w:val="0"/>
          <w:sz w:val="22"/>
          <w:szCs w:val="22"/>
          <w:lang w:eastAsia="en-GB"/>
          <w14:ligatures w14:val="none"/>
        </w:rPr>
        <w:t>Examine the direct and indirect pathways between career indecision and depressive symptoms.</w:t>
      </w:r>
    </w:p>
    <w:p w14:paraId="408DDE69" w14:textId="77777777" w:rsidR="006B1169" w:rsidRPr="006B1169" w:rsidRDefault="006B1169" w:rsidP="008143B5">
      <w:pPr>
        <w:numPr>
          <w:ilvl w:val="0"/>
          <w:numId w:val="2"/>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6B1169">
        <w:rPr>
          <w:rFonts w:ascii="Calibri" w:eastAsia="Times New Roman" w:hAnsi="Calibri" w:cs="Calibri"/>
          <w:kern w:val="0"/>
          <w:sz w:val="22"/>
          <w:szCs w:val="22"/>
          <w:lang w:eastAsia="en-GB"/>
          <w14:ligatures w14:val="none"/>
        </w:rPr>
        <w:t>Identify the mediating roles of general self-efficacy and perceived sense of control.</w:t>
      </w:r>
    </w:p>
    <w:p w14:paraId="1D9A3EFC" w14:textId="77777777" w:rsidR="006B1169" w:rsidRPr="006B1169" w:rsidRDefault="006B1169" w:rsidP="008143B5">
      <w:pPr>
        <w:numPr>
          <w:ilvl w:val="0"/>
          <w:numId w:val="2"/>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6B1169">
        <w:rPr>
          <w:rFonts w:ascii="Calibri" w:eastAsia="Times New Roman" w:hAnsi="Calibri" w:cs="Calibri"/>
          <w:kern w:val="0"/>
          <w:sz w:val="22"/>
          <w:szCs w:val="22"/>
          <w:lang w:eastAsia="en-GB"/>
          <w14:ligatures w14:val="none"/>
        </w:rPr>
        <w:t>Examine the moderating role of rumination in shaping perceptions of external constraints.</w:t>
      </w:r>
    </w:p>
    <w:p w14:paraId="1FE2473C" w14:textId="5495383B" w:rsidR="006B1169" w:rsidRPr="00304B70" w:rsidRDefault="006B1169" w:rsidP="008143B5">
      <w:pPr>
        <w:numPr>
          <w:ilvl w:val="0"/>
          <w:numId w:val="2"/>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6B1169">
        <w:rPr>
          <w:rFonts w:ascii="Calibri" w:eastAsia="Times New Roman" w:hAnsi="Calibri" w:cs="Calibri"/>
          <w:kern w:val="0"/>
          <w:sz w:val="22"/>
          <w:szCs w:val="22"/>
          <w:lang w:eastAsia="en-GB"/>
          <w14:ligatures w14:val="none"/>
        </w:rPr>
        <w:t>Articulate the implications of these findings for career guidance as a wellbeing-focused intervention within educational and vocational systems.</w:t>
      </w:r>
    </w:p>
    <w:p w14:paraId="43424FED" w14:textId="77777777" w:rsidR="00304B70" w:rsidRPr="00304B70" w:rsidRDefault="00304B70"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Theoretical Basis</w:t>
      </w:r>
    </w:p>
    <w:p w14:paraId="5AA97A68" w14:textId="77777777" w:rsidR="00CB40D0" w:rsidRPr="00B77A31" w:rsidRDefault="00CB40D0" w:rsidP="008143B5">
      <w:pPr>
        <w:pStyle w:val="NormalWeb"/>
        <w:spacing w:line="360" w:lineRule="auto"/>
        <w:jc w:val="both"/>
        <w:rPr>
          <w:rFonts w:ascii="Calibri" w:hAnsi="Calibri" w:cs="Calibri"/>
          <w:sz w:val="22"/>
          <w:szCs w:val="22"/>
        </w:rPr>
      </w:pPr>
      <w:r w:rsidRPr="00433A00">
        <w:rPr>
          <w:rFonts w:ascii="Calibri" w:hAnsi="Calibri" w:cs="Calibri"/>
          <w:sz w:val="22"/>
          <w:szCs w:val="22"/>
        </w:rPr>
        <w:t xml:space="preserve">The study is grounded in an integration of </w:t>
      </w:r>
      <w:r w:rsidRPr="00433A00">
        <w:rPr>
          <w:rStyle w:val="Strong"/>
          <w:rFonts w:ascii="Calibri" w:eastAsiaTheme="majorEastAsia" w:hAnsi="Calibri" w:cs="Calibri"/>
          <w:b w:val="0"/>
          <w:bCs w:val="0"/>
          <w:sz w:val="22"/>
          <w:szCs w:val="22"/>
        </w:rPr>
        <w:t>cognitive theories of depression</w:t>
      </w:r>
      <w:r w:rsidRPr="00433A00">
        <w:rPr>
          <w:rFonts w:ascii="Calibri" w:hAnsi="Calibri" w:cs="Calibri"/>
          <w:sz w:val="22"/>
          <w:szCs w:val="22"/>
        </w:rPr>
        <w:t xml:space="preserve">, </w:t>
      </w:r>
      <w:r w:rsidRPr="00433A00">
        <w:rPr>
          <w:rStyle w:val="Strong"/>
          <w:rFonts w:ascii="Calibri" w:eastAsiaTheme="majorEastAsia" w:hAnsi="Calibri" w:cs="Calibri"/>
          <w:b w:val="0"/>
          <w:bCs w:val="0"/>
          <w:sz w:val="22"/>
          <w:szCs w:val="22"/>
        </w:rPr>
        <w:t>rumination theory</w:t>
      </w:r>
      <w:r w:rsidRPr="00433A00">
        <w:rPr>
          <w:rFonts w:ascii="Calibri" w:hAnsi="Calibri" w:cs="Calibri"/>
          <w:b/>
          <w:bCs/>
          <w:sz w:val="22"/>
          <w:szCs w:val="22"/>
        </w:rPr>
        <w:t>,</w:t>
      </w:r>
      <w:r w:rsidRPr="00433A00">
        <w:rPr>
          <w:rFonts w:ascii="Calibri" w:hAnsi="Calibri" w:cs="Calibri"/>
          <w:sz w:val="22"/>
          <w:szCs w:val="22"/>
        </w:rPr>
        <w:t xml:space="preserve"> and </w:t>
      </w:r>
      <w:r w:rsidRPr="00433A00">
        <w:rPr>
          <w:rStyle w:val="Strong"/>
          <w:rFonts w:ascii="Calibri" w:eastAsiaTheme="majorEastAsia" w:hAnsi="Calibri" w:cs="Calibri"/>
          <w:b w:val="0"/>
          <w:bCs w:val="0"/>
          <w:sz w:val="22"/>
          <w:szCs w:val="22"/>
        </w:rPr>
        <w:t>Social Cognitive Career Theory (SCCT)</w:t>
      </w:r>
      <w:r w:rsidRPr="00433A00">
        <w:rPr>
          <w:rFonts w:ascii="Calibri" w:hAnsi="Calibri" w:cs="Calibri"/>
          <w:sz w:val="22"/>
          <w:szCs w:val="22"/>
        </w:rPr>
        <w:t>, situated within contemporary</w:t>
      </w:r>
      <w:r w:rsidRPr="00B77A31">
        <w:rPr>
          <w:rFonts w:ascii="Calibri" w:hAnsi="Calibri" w:cs="Calibri"/>
          <w:sz w:val="22"/>
          <w:szCs w:val="22"/>
        </w:rPr>
        <w:t xml:space="preserve"> vocational psychology perspectives that emphasise contextual constraints and agency.</w:t>
      </w:r>
    </w:p>
    <w:p w14:paraId="32C9DD45" w14:textId="77777777" w:rsidR="00CB40D0" w:rsidRPr="00B77A31" w:rsidRDefault="00CB40D0" w:rsidP="008143B5">
      <w:pPr>
        <w:pStyle w:val="NormalWeb"/>
        <w:spacing w:line="360" w:lineRule="auto"/>
        <w:jc w:val="both"/>
        <w:rPr>
          <w:rFonts w:ascii="Calibri" w:hAnsi="Calibri" w:cs="Calibri"/>
          <w:sz w:val="22"/>
          <w:szCs w:val="22"/>
        </w:rPr>
      </w:pPr>
      <w:r w:rsidRPr="00B77A31">
        <w:rPr>
          <w:rFonts w:ascii="Calibri" w:hAnsi="Calibri" w:cs="Calibri"/>
          <w:sz w:val="22"/>
          <w:szCs w:val="22"/>
        </w:rPr>
        <w:t>Cognitive models of depression highlight the role of negative thinking patterns, reduced perceived control, and diminished self-efficacy in the emergence and maintenance of depressive symptoms (Beck &amp; Dozois, 2011). Rumination theory further differentiates between maladaptive brooding and more reflective forms of repetitive thinking, with brooding consistently associated with heightened psychological distress (Nolen</w:t>
      </w:r>
      <w:r w:rsidRPr="00B77A31">
        <w:rPr>
          <w:rFonts w:ascii="Calibri" w:hAnsi="Calibri" w:cs="Calibri"/>
          <w:sz w:val="22"/>
          <w:szCs w:val="22"/>
        </w:rPr>
        <w:noBreakHyphen/>
        <w:t>Hoeksema et al., 2008). SCCT provides a vocational framework through which self-efficacy and perceived barriers shape career decision-making processes and outcomes (Lent et al., 2017).</w:t>
      </w:r>
    </w:p>
    <w:p w14:paraId="7EA11ABF" w14:textId="500A9B5E" w:rsidR="00CB40D0" w:rsidRPr="00304B70" w:rsidRDefault="00CB40D0" w:rsidP="0052791C">
      <w:pPr>
        <w:pStyle w:val="NormalWeb"/>
        <w:spacing w:line="360" w:lineRule="auto"/>
        <w:jc w:val="both"/>
        <w:rPr>
          <w:rFonts w:ascii="Calibri" w:hAnsi="Calibri" w:cs="Calibri"/>
          <w:sz w:val="22"/>
          <w:szCs w:val="22"/>
        </w:rPr>
      </w:pPr>
      <w:r w:rsidRPr="00B77A31">
        <w:rPr>
          <w:rFonts w:ascii="Calibri" w:hAnsi="Calibri" w:cs="Calibri"/>
          <w:sz w:val="22"/>
          <w:szCs w:val="22"/>
        </w:rPr>
        <w:t>Building on this theoretical foundation, Amaral et al. (2024) proposed an integrated conceptual model positioning career indecision as both a cognitive</w:t>
      </w:r>
      <w:r w:rsidRPr="00B77A31">
        <w:rPr>
          <w:rFonts w:ascii="Calibri" w:hAnsi="Calibri" w:cs="Calibri"/>
          <w:sz w:val="22"/>
          <w:szCs w:val="22"/>
        </w:rPr>
        <w:noBreakHyphen/>
        <w:t>emotional stressor and a contextually influenced process. This model advances vocational theory by explicitly embedding mental health mechanisms within career decision-making, aligning closely with international calls for holistic, wellbeing</w:t>
      </w:r>
      <w:r w:rsidRPr="00B77A31">
        <w:rPr>
          <w:rFonts w:ascii="Calibri" w:hAnsi="Calibri" w:cs="Calibri"/>
          <w:sz w:val="22"/>
          <w:szCs w:val="22"/>
        </w:rPr>
        <w:noBreakHyphen/>
        <w:t>oriented career guidance (Blustein et al., 2019)</w:t>
      </w:r>
      <w:r w:rsidR="0052791C">
        <w:rPr>
          <w:rFonts w:ascii="Calibri" w:hAnsi="Calibri" w:cs="Calibri"/>
          <w:sz w:val="22"/>
          <w:szCs w:val="22"/>
        </w:rPr>
        <w:t>.</w:t>
      </w:r>
    </w:p>
    <w:p w14:paraId="37AAD73D" w14:textId="77777777" w:rsidR="00304B70" w:rsidRPr="00304B70" w:rsidRDefault="00304B70"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Methodology</w:t>
      </w:r>
    </w:p>
    <w:p w14:paraId="67E9C83A" w14:textId="77777777" w:rsidR="00C116C1" w:rsidRPr="00C116C1" w:rsidRDefault="00C116C1" w:rsidP="008143B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kern w:val="0"/>
          <w:sz w:val="22"/>
          <w:szCs w:val="22"/>
          <w:lang w:eastAsia="en-GB"/>
          <w14:ligatures w14:val="none"/>
        </w:rPr>
        <w:lastRenderedPageBreak/>
        <w:t>This study employed a cross-sectional quantitative design with a sample of 275 senior secondary school students aged 16–20 years drawn from multiple schools and youth organisations across Aotearoa New Zealand. Participants were in the final two years of secondary schooling and approaching the transition to tertiary education, training, or work.</w:t>
      </w:r>
    </w:p>
    <w:p w14:paraId="0EB34CB0" w14:textId="410A6EB5" w:rsidR="00C116C1" w:rsidRPr="00C116C1" w:rsidRDefault="00C116C1" w:rsidP="008143B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kern w:val="0"/>
          <w:sz w:val="22"/>
          <w:szCs w:val="22"/>
          <w:lang w:eastAsia="en-GB"/>
          <w14:ligatures w14:val="none"/>
        </w:rPr>
        <w:t xml:space="preserve">Five globally validated psychometric </w:t>
      </w:r>
      <w:r w:rsidR="00910D3E">
        <w:rPr>
          <w:rFonts w:ascii="Calibri" w:eastAsia="Times New Roman" w:hAnsi="Calibri" w:cs="Calibri"/>
          <w:kern w:val="0"/>
          <w:sz w:val="22"/>
          <w:szCs w:val="22"/>
          <w:lang w:eastAsia="en-GB"/>
          <w14:ligatures w14:val="none"/>
        </w:rPr>
        <w:t xml:space="preserve">self-report </w:t>
      </w:r>
      <w:r w:rsidRPr="00C116C1">
        <w:rPr>
          <w:rFonts w:ascii="Calibri" w:eastAsia="Times New Roman" w:hAnsi="Calibri" w:cs="Calibri"/>
          <w:kern w:val="0"/>
          <w:sz w:val="22"/>
          <w:szCs w:val="22"/>
          <w:lang w:eastAsia="en-GB"/>
          <w14:ligatures w14:val="none"/>
        </w:rPr>
        <w:t>instruments were administered to capture a multidimensional profile of career decision-making and wellbeing:</w:t>
      </w:r>
    </w:p>
    <w:p w14:paraId="0F91B9D5" w14:textId="77777777" w:rsidR="00C116C1" w:rsidRPr="00C116C1" w:rsidRDefault="00C116C1" w:rsidP="008143B5">
      <w:pPr>
        <w:numPr>
          <w:ilvl w:val="0"/>
          <w:numId w:val="3"/>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b/>
          <w:bCs/>
          <w:kern w:val="0"/>
          <w:sz w:val="22"/>
          <w:szCs w:val="22"/>
          <w:lang w:eastAsia="en-GB"/>
          <w14:ligatures w14:val="none"/>
        </w:rPr>
        <w:t>Career Decision Scale (CDS)</w:t>
      </w:r>
      <w:r w:rsidRPr="00C116C1">
        <w:rPr>
          <w:rFonts w:ascii="Calibri" w:eastAsia="Times New Roman" w:hAnsi="Calibri" w:cs="Calibri"/>
          <w:kern w:val="0"/>
          <w:sz w:val="22"/>
          <w:szCs w:val="22"/>
          <w:lang w:eastAsia="en-GB"/>
          <w14:ligatures w14:val="none"/>
        </w:rPr>
        <w:t xml:space="preserve"> – measuring career indecision</w:t>
      </w:r>
    </w:p>
    <w:p w14:paraId="6492D534" w14:textId="77777777" w:rsidR="00C116C1" w:rsidRPr="00C116C1" w:rsidRDefault="00C116C1" w:rsidP="008143B5">
      <w:pPr>
        <w:numPr>
          <w:ilvl w:val="0"/>
          <w:numId w:val="3"/>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proofErr w:type="spellStart"/>
      <w:r w:rsidRPr="00C116C1">
        <w:rPr>
          <w:rFonts w:ascii="Calibri" w:eastAsia="Times New Roman" w:hAnsi="Calibri" w:cs="Calibri"/>
          <w:b/>
          <w:bCs/>
          <w:kern w:val="0"/>
          <w:sz w:val="22"/>
          <w:szCs w:val="22"/>
          <w:lang w:eastAsia="en-GB"/>
          <w14:ligatures w14:val="none"/>
        </w:rPr>
        <w:t>Center</w:t>
      </w:r>
      <w:proofErr w:type="spellEnd"/>
      <w:r w:rsidRPr="00C116C1">
        <w:rPr>
          <w:rFonts w:ascii="Calibri" w:eastAsia="Times New Roman" w:hAnsi="Calibri" w:cs="Calibri"/>
          <w:b/>
          <w:bCs/>
          <w:kern w:val="0"/>
          <w:sz w:val="22"/>
          <w:szCs w:val="22"/>
          <w:lang w:eastAsia="en-GB"/>
          <w14:ligatures w14:val="none"/>
        </w:rPr>
        <w:t xml:space="preserve"> for Epidemiologic Studies Depression Scale (CES</w:t>
      </w:r>
      <w:r w:rsidRPr="00C116C1">
        <w:rPr>
          <w:rFonts w:ascii="Calibri" w:eastAsia="Times New Roman" w:hAnsi="Calibri" w:cs="Calibri"/>
          <w:b/>
          <w:bCs/>
          <w:kern w:val="0"/>
          <w:sz w:val="22"/>
          <w:szCs w:val="22"/>
          <w:lang w:eastAsia="en-GB"/>
          <w14:ligatures w14:val="none"/>
        </w:rPr>
        <w:noBreakHyphen/>
        <w:t>D)</w:t>
      </w:r>
      <w:r w:rsidRPr="00C116C1">
        <w:rPr>
          <w:rFonts w:ascii="Calibri" w:eastAsia="Times New Roman" w:hAnsi="Calibri" w:cs="Calibri"/>
          <w:kern w:val="0"/>
          <w:sz w:val="22"/>
          <w:szCs w:val="22"/>
          <w:lang w:eastAsia="en-GB"/>
          <w14:ligatures w14:val="none"/>
        </w:rPr>
        <w:t xml:space="preserve"> – assessing depressive symptoms</w:t>
      </w:r>
    </w:p>
    <w:p w14:paraId="700A07E6" w14:textId="77777777" w:rsidR="00C116C1" w:rsidRPr="00C116C1" w:rsidRDefault="00C116C1" w:rsidP="008143B5">
      <w:pPr>
        <w:numPr>
          <w:ilvl w:val="0"/>
          <w:numId w:val="3"/>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b/>
          <w:bCs/>
          <w:kern w:val="0"/>
          <w:sz w:val="22"/>
          <w:szCs w:val="22"/>
          <w:lang w:eastAsia="en-GB"/>
          <w14:ligatures w14:val="none"/>
        </w:rPr>
        <w:t>Ruminative Response Scale – Short Form (RRS)</w:t>
      </w:r>
      <w:r w:rsidRPr="00C116C1">
        <w:rPr>
          <w:rFonts w:ascii="Calibri" w:eastAsia="Times New Roman" w:hAnsi="Calibri" w:cs="Calibri"/>
          <w:kern w:val="0"/>
          <w:sz w:val="22"/>
          <w:szCs w:val="22"/>
          <w:lang w:eastAsia="en-GB"/>
          <w14:ligatures w14:val="none"/>
        </w:rPr>
        <w:t xml:space="preserve"> – measuring brooding and reflection</w:t>
      </w:r>
    </w:p>
    <w:p w14:paraId="4BDE04DB" w14:textId="77777777" w:rsidR="00C116C1" w:rsidRPr="00C116C1" w:rsidRDefault="00C116C1" w:rsidP="008143B5">
      <w:pPr>
        <w:numPr>
          <w:ilvl w:val="0"/>
          <w:numId w:val="3"/>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b/>
          <w:bCs/>
          <w:kern w:val="0"/>
          <w:sz w:val="22"/>
          <w:szCs w:val="22"/>
          <w:lang w:eastAsia="en-GB"/>
          <w14:ligatures w14:val="none"/>
        </w:rPr>
        <w:t>New General Self</w:t>
      </w:r>
      <w:r w:rsidRPr="00C116C1">
        <w:rPr>
          <w:rFonts w:ascii="Calibri" w:eastAsia="Times New Roman" w:hAnsi="Calibri" w:cs="Calibri"/>
          <w:b/>
          <w:bCs/>
          <w:kern w:val="0"/>
          <w:sz w:val="22"/>
          <w:szCs w:val="22"/>
          <w:lang w:eastAsia="en-GB"/>
          <w14:ligatures w14:val="none"/>
        </w:rPr>
        <w:noBreakHyphen/>
        <w:t>Efficacy Scale (GSES)</w:t>
      </w:r>
      <w:r w:rsidRPr="00C116C1">
        <w:rPr>
          <w:rFonts w:ascii="Calibri" w:eastAsia="Times New Roman" w:hAnsi="Calibri" w:cs="Calibri"/>
          <w:kern w:val="0"/>
          <w:sz w:val="22"/>
          <w:szCs w:val="22"/>
          <w:lang w:eastAsia="en-GB"/>
          <w14:ligatures w14:val="none"/>
        </w:rPr>
        <w:t xml:space="preserve"> – assessing perceived competence and coping ability</w:t>
      </w:r>
    </w:p>
    <w:p w14:paraId="1F6D1A9B" w14:textId="77777777" w:rsidR="00C116C1" w:rsidRPr="00C116C1" w:rsidRDefault="00C116C1" w:rsidP="008143B5">
      <w:pPr>
        <w:numPr>
          <w:ilvl w:val="0"/>
          <w:numId w:val="3"/>
        </w:num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b/>
          <w:bCs/>
          <w:kern w:val="0"/>
          <w:sz w:val="22"/>
          <w:szCs w:val="22"/>
          <w:lang w:eastAsia="en-GB"/>
          <w14:ligatures w14:val="none"/>
        </w:rPr>
        <w:t>Sense of Control Scale (SOC)</w:t>
      </w:r>
      <w:r w:rsidRPr="00C116C1">
        <w:rPr>
          <w:rFonts w:ascii="Calibri" w:eastAsia="Times New Roman" w:hAnsi="Calibri" w:cs="Calibri"/>
          <w:kern w:val="0"/>
          <w:sz w:val="22"/>
          <w:szCs w:val="22"/>
          <w:lang w:eastAsia="en-GB"/>
          <w14:ligatures w14:val="none"/>
        </w:rPr>
        <w:t xml:space="preserve"> – measuring perceived external constraints and personal mastery</w:t>
      </w:r>
    </w:p>
    <w:p w14:paraId="37A26601" w14:textId="77777777" w:rsidR="00C116C1" w:rsidRPr="00C116C1" w:rsidRDefault="00C116C1" w:rsidP="008143B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kern w:val="0"/>
          <w:sz w:val="22"/>
          <w:szCs w:val="22"/>
          <w:lang w:eastAsia="en-GB"/>
          <w14:ligatures w14:val="none"/>
        </w:rPr>
        <w:t>All instruments demonstrated strong internal consistency within the present sample, replicating established psychometric properties reported internationally.</w:t>
      </w:r>
    </w:p>
    <w:p w14:paraId="24B1DF63" w14:textId="77777777" w:rsidR="004619D5" w:rsidRDefault="00C116C1" w:rsidP="004619D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C116C1">
        <w:rPr>
          <w:rFonts w:ascii="Calibri" w:eastAsia="Times New Roman" w:hAnsi="Calibri" w:cs="Calibri"/>
          <w:kern w:val="0"/>
          <w:sz w:val="22"/>
          <w:szCs w:val="22"/>
          <w:lang w:eastAsia="en-GB"/>
          <w14:ligatures w14:val="none"/>
        </w:rPr>
        <w:t>Data were analysed using SPSS and AMOS, following a staged analytical approach. Correlational analyses were conducted to assess bivariate relationships. Moderation and mediation analyses were undertaken to test hypothesised interaction and indirect effects, followed by structural equation modelling (SEM) to evaluate the integrated conceptual model. Model fit was assessed using multiple indices (CFI, GFI, SRMR, RMSEA), consistent with best practice in quantitative mental health and vocational research.</w:t>
      </w:r>
    </w:p>
    <w:p w14:paraId="66A14E70" w14:textId="6F86E2A6" w:rsidR="00304B70" w:rsidRPr="00304B70" w:rsidRDefault="00304B70" w:rsidP="004619D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Results</w:t>
      </w:r>
    </w:p>
    <w:p w14:paraId="077AC3ED" w14:textId="32C21210" w:rsidR="008A59CB" w:rsidRPr="00B77A31" w:rsidRDefault="008A59CB"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Data from 275 senior secondary school students with complete responses across all five validated psychometric instruments were included in the final analyses. Preliminary screening confirmed acceptable levels of normality and internal consistency across all scales, with Cronbach’s alpha and McDonald’s omega coefficients indicating good to excellent reliability. Descriptive analyses revealed that participants reported </w:t>
      </w:r>
      <w:r w:rsidRPr="004619D5">
        <w:rPr>
          <w:rStyle w:val="Strong"/>
          <w:rFonts w:ascii="Calibri" w:eastAsiaTheme="majorEastAsia" w:hAnsi="Calibri" w:cs="Calibri"/>
          <w:b w:val="0"/>
          <w:bCs w:val="0"/>
          <w:sz w:val="22"/>
          <w:szCs w:val="22"/>
        </w:rPr>
        <w:t>substantially elevated levels of career indecision, depressive symptoms, and ruminative brooding</w:t>
      </w:r>
      <w:r w:rsidRPr="00B77A31">
        <w:rPr>
          <w:rFonts w:ascii="Calibri" w:hAnsi="Calibri" w:cs="Calibri"/>
          <w:sz w:val="22"/>
          <w:szCs w:val="22"/>
        </w:rPr>
        <w:t xml:space="preserve"> when compared with normative population reference data</w:t>
      </w:r>
      <w:r w:rsidR="004619D5">
        <w:rPr>
          <w:rFonts w:ascii="Calibri" w:hAnsi="Calibri" w:cs="Calibri"/>
          <w:sz w:val="22"/>
          <w:szCs w:val="22"/>
        </w:rPr>
        <w:t xml:space="preserve">. </w:t>
      </w:r>
      <w:r w:rsidRPr="00B77A31">
        <w:rPr>
          <w:rFonts w:ascii="Calibri" w:hAnsi="Calibri" w:cs="Calibri"/>
          <w:sz w:val="22"/>
          <w:szCs w:val="22"/>
        </w:rPr>
        <w:t>These findings underscore the heightened wellbeing vulnerability present during the school</w:t>
      </w:r>
      <w:r w:rsidRPr="00B77A31">
        <w:rPr>
          <w:rFonts w:ascii="Calibri" w:hAnsi="Calibri" w:cs="Calibri"/>
          <w:sz w:val="22"/>
          <w:szCs w:val="22"/>
        </w:rPr>
        <w:noBreakHyphen/>
        <w:t>to</w:t>
      </w:r>
      <w:r w:rsidRPr="00B77A31">
        <w:rPr>
          <w:rFonts w:ascii="Calibri" w:hAnsi="Calibri" w:cs="Calibri"/>
          <w:sz w:val="22"/>
          <w:szCs w:val="22"/>
        </w:rPr>
        <w:noBreakHyphen/>
        <w:t>work transition.</w:t>
      </w:r>
    </w:p>
    <w:p w14:paraId="0BBB0BF4" w14:textId="77777777" w:rsidR="008A59CB" w:rsidRPr="00B77A31" w:rsidRDefault="008A59CB"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Bivariate correlational analyses demonstrated statistically significant relationships between career indecision and depressive symptoms, as well as strong associations between rumination and </w:t>
      </w:r>
      <w:r w:rsidRPr="00B77A31">
        <w:rPr>
          <w:rFonts w:ascii="Calibri" w:hAnsi="Calibri" w:cs="Calibri"/>
          <w:sz w:val="22"/>
          <w:szCs w:val="22"/>
        </w:rPr>
        <w:lastRenderedPageBreak/>
        <w:t>depression. Of particular relevance to wellbeing, perceived external constraints (sense of control) showed one of the strongest correlations with depressive symptomatology, indicating that students’ perceptions of limited agency and external barriers were closely linked to emotional distress during career decision-making. General self</w:t>
      </w:r>
      <w:r w:rsidRPr="00B77A31">
        <w:rPr>
          <w:rFonts w:ascii="Calibri" w:hAnsi="Calibri" w:cs="Calibri"/>
          <w:sz w:val="22"/>
          <w:szCs w:val="22"/>
        </w:rPr>
        <w:noBreakHyphen/>
        <w:t>efficacy was negatively associated with both career indecision and depressive symptoms, suggesting a potentially protective role.</w:t>
      </w:r>
    </w:p>
    <w:p w14:paraId="21C6539A" w14:textId="77777777" w:rsidR="008A59CB" w:rsidRPr="00B77A31" w:rsidRDefault="008A59CB"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To examine the complexity of these interrelationships, moderation and mediation analyses were conducted prior to structural equation modelling. Mediation analyses revealed that </w:t>
      </w:r>
      <w:r w:rsidRPr="00067EDA">
        <w:rPr>
          <w:rStyle w:val="Strong"/>
          <w:rFonts w:ascii="Calibri" w:eastAsiaTheme="majorEastAsia" w:hAnsi="Calibri" w:cs="Calibri"/>
          <w:b w:val="0"/>
          <w:bCs w:val="0"/>
          <w:sz w:val="22"/>
          <w:szCs w:val="22"/>
        </w:rPr>
        <w:t>perceived external constraints significantly mediated the relationship between career indecision and depressive symptoms</w:t>
      </w:r>
      <w:r w:rsidRPr="00067EDA">
        <w:rPr>
          <w:rFonts w:ascii="Calibri" w:hAnsi="Calibri" w:cs="Calibri"/>
          <w:b/>
          <w:bCs/>
          <w:sz w:val="22"/>
          <w:szCs w:val="22"/>
        </w:rPr>
        <w:t>,</w:t>
      </w:r>
      <w:r w:rsidRPr="00B77A31">
        <w:rPr>
          <w:rFonts w:ascii="Calibri" w:hAnsi="Calibri" w:cs="Calibri"/>
          <w:sz w:val="22"/>
          <w:szCs w:val="22"/>
        </w:rPr>
        <w:t xml:space="preserve"> accounting for a substantial proportion of variance in depression scores. General self</w:t>
      </w:r>
      <w:r w:rsidRPr="00B77A31">
        <w:rPr>
          <w:rFonts w:ascii="Calibri" w:hAnsi="Calibri" w:cs="Calibri"/>
          <w:sz w:val="22"/>
          <w:szCs w:val="22"/>
        </w:rPr>
        <w:noBreakHyphen/>
        <w:t>efficacy partially mediated this relationship, indicating that while self</w:t>
      </w:r>
      <w:r w:rsidRPr="00B77A31">
        <w:rPr>
          <w:rFonts w:ascii="Calibri" w:hAnsi="Calibri" w:cs="Calibri"/>
          <w:sz w:val="22"/>
          <w:szCs w:val="22"/>
        </w:rPr>
        <w:noBreakHyphen/>
        <w:t>efficacy buffered emotional distress, it did not fully offset the negative impact of indecision when perceived barriers remained high.</w:t>
      </w:r>
    </w:p>
    <w:p w14:paraId="50820B1E" w14:textId="77777777" w:rsidR="008A59CB" w:rsidRPr="00B77A31" w:rsidRDefault="008A59CB"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Moderation analyses indicated that </w:t>
      </w:r>
      <w:r w:rsidRPr="00067EDA">
        <w:rPr>
          <w:rStyle w:val="Strong"/>
          <w:rFonts w:ascii="Calibri" w:eastAsiaTheme="majorEastAsia" w:hAnsi="Calibri" w:cs="Calibri"/>
          <w:b w:val="0"/>
          <w:bCs w:val="0"/>
          <w:sz w:val="22"/>
          <w:szCs w:val="22"/>
        </w:rPr>
        <w:t>ruminative brooding significantly moderated the relationship between career indecision and perceived external constraints</w:t>
      </w:r>
      <w:r w:rsidRPr="00B77A31">
        <w:rPr>
          <w:rFonts w:ascii="Calibri" w:hAnsi="Calibri" w:cs="Calibri"/>
          <w:sz w:val="22"/>
          <w:szCs w:val="22"/>
        </w:rPr>
        <w:t>. Students who engaged more frequently in maladaptive ruminative thinking were significantly more likely to perceive external barriers as overwhelming when experiencing career indecision. This interaction effect was not observed for reflective rumination, highlighting the specific role of maladaptive cognitive processing in amplifying perceived loss of control.</w:t>
      </w:r>
    </w:p>
    <w:p w14:paraId="27F16560" w14:textId="4689A0C1" w:rsidR="008A59CB" w:rsidRPr="00B77A31" w:rsidRDefault="008A59CB"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Following moderation and mediation testing, a refined </w:t>
      </w:r>
      <w:r w:rsidRPr="00FB7DEB">
        <w:rPr>
          <w:rStyle w:val="Strong"/>
          <w:rFonts w:ascii="Calibri" w:eastAsiaTheme="majorEastAsia" w:hAnsi="Calibri" w:cs="Calibri"/>
          <w:b w:val="0"/>
          <w:bCs w:val="0"/>
          <w:sz w:val="22"/>
          <w:szCs w:val="22"/>
        </w:rPr>
        <w:t>structural equation model (SEM)</w:t>
      </w:r>
      <w:r w:rsidRPr="00FB7DEB">
        <w:rPr>
          <w:rFonts w:ascii="Calibri" w:hAnsi="Calibri" w:cs="Calibri"/>
          <w:sz w:val="22"/>
          <w:szCs w:val="22"/>
        </w:rPr>
        <w:t xml:space="preserve"> was estimated using AMOS to examine the integrated wellbeing–career decision-making framework. The final adjusted model demonstrated </w:t>
      </w:r>
      <w:r w:rsidRPr="00FB7DEB">
        <w:rPr>
          <w:rStyle w:val="Strong"/>
          <w:rFonts w:ascii="Calibri" w:eastAsiaTheme="majorEastAsia" w:hAnsi="Calibri" w:cs="Calibri"/>
          <w:b w:val="0"/>
          <w:bCs w:val="0"/>
          <w:sz w:val="22"/>
          <w:szCs w:val="22"/>
        </w:rPr>
        <w:t>overall good model fit</w:t>
      </w:r>
      <w:r w:rsidRPr="00FB7DEB">
        <w:rPr>
          <w:rFonts w:ascii="Calibri" w:hAnsi="Calibri" w:cs="Calibri"/>
          <w:b/>
          <w:bCs/>
          <w:sz w:val="22"/>
          <w:szCs w:val="22"/>
        </w:rPr>
        <w:t xml:space="preserve"> </w:t>
      </w:r>
      <w:r w:rsidRPr="00FB7DEB">
        <w:rPr>
          <w:rFonts w:ascii="Calibri" w:hAnsi="Calibri" w:cs="Calibri"/>
          <w:sz w:val="22"/>
          <w:szCs w:val="22"/>
        </w:rPr>
        <w:t>across mu</w:t>
      </w:r>
      <w:r w:rsidRPr="00B77A31">
        <w:rPr>
          <w:rFonts w:ascii="Calibri" w:hAnsi="Calibri" w:cs="Calibri"/>
          <w:sz w:val="22"/>
          <w:szCs w:val="22"/>
        </w:rPr>
        <w:t>ltiple fit indices (CFI, GFI, SRMR), supporting the theoretical coherence of the proposed pathways</w:t>
      </w:r>
      <w:r w:rsidR="00C8227F">
        <w:rPr>
          <w:rFonts w:ascii="Calibri" w:hAnsi="Calibri" w:cs="Calibri"/>
          <w:sz w:val="22"/>
          <w:szCs w:val="22"/>
        </w:rPr>
        <w:t xml:space="preserve"> in the model</w:t>
      </w:r>
      <w:r w:rsidRPr="00B77A31">
        <w:rPr>
          <w:rFonts w:ascii="Calibri" w:hAnsi="Calibri" w:cs="Calibri"/>
          <w:sz w:val="22"/>
          <w:szCs w:val="22"/>
        </w:rPr>
        <w:t>. Within the SEM, perceived external constraints emerged as a central mechanism linking career indecision to depressive symptoms, while general self</w:t>
      </w:r>
      <w:r w:rsidRPr="00B77A31">
        <w:rPr>
          <w:rFonts w:ascii="Calibri" w:hAnsi="Calibri" w:cs="Calibri"/>
          <w:sz w:val="22"/>
          <w:szCs w:val="22"/>
        </w:rPr>
        <w:noBreakHyphen/>
        <w:t>efficacy exerted a significant, albeit partial, protective effect. Ruminative brooding intensified the pathway between career indecision and perceived constraints, further amplifying vulnerability to emotional distress.</w:t>
      </w:r>
    </w:p>
    <w:p w14:paraId="72CAE7CB" w14:textId="553AB5D8" w:rsidR="008A59CB" w:rsidRPr="00B77A31" w:rsidRDefault="008A59CB"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Collectively, the results </w:t>
      </w:r>
      <w:r w:rsidR="007B09FA">
        <w:rPr>
          <w:rFonts w:ascii="Calibri" w:hAnsi="Calibri" w:cs="Calibri"/>
          <w:sz w:val="22"/>
          <w:szCs w:val="22"/>
        </w:rPr>
        <w:t>suggest</w:t>
      </w:r>
      <w:r w:rsidRPr="00B77A31">
        <w:rPr>
          <w:rFonts w:ascii="Calibri" w:hAnsi="Calibri" w:cs="Calibri"/>
          <w:sz w:val="22"/>
          <w:szCs w:val="22"/>
        </w:rPr>
        <w:t xml:space="preserve"> a </w:t>
      </w:r>
      <w:r w:rsidRPr="007B09FA">
        <w:rPr>
          <w:rStyle w:val="Strong"/>
          <w:rFonts w:ascii="Calibri" w:eastAsiaTheme="majorEastAsia" w:hAnsi="Calibri" w:cs="Calibri"/>
          <w:b w:val="0"/>
          <w:bCs w:val="0"/>
          <w:sz w:val="22"/>
          <w:szCs w:val="22"/>
        </w:rPr>
        <w:t>multifaceted, interdependent system</w:t>
      </w:r>
      <w:r w:rsidRPr="00B77A31">
        <w:rPr>
          <w:rFonts w:ascii="Calibri" w:hAnsi="Calibri" w:cs="Calibri"/>
          <w:sz w:val="22"/>
          <w:szCs w:val="22"/>
        </w:rPr>
        <w:t xml:space="preserve"> in which career indecision, cognitive vulnerability, perceived agency, and mental health operate dynamically rather than independently. The findings provide robust empirical evidence that career decision-making processes during adolescence are deeply embedded within broader wellbeing contexts.</w:t>
      </w:r>
    </w:p>
    <w:p w14:paraId="723BCD9B" w14:textId="72EC28C2" w:rsidR="008A59CB" w:rsidRPr="00304B70" w:rsidRDefault="00724704" w:rsidP="002E07F3">
      <w:pPr>
        <w:spacing w:after="0" w:line="360" w:lineRule="auto"/>
        <w:jc w:val="both"/>
        <w:rPr>
          <w:rFonts w:ascii="Calibri" w:eastAsia="Times New Roman" w:hAnsi="Calibri" w:cs="Calibri"/>
          <w:kern w:val="0"/>
          <w:sz w:val="22"/>
          <w:szCs w:val="22"/>
          <w:lang w:eastAsia="en-GB"/>
          <w14:ligatures w14:val="none"/>
        </w:rPr>
      </w:pPr>
      <w:r w:rsidRPr="00724704">
        <w:rPr>
          <w:rFonts w:ascii="Calibri" w:eastAsia="Times New Roman" w:hAnsi="Calibri" w:cs="Calibri"/>
          <w:kern w:val="0"/>
          <w:sz w:val="22"/>
          <w:szCs w:val="22"/>
          <w:lang w:eastAsia="en-GB"/>
          <w14:ligatures w14:val="none"/>
        </w:rPr>
        <w:lastRenderedPageBreak/>
        <w:t>The final adjusted structural equation model demonstrated good overall model fit, supporting the theoretical integration of career and mental health constructs. Within the model, perceived external constraints emerged as a central mechanism linking career indecision to depressive symptoms, with self-efficacy exerting a buffering influence and rumination amplifying risk pathways.</w:t>
      </w:r>
    </w:p>
    <w:p w14:paraId="560F4988" w14:textId="2F2E1539" w:rsidR="00304B70" w:rsidRPr="00304B70" w:rsidRDefault="00304B70"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Conclusion</w:t>
      </w:r>
    </w:p>
    <w:p w14:paraId="251AC9D6" w14:textId="6950589C" w:rsidR="008819A3" w:rsidRPr="00B77A31" w:rsidRDefault="008819A3"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This study provides </w:t>
      </w:r>
      <w:r w:rsidR="005B4E88">
        <w:rPr>
          <w:rFonts w:ascii="Calibri" w:hAnsi="Calibri" w:cs="Calibri"/>
          <w:sz w:val="22"/>
          <w:szCs w:val="22"/>
        </w:rPr>
        <w:t xml:space="preserve">further </w:t>
      </w:r>
      <w:r w:rsidRPr="00B77A31">
        <w:rPr>
          <w:rFonts w:ascii="Calibri" w:hAnsi="Calibri" w:cs="Calibri"/>
          <w:sz w:val="22"/>
          <w:szCs w:val="22"/>
        </w:rPr>
        <w:t xml:space="preserve">compelling evidence that </w:t>
      </w:r>
      <w:r w:rsidRPr="007B09FA">
        <w:rPr>
          <w:rStyle w:val="Strong"/>
          <w:rFonts w:ascii="Calibri" w:eastAsiaTheme="majorEastAsia" w:hAnsi="Calibri" w:cs="Calibri"/>
          <w:b w:val="0"/>
          <w:bCs w:val="0"/>
          <w:sz w:val="22"/>
          <w:szCs w:val="22"/>
        </w:rPr>
        <w:t>career decision-making during the transition from secondary school is not a neutral or solely developmental task, but a psychologically complex wellbeing process</w:t>
      </w:r>
      <w:r w:rsidRPr="00B77A31">
        <w:rPr>
          <w:rFonts w:ascii="Calibri" w:hAnsi="Calibri" w:cs="Calibri"/>
          <w:sz w:val="22"/>
          <w:szCs w:val="22"/>
        </w:rPr>
        <w:t xml:space="preserve"> with tangible mental health implications. By integrating five globally validated measures within an advanced quantitative modelling framework, the research demonstrates how career indecision interacts with cognitive vulnerability (rumination), perceived agency (sense of control), and personal resources (self</w:t>
      </w:r>
      <w:r w:rsidRPr="00B77A31">
        <w:rPr>
          <w:rFonts w:ascii="Calibri" w:hAnsi="Calibri" w:cs="Calibri"/>
          <w:sz w:val="22"/>
          <w:szCs w:val="22"/>
        </w:rPr>
        <w:noBreakHyphen/>
        <w:t>efficacy) to influence depressive symptomatology.</w:t>
      </w:r>
    </w:p>
    <w:p w14:paraId="0FBDDF0D" w14:textId="45E127A1" w:rsidR="008819A3" w:rsidRPr="00B77A31" w:rsidRDefault="008819A3"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The findings have significant implications for the </w:t>
      </w:r>
      <w:r w:rsidRPr="005B4E88">
        <w:rPr>
          <w:rStyle w:val="Strong"/>
          <w:rFonts w:ascii="Calibri" w:eastAsiaTheme="majorEastAsia" w:hAnsi="Calibri" w:cs="Calibri"/>
          <w:b w:val="0"/>
          <w:bCs w:val="0"/>
          <w:sz w:val="22"/>
          <w:szCs w:val="22"/>
        </w:rPr>
        <w:t>IAEVG wellbeing agenda</w:t>
      </w:r>
      <w:r w:rsidRPr="00B77A31">
        <w:rPr>
          <w:rFonts w:ascii="Calibri" w:hAnsi="Calibri" w:cs="Calibri"/>
          <w:sz w:val="22"/>
          <w:szCs w:val="22"/>
        </w:rPr>
        <w:t xml:space="preserve">, particularly the positioning of career guidance as a preventative and promotive </w:t>
      </w:r>
      <w:r w:rsidR="00497DE0">
        <w:rPr>
          <w:rFonts w:ascii="Calibri" w:hAnsi="Calibri" w:cs="Calibri"/>
          <w:sz w:val="22"/>
          <w:szCs w:val="22"/>
        </w:rPr>
        <w:t xml:space="preserve">positive </w:t>
      </w:r>
      <w:r w:rsidRPr="00B77A31">
        <w:rPr>
          <w:rFonts w:ascii="Calibri" w:hAnsi="Calibri" w:cs="Calibri"/>
          <w:sz w:val="22"/>
          <w:szCs w:val="22"/>
        </w:rPr>
        <w:t>mental health intervention. Career indecision emerged not merely as an outcome of uncertainty, but as an active stressor capable of exacerbating emotional distress—especially when students perceive limited control over external conditions and engage in maladaptive ruminative thinking. The mediating role of perceived external constraints highlights how structural, informational, and contextual factors are experienced psychologically, shaping wellbeing through students’ sense of agency.</w:t>
      </w:r>
    </w:p>
    <w:p w14:paraId="0222B411" w14:textId="77777777" w:rsidR="008819A3" w:rsidRPr="00B77A31" w:rsidRDefault="008819A3" w:rsidP="008143B5">
      <w:pPr>
        <w:pStyle w:val="NormalWeb"/>
        <w:spacing w:line="360" w:lineRule="auto"/>
        <w:jc w:val="both"/>
        <w:rPr>
          <w:rFonts w:ascii="Calibri" w:hAnsi="Calibri" w:cs="Calibri"/>
          <w:sz w:val="22"/>
          <w:szCs w:val="22"/>
        </w:rPr>
      </w:pPr>
      <w:r w:rsidRPr="00B77A31">
        <w:rPr>
          <w:rFonts w:ascii="Calibri" w:hAnsi="Calibri" w:cs="Calibri"/>
          <w:sz w:val="22"/>
          <w:szCs w:val="22"/>
        </w:rPr>
        <w:t>Importantly, the buffering role of self</w:t>
      </w:r>
      <w:r w:rsidRPr="00B77A31">
        <w:rPr>
          <w:rFonts w:ascii="Calibri" w:hAnsi="Calibri" w:cs="Calibri"/>
          <w:sz w:val="22"/>
          <w:szCs w:val="22"/>
        </w:rPr>
        <w:noBreakHyphen/>
        <w:t>efficacy suggests that interventions strengthening confidence in coping and problem-solving may reduce emotional vulnerability, but only when accompanied by strategies that also address perceived barriers and cognitive coping patterns. The moderating effect of ruminative brooding further indicates that without support to manage maladaptive thinking styles, career indecision may become a self</w:t>
      </w:r>
      <w:r w:rsidRPr="00B77A31">
        <w:rPr>
          <w:rFonts w:ascii="Calibri" w:hAnsi="Calibri" w:cs="Calibri"/>
          <w:sz w:val="22"/>
          <w:szCs w:val="22"/>
        </w:rPr>
        <w:noBreakHyphen/>
        <w:t>reinforcing cycle of reduced agency and worsening mental health.</w:t>
      </w:r>
    </w:p>
    <w:p w14:paraId="0862A873" w14:textId="16CF6A82" w:rsidR="008819A3" w:rsidRPr="00B77A31" w:rsidRDefault="008819A3" w:rsidP="008143B5">
      <w:pPr>
        <w:pStyle w:val="NormalWeb"/>
        <w:spacing w:line="360" w:lineRule="auto"/>
        <w:jc w:val="both"/>
        <w:rPr>
          <w:rFonts w:ascii="Calibri" w:hAnsi="Calibri" w:cs="Calibri"/>
          <w:sz w:val="22"/>
          <w:szCs w:val="22"/>
        </w:rPr>
      </w:pPr>
      <w:r w:rsidRPr="00B77A31">
        <w:rPr>
          <w:rFonts w:ascii="Calibri" w:hAnsi="Calibri" w:cs="Calibri"/>
          <w:sz w:val="22"/>
          <w:szCs w:val="22"/>
        </w:rPr>
        <w:t xml:space="preserve">From a practice perspective, the results strongly support </w:t>
      </w:r>
      <w:r w:rsidRPr="00B77A31">
        <w:rPr>
          <w:rStyle w:val="Strong"/>
          <w:rFonts w:ascii="Calibri" w:eastAsiaTheme="majorEastAsia" w:hAnsi="Calibri" w:cs="Calibri"/>
          <w:sz w:val="22"/>
          <w:szCs w:val="22"/>
        </w:rPr>
        <w:t>integrated career and wellbeing models</w:t>
      </w:r>
      <w:r w:rsidRPr="00B77A31">
        <w:rPr>
          <w:rFonts w:ascii="Calibri" w:hAnsi="Calibri" w:cs="Calibri"/>
          <w:sz w:val="22"/>
          <w:szCs w:val="22"/>
        </w:rPr>
        <w:t xml:space="preserve">, aligning closely with IAEVG priorities around holistic guidance, prevention, and sustainable life design. Career practitioners, school counsellors, and policy developers are encouraged to </w:t>
      </w:r>
      <w:r w:rsidR="00DB3C85">
        <w:rPr>
          <w:rFonts w:ascii="Calibri" w:hAnsi="Calibri" w:cs="Calibri"/>
          <w:sz w:val="22"/>
          <w:szCs w:val="22"/>
        </w:rPr>
        <w:t xml:space="preserve">continue to </w:t>
      </w:r>
      <w:r w:rsidRPr="00B77A31">
        <w:rPr>
          <w:rFonts w:ascii="Calibri" w:hAnsi="Calibri" w:cs="Calibri"/>
          <w:sz w:val="22"/>
          <w:szCs w:val="22"/>
        </w:rPr>
        <w:t>move beyond information</w:t>
      </w:r>
      <w:r w:rsidRPr="00B77A31">
        <w:rPr>
          <w:rFonts w:ascii="Calibri" w:hAnsi="Calibri" w:cs="Calibri"/>
          <w:sz w:val="22"/>
          <w:szCs w:val="22"/>
        </w:rPr>
        <w:noBreakHyphen/>
        <w:t xml:space="preserve">based approaches and </w:t>
      </w:r>
      <w:r w:rsidR="00DB3C85">
        <w:rPr>
          <w:rFonts w:ascii="Calibri" w:hAnsi="Calibri" w:cs="Calibri"/>
          <w:sz w:val="22"/>
          <w:szCs w:val="22"/>
        </w:rPr>
        <w:t xml:space="preserve">we need to provide systemic support to </w:t>
      </w:r>
      <w:r w:rsidRPr="00B77A31">
        <w:rPr>
          <w:rFonts w:ascii="Calibri" w:hAnsi="Calibri" w:cs="Calibri"/>
          <w:sz w:val="22"/>
          <w:szCs w:val="22"/>
        </w:rPr>
        <w:t>explicitly assess and respond to wellbeing indicators</w:t>
      </w:r>
      <w:r w:rsidR="00DB3C85">
        <w:rPr>
          <w:rFonts w:ascii="Calibri" w:hAnsi="Calibri" w:cs="Calibri"/>
          <w:sz w:val="22"/>
          <w:szCs w:val="22"/>
        </w:rPr>
        <w:t xml:space="preserve">, </w:t>
      </w:r>
      <w:r w:rsidRPr="00B77A31">
        <w:rPr>
          <w:rFonts w:ascii="Calibri" w:hAnsi="Calibri" w:cs="Calibri"/>
          <w:sz w:val="22"/>
          <w:szCs w:val="22"/>
        </w:rPr>
        <w:t>particularly depressive symptoms, rumination, and perceived control</w:t>
      </w:r>
      <w:r w:rsidR="00DB3C85">
        <w:rPr>
          <w:rFonts w:ascii="Calibri" w:hAnsi="Calibri" w:cs="Calibri"/>
          <w:sz w:val="22"/>
          <w:szCs w:val="22"/>
        </w:rPr>
        <w:t xml:space="preserve"> – specifically </w:t>
      </w:r>
      <w:r w:rsidRPr="00B77A31">
        <w:rPr>
          <w:rFonts w:ascii="Calibri" w:hAnsi="Calibri" w:cs="Calibri"/>
          <w:sz w:val="22"/>
          <w:szCs w:val="22"/>
        </w:rPr>
        <w:t>within career guidance contexts. This has implications for professional training, service design, and early identification of wellbeing risk during educational transitions.</w:t>
      </w:r>
    </w:p>
    <w:p w14:paraId="4BE50711" w14:textId="77777777" w:rsidR="008819A3" w:rsidRPr="00B77A31" w:rsidRDefault="008819A3" w:rsidP="008143B5">
      <w:pPr>
        <w:pStyle w:val="NormalWeb"/>
        <w:spacing w:line="360" w:lineRule="auto"/>
        <w:jc w:val="both"/>
        <w:rPr>
          <w:rFonts w:ascii="Calibri" w:hAnsi="Calibri" w:cs="Calibri"/>
          <w:sz w:val="22"/>
          <w:szCs w:val="22"/>
        </w:rPr>
      </w:pPr>
      <w:r w:rsidRPr="00B77A31">
        <w:rPr>
          <w:rFonts w:ascii="Calibri" w:hAnsi="Calibri" w:cs="Calibri"/>
          <w:sz w:val="22"/>
          <w:szCs w:val="22"/>
        </w:rPr>
        <w:lastRenderedPageBreak/>
        <w:t xml:space="preserve">In conclusion, this research advances international understanding of the </w:t>
      </w:r>
      <w:r w:rsidRPr="00C6710E">
        <w:rPr>
          <w:rStyle w:val="Strong"/>
          <w:rFonts w:ascii="Calibri" w:eastAsiaTheme="majorEastAsia" w:hAnsi="Calibri" w:cs="Calibri"/>
          <w:b w:val="0"/>
          <w:bCs w:val="0"/>
          <w:sz w:val="22"/>
          <w:szCs w:val="22"/>
        </w:rPr>
        <w:t>career–mental health nexus</w:t>
      </w:r>
      <w:r w:rsidRPr="00B77A31">
        <w:rPr>
          <w:rFonts w:ascii="Calibri" w:hAnsi="Calibri" w:cs="Calibri"/>
          <w:sz w:val="22"/>
          <w:szCs w:val="22"/>
        </w:rPr>
        <w:t xml:space="preserve"> by empirically validating a complex, theoretically grounded model that captures the lived psychological realities of adolescents navigating critical transitions. By demonstrating that career guidance can operate as a meaningful site for wellbeing intervention, the study contributes directly to the goals of IAEVG and CATE in promoting guidance practices that support not only career outcomes, but long</w:t>
      </w:r>
      <w:r w:rsidRPr="00B77A31">
        <w:rPr>
          <w:rFonts w:ascii="Calibri" w:hAnsi="Calibri" w:cs="Calibri"/>
          <w:sz w:val="22"/>
          <w:szCs w:val="22"/>
        </w:rPr>
        <w:noBreakHyphen/>
        <w:t>term psychological resilience and life satisfaction.</w:t>
      </w:r>
    </w:p>
    <w:p w14:paraId="59FAB0FA" w14:textId="3CDCD830" w:rsidR="008A59CB" w:rsidRPr="004B6F6D" w:rsidRDefault="004B6F6D" w:rsidP="008143B5">
      <w:pPr>
        <w:spacing w:before="100" w:beforeAutospacing="1" w:after="100" w:afterAutospacing="1" w:line="360" w:lineRule="auto"/>
        <w:jc w:val="both"/>
        <w:rPr>
          <w:rFonts w:ascii="Calibri" w:eastAsia="Times New Roman" w:hAnsi="Calibri" w:cs="Calibri"/>
          <w:b/>
          <w:bCs/>
          <w:kern w:val="0"/>
          <w:sz w:val="22"/>
          <w:szCs w:val="22"/>
          <w:lang w:eastAsia="en-GB"/>
          <w14:ligatures w14:val="none"/>
        </w:rPr>
      </w:pPr>
      <w:r w:rsidRPr="004B6F6D">
        <w:rPr>
          <w:rFonts w:ascii="Calibri" w:eastAsia="Times New Roman" w:hAnsi="Calibri" w:cs="Calibri"/>
          <w:b/>
          <w:bCs/>
          <w:kern w:val="0"/>
          <w:sz w:val="22"/>
          <w:szCs w:val="22"/>
          <w:lang w:eastAsia="en-GB"/>
          <w14:ligatures w14:val="none"/>
        </w:rPr>
        <w:t xml:space="preserve">Final Model: </w:t>
      </w:r>
    </w:p>
    <w:p w14:paraId="7E7EA026" w14:textId="0BFC58C1" w:rsidR="008A59CB" w:rsidRPr="00304B70" w:rsidRDefault="00106CFF" w:rsidP="008143B5">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sidRPr="00106CFF">
        <w:rPr>
          <w:rFonts w:ascii="Calibri" w:eastAsia="Times New Roman" w:hAnsi="Calibri" w:cs="Calibri"/>
          <w:kern w:val="0"/>
          <w:sz w:val="22"/>
          <w:szCs w:val="22"/>
          <w:lang w:eastAsia="en-GB"/>
          <w14:ligatures w14:val="none"/>
        </w:rPr>
        <w:drawing>
          <wp:inline distT="0" distB="0" distL="0" distR="0" wp14:anchorId="6AE58E25" wp14:editId="2C894196">
            <wp:extent cx="5731510" cy="2232025"/>
            <wp:effectExtent l="0" t="0" r="0" b="3175"/>
            <wp:docPr id="826193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93222" name=""/>
                    <pic:cNvPicPr/>
                  </pic:nvPicPr>
                  <pic:blipFill>
                    <a:blip r:embed="rId7"/>
                    <a:stretch>
                      <a:fillRect/>
                    </a:stretch>
                  </pic:blipFill>
                  <pic:spPr>
                    <a:xfrm>
                      <a:off x="0" y="0"/>
                      <a:ext cx="5731510" cy="2232025"/>
                    </a:xfrm>
                    <a:prstGeom prst="rect">
                      <a:avLst/>
                    </a:prstGeom>
                  </pic:spPr>
                </pic:pic>
              </a:graphicData>
            </a:graphic>
          </wp:inline>
        </w:drawing>
      </w:r>
    </w:p>
    <w:p w14:paraId="39C4008C" w14:textId="35E80979" w:rsidR="00304B70" w:rsidRPr="00304B70" w:rsidRDefault="00304B70" w:rsidP="008143B5">
      <w:pPr>
        <w:spacing w:after="0" w:line="360" w:lineRule="auto"/>
        <w:jc w:val="both"/>
        <w:rPr>
          <w:rFonts w:ascii="Calibri" w:eastAsia="Times New Roman" w:hAnsi="Calibri" w:cs="Calibri"/>
          <w:kern w:val="0"/>
          <w:sz w:val="22"/>
          <w:szCs w:val="22"/>
          <w:lang w:eastAsia="en-GB"/>
          <w14:ligatures w14:val="none"/>
        </w:rPr>
      </w:pPr>
    </w:p>
    <w:p w14:paraId="5A76F3E7" w14:textId="0997DF93" w:rsidR="00C6710E" w:rsidRDefault="002B2F31" w:rsidP="00694A94">
      <w:pPr>
        <w:spacing w:before="100" w:beforeAutospacing="1" w:after="100" w:afterAutospacing="1" w:line="360" w:lineRule="auto"/>
        <w:jc w:val="both"/>
        <w:rPr>
          <w:rFonts w:ascii="Calibri" w:eastAsia="Times New Roman" w:hAnsi="Calibri" w:cs="Calibri"/>
          <w:kern w:val="0"/>
          <w:sz w:val="22"/>
          <w:szCs w:val="22"/>
          <w:lang w:eastAsia="en-GB"/>
          <w14:ligatures w14:val="none"/>
        </w:rPr>
      </w:pPr>
      <w:r>
        <w:rPr>
          <w:rFonts w:ascii="Calibri" w:eastAsia="Times New Roman" w:hAnsi="Calibri" w:cs="Calibri"/>
          <w:b/>
          <w:bCs/>
          <w:kern w:val="0"/>
          <w:sz w:val="22"/>
          <w:szCs w:val="22"/>
          <w:lang w:eastAsia="en-GB"/>
          <w14:ligatures w14:val="none"/>
        </w:rPr>
        <w:t xml:space="preserve">Note: </w:t>
      </w:r>
      <w:r w:rsidR="003307C0">
        <w:rPr>
          <w:rFonts w:ascii="Calibri" w:eastAsia="Times New Roman" w:hAnsi="Calibri" w:cs="Calibri"/>
          <w:b/>
          <w:bCs/>
          <w:kern w:val="0"/>
          <w:sz w:val="22"/>
          <w:szCs w:val="22"/>
          <w:lang w:eastAsia="en-GB"/>
          <w14:ligatures w14:val="none"/>
        </w:rPr>
        <w:t>Proposed Paper is based on the following f</w:t>
      </w:r>
      <w:r>
        <w:rPr>
          <w:rFonts w:ascii="Calibri" w:eastAsia="Times New Roman" w:hAnsi="Calibri" w:cs="Calibri"/>
          <w:b/>
          <w:bCs/>
          <w:kern w:val="0"/>
          <w:sz w:val="22"/>
          <w:szCs w:val="22"/>
          <w:lang w:eastAsia="en-GB"/>
          <w14:ligatures w14:val="none"/>
        </w:rPr>
        <w:t xml:space="preserve">ull article published </w:t>
      </w:r>
      <w:r w:rsidR="003307C0">
        <w:rPr>
          <w:rFonts w:ascii="Calibri" w:eastAsia="Times New Roman" w:hAnsi="Calibri" w:cs="Calibri"/>
          <w:b/>
          <w:bCs/>
          <w:kern w:val="0"/>
          <w:sz w:val="22"/>
          <w:szCs w:val="22"/>
          <w:lang w:eastAsia="en-GB"/>
          <w14:ligatures w14:val="none"/>
        </w:rPr>
        <w:t xml:space="preserve">for </w:t>
      </w:r>
      <w:r>
        <w:rPr>
          <w:rFonts w:ascii="Calibri" w:eastAsia="Times New Roman" w:hAnsi="Calibri" w:cs="Calibri"/>
          <w:b/>
          <w:bCs/>
          <w:kern w:val="0"/>
          <w:sz w:val="22"/>
          <w:szCs w:val="22"/>
          <w:lang w:eastAsia="en-GB"/>
          <w14:ligatures w14:val="none"/>
        </w:rPr>
        <w:t xml:space="preserve">reference: </w:t>
      </w:r>
      <w:hyperlink r:id="rId8" w:history="1">
        <w:r w:rsidR="00694A94" w:rsidRPr="00304B70">
          <w:rPr>
            <w:rStyle w:val="Hyperlink"/>
            <w:rFonts w:ascii="Calibri" w:eastAsia="Times New Roman" w:hAnsi="Calibri" w:cs="Calibri"/>
            <w:kern w:val="0"/>
            <w:sz w:val="22"/>
            <w:szCs w:val="22"/>
            <w:lang w:eastAsia="en-GB"/>
            <w14:ligatures w14:val="none"/>
          </w:rPr>
          <w:t>https://doi.org/10.1007/s44202-024-00257-9</w:t>
        </w:r>
      </w:hyperlink>
    </w:p>
    <w:p w14:paraId="2D930D77" w14:textId="77777777" w:rsidR="00C6710E" w:rsidRDefault="00C6710E" w:rsidP="008143B5">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p>
    <w:p w14:paraId="2F55CA96" w14:textId="2077C37B" w:rsidR="00304B70" w:rsidRPr="00304B70" w:rsidRDefault="00304B70" w:rsidP="00BD2760">
      <w:pPr>
        <w:spacing w:before="100" w:beforeAutospacing="1" w:after="100" w:afterAutospacing="1" w:line="360" w:lineRule="auto"/>
        <w:jc w:val="both"/>
        <w:outlineLvl w:val="1"/>
        <w:rPr>
          <w:rFonts w:ascii="Calibri" w:eastAsia="Times New Roman" w:hAnsi="Calibri" w:cs="Calibri"/>
          <w:b/>
          <w:bCs/>
          <w:kern w:val="0"/>
          <w:sz w:val="22"/>
          <w:szCs w:val="22"/>
          <w:lang w:eastAsia="en-GB"/>
          <w14:ligatures w14:val="none"/>
        </w:rPr>
      </w:pPr>
      <w:r w:rsidRPr="00304B70">
        <w:rPr>
          <w:rFonts w:ascii="Calibri" w:eastAsia="Times New Roman" w:hAnsi="Calibri" w:cs="Calibri"/>
          <w:b/>
          <w:bCs/>
          <w:kern w:val="0"/>
          <w:sz w:val="22"/>
          <w:szCs w:val="22"/>
          <w:lang w:eastAsia="en-GB"/>
          <w14:ligatures w14:val="none"/>
        </w:rPr>
        <w:t xml:space="preserve">References </w:t>
      </w:r>
    </w:p>
    <w:p w14:paraId="054FF7CD" w14:textId="76F387C7" w:rsidR="00DD07DE" w:rsidRDefault="005D3CBA" w:rsidP="00BD2760">
      <w:pPr>
        <w:spacing w:line="360" w:lineRule="auto"/>
        <w:rPr>
          <w:rFonts w:ascii="Calibri" w:eastAsia="Times New Roman" w:hAnsi="Calibri" w:cs="Calibri"/>
          <w:kern w:val="0"/>
          <w:sz w:val="22"/>
          <w:szCs w:val="22"/>
          <w:lang w:eastAsia="en-GB"/>
          <w14:ligatures w14:val="none"/>
        </w:rPr>
      </w:pPr>
      <w:r w:rsidRPr="005D3CBA">
        <w:rPr>
          <w:rFonts w:ascii="Calibri" w:eastAsia="Times New Roman" w:hAnsi="Calibri" w:cs="Calibri"/>
          <w:color w:val="000000" w:themeColor="text1"/>
          <w:kern w:val="0"/>
          <w:sz w:val="22"/>
          <w:szCs w:val="22"/>
          <w:lang w:eastAsia="en-GB"/>
          <w14:ligatures w14:val="none"/>
        </w:rPr>
        <w:t xml:space="preserve">Amaral, F., </w:t>
      </w:r>
      <w:proofErr w:type="spellStart"/>
      <w:r w:rsidRPr="005D3CBA">
        <w:rPr>
          <w:rFonts w:ascii="Calibri" w:eastAsia="Times New Roman" w:hAnsi="Calibri" w:cs="Calibri"/>
          <w:color w:val="000000" w:themeColor="text1"/>
          <w:kern w:val="0"/>
          <w:sz w:val="22"/>
          <w:szCs w:val="22"/>
          <w:lang w:eastAsia="en-GB"/>
          <w14:ligatures w14:val="none"/>
        </w:rPr>
        <w:t>Krägeloh</w:t>
      </w:r>
      <w:proofErr w:type="spellEnd"/>
      <w:r w:rsidRPr="005D3CBA">
        <w:rPr>
          <w:rFonts w:ascii="Calibri" w:eastAsia="Times New Roman" w:hAnsi="Calibri" w:cs="Calibri"/>
          <w:color w:val="000000" w:themeColor="text1"/>
          <w:kern w:val="0"/>
          <w:sz w:val="22"/>
          <w:szCs w:val="22"/>
          <w:lang w:eastAsia="en-GB"/>
          <w14:ligatures w14:val="none"/>
        </w:rPr>
        <w:t xml:space="preserve">, C., Henning, M., &amp; Moir, F. (2023). Career indecision, depressive symptoms, self-efficacy and negative thoughts when transitioning from high school: A scoping review. </w:t>
      </w:r>
      <w:r w:rsidRPr="005D3CBA">
        <w:rPr>
          <w:rFonts w:ascii="Calibri" w:eastAsia="Times New Roman" w:hAnsi="Calibri" w:cs="Calibri"/>
          <w:i/>
          <w:iCs/>
          <w:color w:val="000000" w:themeColor="text1"/>
          <w:kern w:val="0"/>
          <w:sz w:val="22"/>
          <w:szCs w:val="22"/>
          <w:lang w:eastAsia="en-GB"/>
          <w14:ligatures w14:val="none"/>
        </w:rPr>
        <w:t>Australian Journal of Career Development, 32</w:t>
      </w:r>
      <w:r w:rsidRPr="005D3CBA">
        <w:rPr>
          <w:rFonts w:ascii="Calibri" w:eastAsia="Times New Roman" w:hAnsi="Calibri" w:cs="Calibri"/>
          <w:color w:val="000000" w:themeColor="text1"/>
          <w:kern w:val="0"/>
          <w:sz w:val="22"/>
          <w:szCs w:val="22"/>
          <w:lang w:eastAsia="en-GB"/>
          <w14:ligatures w14:val="none"/>
        </w:rPr>
        <w:t>(2), 158–169.</w:t>
      </w:r>
      <w:r w:rsidR="00DD07DE">
        <w:rPr>
          <w:rFonts w:ascii="Calibri" w:eastAsia="Times New Roman" w:hAnsi="Calibri" w:cs="Calibri"/>
          <w:color w:val="000000" w:themeColor="text1"/>
          <w:kern w:val="0"/>
          <w:sz w:val="22"/>
          <w:szCs w:val="22"/>
          <w:lang w:eastAsia="en-GB"/>
          <w14:ligatures w14:val="none"/>
        </w:rPr>
        <w:t xml:space="preserve"> </w:t>
      </w:r>
      <w:hyperlink r:id="rId9" w:history="1">
        <w:r w:rsidR="00DD07DE" w:rsidRPr="00A1766F">
          <w:rPr>
            <w:rStyle w:val="Hyperlink"/>
            <w:rFonts w:ascii="Calibri" w:eastAsia="Times New Roman" w:hAnsi="Calibri" w:cs="Calibri"/>
            <w:kern w:val="0"/>
            <w:sz w:val="22"/>
            <w:szCs w:val="22"/>
            <w:lang w:eastAsia="en-GB"/>
            <w14:ligatures w14:val="none"/>
          </w:rPr>
          <w:t>https://doi.org/10.1177/10384162231180339</w:t>
        </w:r>
      </w:hyperlink>
    </w:p>
    <w:p w14:paraId="09499A29" w14:textId="257503A9" w:rsidR="00304B70" w:rsidRDefault="00304B70" w:rsidP="00BD2760">
      <w:pPr>
        <w:spacing w:before="100" w:beforeAutospacing="1" w:after="100" w:afterAutospacing="1" w:line="360" w:lineRule="auto"/>
        <w:jc w:val="both"/>
        <w:rPr>
          <w:rFonts w:ascii="Calibri" w:eastAsia="Times New Roman" w:hAnsi="Calibri" w:cs="Calibri"/>
          <w:color w:val="000000" w:themeColor="text1"/>
          <w:kern w:val="0"/>
          <w:sz w:val="22"/>
          <w:szCs w:val="22"/>
          <w:lang w:eastAsia="en-GB"/>
          <w14:ligatures w14:val="none"/>
        </w:rPr>
      </w:pPr>
      <w:r w:rsidRPr="00304B70">
        <w:rPr>
          <w:rFonts w:ascii="Calibri" w:eastAsia="Times New Roman" w:hAnsi="Calibri" w:cs="Calibri"/>
          <w:color w:val="000000" w:themeColor="text1"/>
          <w:kern w:val="0"/>
          <w:sz w:val="22"/>
          <w:szCs w:val="22"/>
          <w:lang w:eastAsia="en-GB"/>
          <w14:ligatures w14:val="none"/>
        </w:rPr>
        <w:t xml:space="preserve">Amaral, F., </w:t>
      </w:r>
      <w:proofErr w:type="spellStart"/>
      <w:r w:rsidRPr="00304B70">
        <w:rPr>
          <w:rFonts w:ascii="Calibri" w:eastAsia="Times New Roman" w:hAnsi="Calibri" w:cs="Calibri"/>
          <w:color w:val="000000" w:themeColor="text1"/>
          <w:kern w:val="0"/>
          <w:sz w:val="22"/>
          <w:szCs w:val="22"/>
          <w:lang w:eastAsia="en-GB"/>
          <w14:ligatures w14:val="none"/>
        </w:rPr>
        <w:t>Krägeloh</w:t>
      </w:r>
      <w:proofErr w:type="spellEnd"/>
      <w:r w:rsidRPr="00304B70">
        <w:rPr>
          <w:rFonts w:ascii="Calibri" w:eastAsia="Times New Roman" w:hAnsi="Calibri" w:cs="Calibri"/>
          <w:color w:val="000000" w:themeColor="text1"/>
          <w:kern w:val="0"/>
          <w:sz w:val="22"/>
          <w:szCs w:val="22"/>
          <w:lang w:eastAsia="en-GB"/>
          <w14:ligatures w14:val="none"/>
        </w:rPr>
        <w:t xml:space="preserve">, C., Henning, M., &amp; Moir, F. (2024). </w:t>
      </w:r>
      <w:r w:rsidRPr="00304B70">
        <w:rPr>
          <w:rFonts w:ascii="Calibri" w:eastAsia="Times New Roman" w:hAnsi="Calibri" w:cs="Calibri"/>
          <w:i/>
          <w:iCs/>
          <w:color w:val="000000" w:themeColor="text1"/>
          <w:kern w:val="0"/>
          <w:sz w:val="22"/>
          <w:szCs w:val="22"/>
          <w:lang w:eastAsia="en-GB"/>
          <w14:ligatures w14:val="none"/>
        </w:rPr>
        <w:t>A structural equation model analysis of the relationships between career indecision, sense of control, self-efficacy, rumination and depression in high school students</w:t>
      </w:r>
      <w:r w:rsidRPr="00304B70">
        <w:rPr>
          <w:rFonts w:ascii="Calibri" w:eastAsia="Times New Roman" w:hAnsi="Calibri" w:cs="Calibri"/>
          <w:color w:val="000000" w:themeColor="text1"/>
          <w:kern w:val="0"/>
          <w:sz w:val="22"/>
          <w:szCs w:val="22"/>
          <w:lang w:eastAsia="en-GB"/>
          <w14:ligatures w14:val="none"/>
        </w:rPr>
        <w:t xml:space="preserve">. </w:t>
      </w:r>
      <w:r w:rsidRPr="00304B70">
        <w:rPr>
          <w:rFonts w:ascii="Calibri" w:eastAsia="Times New Roman" w:hAnsi="Calibri" w:cs="Calibri"/>
          <w:i/>
          <w:iCs/>
          <w:color w:val="000000" w:themeColor="text1"/>
          <w:kern w:val="0"/>
          <w:sz w:val="22"/>
          <w:szCs w:val="22"/>
          <w:lang w:eastAsia="en-GB"/>
          <w14:ligatures w14:val="none"/>
        </w:rPr>
        <w:t>Discover Psychology, 4</w:t>
      </w:r>
      <w:r w:rsidRPr="00304B70">
        <w:rPr>
          <w:rFonts w:ascii="Calibri" w:eastAsia="Times New Roman" w:hAnsi="Calibri" w:cs="Calibri"/>
          <w:color w:val="000000" w:themeColor="text1"/>
          <w:kern w:val="0"/>
          <w:sz w:val="22"/>
          <w:szCs w:val="22"/>
          <w:lang w:eastAsia="en-GB"/>
          <w14:ligatures w14:val="none"/>
        </w:rPr>
        <w:t xml:space="preserve">, 150. </w:t>
      </w:r>
      <w:hyperlink r:id="rId10" w:history="1">
        <w:r w:rsidR="00DE562E" w:rsidRPr="00304B70">
          <w:rPr>
            <w:rStyle w:val="Hyperlink"/>
            <w:rFonts w:ascii="Calibri" w:eastAsia="Times New Roman" w:hAnsi="Calibri" w:cs="Calibri"/>
            <w:kern w:val="0"/>
            <w:sz w:val="22"/>
            <w:szCs w:val="22"/>
            <w:lang w:eastAsia="en-GB"/>
            <w14:ligatures w14:val="none"/>
          </w:rPr>
          <w:t>https://doi.org/10.1007/s44202-024-00257-9</w:t>
        </w:r>
      </w:hyperlink>
    </w:p>
    <w:p w14:paraId="67ABDD2D" w14:textId="7DACB922" w:rsidR="00304B70" w:rsidRDefault="00304B70" w:rsidP="00BD2760">
      <w:pPr>
        <w:spacing w:line="360" w:lineRule="auto"/>
        <w:rPr>
          <w:rFonts w:ascii="Segoe UI" w:eastAsia="Times New Roman" w:hAnsi="Segoe UI" w:cs="Segoe UI"/>
          <w:kern w:val="0"/>
          <w:sz w:val="21"/>
          <w:szCs w:val="21"/>
          <w:lang w:eastAsia="en-GB"/>
          <w14:ligatures w14:val="none"/>
        </w:rPr>
      </w:pPr>
      <w:r w:rsidRPr="00304B70">
        <w:rPr>
          <w:rFonts w:ascii="Calibri" w:eastAsia="Times New Roman" w:hAnsi="Calibri" w:cs="Calibri"/>
          <w:color w:val="000000" w:themeColor="text1"/>
          <w:kern w:val="0"/>
          <w:sz w:val="22"/>
          <w:szCs w:val="22"/>
          <w:lang w:eastAsia="en-GB"/>
          <w14:ligatures w14:val="none"/>
        </w:rPr>
        <w:lastRenderedPageBreak/>
        <w:t xml:space="preserve">Bandura, A. (1995). </w:t>
      </w:r>
      <w:r w:rsidRPr="00304B70">
        <w:rPr>
          <w:rFonts w:ascii="Calibri" w:eastAsia="Times New Roman" w:hAnsi="Calibri" w:cs="Calibri"/>
          <w:i/>
          <w:iCs/>
          <w:color w:val="000000" w:themeColor="text1"/>
          <w:kern w:val="0"/>
          <w:sz w:val="22"/>
          <w:szCs w:val="22"/>
          <w:lang w:eastAsia="en-GB"/>
          <w14:ligatures w14:val="none"/>
        </w:rPr>
        <w:t>Self-efficacy in changing societies</w:t>
      </w:r>
      <w:r w:rsidRPr="00304B70">
        <w:rPr>
          <w:rFonts w:ascii="Calibri" w:eastAsia="Times New Roman" w:hAnsi="Calibri" w:cs="Calibri"/>
          <w:color w:val="000000" w:themeColor="text1"/>
          <w:kern w:val="0"/>
          <w:sz w:val="22"/>
          <w:szCs w:val="22"/>
          <w:lang w:eastAsia="en-GB"/>
          <w14:ligatures w14:val="none"/>
        </w:rPr>
        <w:t>. Cambridge University Press.</w:t>
      </w:r>
      <w:r w:rsidR="008A4469">
        <w:rPr>
          <w:rFonts w:ascii="Calibri" w:eastAsia="Times New Roman" w:hAnsi="Calibri" w:cs="Calibri"/>
          <w:color w:val="000000" w:themeColor="text1"/>
          <w:kern w:val="0"/>
          <w:sz w:val="22"/>
          <w:szCs w:val="22"/>
          <w:lang w:eastAsia="en-GB"/>
          <w14:ligatures w14:val="none"/>
        </w:rPr>
        <w:t xml:space="preserve"> </w:t>
      </w:r>
      <w:hyperlink r:id="rId11" w:history="1">
        <w:r w:rsidR="008A4469" w:rsidRPr="008A4469">
          <w:rPr>
            <w:rStyle w:val="Hyperlink"/>
            <w:rFonts w:ascii="Calibri" w:eastAsia="Times New Roman" w:hAnsi="Calibri" w:cs="Calibri"/>
            <w:kern w:val="0"/>
            <w:sz w:val="22"/>
            <w:szCs w:val="22"/>
            <w:lang w:eastAsia="en-GB"/>
            <w14:ligatures w14:val="none"/>
          </w:rPr>
          <w:t>https://doi.org/10.1017/CBO9780511527692</w:t>
        </w:r>
      </w:hyperlink>
    </w:p>
    <w:p w14:paraId="66F4D2C9" w14:textId="40EDE72B" w:rsidR="00BF0473" w:rsidRDefault="00304B70" w:rsidP="00BD2760">
      <w:pPr>
        <w:spacing w:line="360" w:lineRule="auto"/>
        <w:rPr>
          <w:rFonts w:ascii="Calibri" w:eastAsia="Times New Roman" w:hAnsi="Calibri" w:cs="Calibri"/>
          <w:kern w:val="0"/>
          <w:sz w:val="22"/>
          <w:szCs w:val="22"/>
          <w:lang w:eastAsia="en-GB"/>
          <w14:ligatures w14:val="none"/>
        </w:rPr>
      </w:pPr>
      <w:r w:rsidRPr="00304B70">
        <w:rPr>
          <w:rFonts w:ascii="Calibri" w:eastAsia="Times New Roman" w:hAnsi="Calibri" w:cs="Calibri"/>
          <w:color w:val="000000" w:themeColor="text1"/>
          <w:kern w:val="0"/>
          <w:sz w:val="22"/>
          <w:szCs w:val="22"/>
          <w:lang w:eastAsia="en-GB"/>
          <w14:ligatures w14:val="none"/>
        </w:rPr>
        <w:t xml:space="preserve">Beck, A. T. </w:t>
      </w:r>
      <w:r w:rsidR="00B6105A">
        <w:rPr>
          <w:rFonts w:ascii="Calibri" w:eastAsia="Times New Roman" w:hAnsi="Calibri" w:cs="Calibri"/>
          <w:color w:val="000000" w:themeColor="text1"/>
          <w:kern w:val="0"/>
          <w:sz w:val="22"/>
          <w:szCs w:val="22"/>
          <w:lang w:eastAsia="en-GB"/>
          <w14:ligatures w14:val="none"/>
        </w:rPr>
        <w:t xml:space="preserve">&amp; Dozois, D.J.A. </w:t>
      </w:r>
      <w:r w:rsidRPr="00304B70">
        <w:rPr>
          <w:rFonts w:ascii="Calibri" w:eastAsia="Times New Roman" w:hAnsi="Calibri" w:cs="Calibri"/>
          <w:color w:val="000000" w:themeColor="text1"/>
          <w:kern w:val="0"/>
          <w:sz w:val="22"/>
          <w:szCs w:val="22"/>
          <w:lang w:eastAsia="en-GB"/>
          <w14:ligatures w14:val="none"/>
        </w:rPr>
        <w:t xml:space="preserve">(2011). Cognitive therapy: Current status and future directions. </w:t>
      </w:r>
      <w:r w:rsidRPr="00304B70">
        <w:rPr>
          <w:rFonts w:ascii="Calibri" w:eastAsia="Times New Roman" w:hAnsi="Calibri" w:cs="Calibri"/>
          <w:i/>
          <w:iCs/>
          <w:color w:val="000000" w:themeColor="text1"/>
          <w:kern w:val="0"/>
          <w:sz w:val="22"/>
          <w:szCs w:val="22"/>
          <w:lang w:eastAsia="en-GB"/>
          <w14:ligatures w14:val="none"/>
        </w:rPr>
        <w:t>Annual Review of Medicine</w:t>
      </w:r>
      <w:r w:rsidRPr="00304B70">
        <w:rPr>
          <w:rFonts w:ascii="Calibri" w:eastAsia="Times New Roman" w:hAnsi="Calibri" w:cs="Calibri"/>
          <w:color w:val="000000" w:themeColor="text1"/>
          <w:kern w:val="0"/>
          <w:sz w:val="22"/>
          <w:szCs w:val="22"/>
          <w:lang w:eastAsia="en-GB"/>
          <w14:ligatures w14:val="none"/>
        </w:rPr>
        <w:t>, 62, 397–409.</w:t>
      </w:r>
      <w:r w:rsidR="008A4469">
        <w:rPr>
          <w:rFonts w:ascii="Calibri" w:eastAsia="Times New Roman" w:hAnsi="Calibri" w:cs="Calibri"/>
          <w:color w:val="000000" w:themeColor="text1"/>
          <w:kern w:val="0"/>
          <w:sz w:val="22"/>
          <w:szCs w:val="22"/>
          <w:lang w:eastAsia="en-GB"/>
          <w14:ligatures w14:val="none"/>
        </w:rPr>
        <w:t xml:space="preserve"> </w:t>
      </w:r>
      <w:hyperlink r:id="rId12" w:history="1">
        <w:r w:rsidR="00BF0473" w:rsidRPr="00A1766F">
          <w:rPr>
            <w:rStyle w:val="Hyperlink"/>
            <w:rFonts w:ascii="Calibri" w:eastAsia="Times New Roman" w:hAnsi="Calibri" w:cs="Calibri"/>
            <w:kern w:val="0"/>
            <w:sz w:val="22"/>
            <w:szCs w:val="22"/>
            <w:lang w:eastAsia="en-GB"/>
            <w14:ligatures w14:val="none"/>
          </w:rPr>
          <w:t>https://doi.org/10.1146/annurev-med-052209-100032</w:t>
        </w:r>
      </w:hyperlink>
    </w:p>
    <w:p w14:paraId="174EC7F6" w14:textId="0181EB58" w:rsidR="00330E9F" w:rsidRDefault="00304B70" w:rsidP="00BD2760">
      <w:pPr>
        <w:spacing w:line="360" w:lineRule="auto"/>
        <w:rPr>
          <w:rFonts w:ascii="Calibri" w:eastAsia="Times New Roman" w:hAnsi="Calibri" w:cs="Calibri"/>
          <w:kern w:val="0"/>
          <w:sz w:val="22"/>
          <w:szCs w:val="22"/>
          <w:lang w:eastAsia="en-GB"/>
          <w14:ligatures w14:val="none"/>
        </w:rPr>
      </w:pPr>
      <w:r w:rsidRPr="00304B70">
        <w:rPr>
          <w:rFonts w:ascii="Calibri" w:eastAsia="Times New Roman" w:hAnsi="Calibri" w:cs="Calibri"/>
          <w:color w:val="000000" w:themeColor="text1"/>
          <w:kern w:val="0"/>
          <w:sz w:val="22"/>
          <w:szCs w:val="22"/>
          <w:lang w:eastAsia="en-GB"/>
          <w14:ligatures w14:val="none"/>
        </w:rPr>
        <w:t xml:space="preserve">Blustein, D. L., et al. (2019). Vocational psychology: Expanding the vision and enhancing the impact. </w:t>
      </w:r>
      <w:proofErr w:type="spellStart"/>
      <w:r w:rsidRPr="00304B70">
        <w:rPr>
          <w:rFonts w:ascii="Calibri" w:eastAsia="Times New Roman" w:hAnsi="Calibri" w:cs="Calibri"/>
          <w:i/>
          <w:iCs/>
          <w:color w:val="000000" w:themeColor="text1"/>
          <w:kern w:val="0"/>
          <w:sz w:val="22"/>
          <w:szCs w:val="22"/>
          <w:lang w:eastAsia="en-GB"/>
          <w14:ligatures w14:val="none"/>
        </w:rPr>
        <w:t>Counseling</w:t>
      </w:r>
      <w:proofErr w:type="spellEnd"/>
      <w:r w:rsidRPr="00304B70">
        <w:rPr>
          <w:rFonts w:ascii="Calibri" w:eastAsia="Times New Roman" w:hAnsi="Calibri" w:cs="Calibri"/>
          <w:i/>
          <w:iCs/>
          <w:color w:val="000000" w:themeColor="text1"/>
          <w:kern w:val="0"/>
          <w:sz w:val="22"/>
          <w:szCs w:val="22"/>
          <w:lang w:eastAsia="en-GB"/>
          <w14:ligatures w14:val="none"/>
        </w:rPr>
        <w:t xml:space="preserve"> Psychologist</w:t>
      </w:r>
      <w:r w:rsidRPr="00304B70">
        <w:rPr>
          <w:rFonts w:ascii="Calibri" w:eastAsia="Times New Roman" w:hAnsi="Calibri" w:cs="Calibri"/>
          <w:color w:val="000000" w:themeColor="text1"/>
          <w:kern w:val="0"/>
          <w:sz w:val="22"/>
          <w:szCs w:val="22"/>
          <w:lang w:eastAsia="en-GB"/>
          <w14:ligatures w14:val="none"/>
        </w:rPr>
        <w:t>, 47, 166–221</w:t>
      </w:r>
      <w:r w:rsidR="00384717" w:rsidRPr="00384717">
        <w:rPr>
          <w:rFonts w:ascii="Calibri" w:hAnsi="Calibri" w:cs="Calibri"/>
          <w:color w:val="000000" w:themeColor="text1"/>
          <w:sz w:val="22"/>
          <w:szCs w:val="22"/>
        </w:rPr>
        <w:t>.</w:t>
      </w:r>
      <w:r w:rsidR="00B6105A">
        <w:rPr>
          <w:rFonts w:ascii="Calibri" w:hAnsi="Calibri" w:cs="Calibri"/>
          <w:color w:val="000000" w:themeColor="text1"/>
          <w:sz w:val="22"/>
          <w:szCs w:val="22"/>
        </w:rPr>
        <w:t xml:space="preserve"> </w:t>
      </w:r>
      <w:hyperlink r:id="rId13" w:history="1">
        <w:r w:rsidR="00A56B31" w:rsidRPr="00A1766F">
          <w:rPr>
            <w:rStyle w:val="Hyperlink"/>
            <w:rFonts w:ascii="Calibri" w:eastAsia="Times New Roman" w:hAnsi="Calibri" w:cs="Calibri"/>
            <w:kern w:val="0"/>
            <w:sz w:val="22"/>
            <w:szCs w:val="22"/>
            <w:lang w:eastAsia="en-GB"/>
            <w14:ligatures w14:val="none"/>
          </w:rPr>
          <w:t>https://doi.org/10.1177/0011000019861213</w:t>
        </w:r>
      </w:hyperlink>
    </w:p>
    <w:p w14:paraId="74172933" w14:textId="11D76011" w:rsidR="00DE562E" w:rsidRDefault="00DD298F" w:rsidP="00BD2760">
      <w:pPr>
        <w:spacing w:before="100" w:beforeAutospacing="1" w:after="100" w:afterAutospacing="1" w:line="360" w:lineRule="auto"/>
        <w:jc w:val="both"/>
        <w:rPr>
          <w:rFonts w:ascii="Calibri" w:hAnsi="Calibri" w:cs="Calibri"/>
          <w:color w:val="000000" w:themeColor="text1"/>
          <w:sz w:val="22"/>
          <w:szCs w:val="22"/>
          <w:shd w:val="clear" w:color="auto" w:fill="FFFFFF"/>
        </w:rPr>
      </w:pPr>
      <w:r w:rsidRPr="00384717">
        <w:rPr>
          <w:rFonts w:ascii="Calibri" w:hAnsi="Calibri" w:cs="Calibri"/>
          <w:color w:val="000000" w:themeColor="text1"/>
          <w:sz w:val="22"/>
          <w:szCs w:val="22"/>
          <w:shd w:val="clear" w:color="auto" w:fill="FFFFFF"/>
        </w:rPr>
        <w:t xml:space="preserve">Fleming, T., Ball, J., Bavin, L., Rivera-Rodriguez, C., Peiris-John, R., </w:t>
      </w:r>
      <w:proofErr w:type="spellStart"/>
      <w:r w:rsidRPr="00384717">
        <w:rPr>
          <w:rFonts w:ascii="Calibri" w:hAnsi="Calibri" w:cs="Calibri"/>
          <w:color w:val="000000" w:themeColor="text1"/>
          <w:sz w:val="22"/>
          <w:szCs w:val="22"/>
          <w:shd w:val="clear" w:color="auto" w:fill="FFFFFF"/>
        </w:rPr>
        <w:t>Crengle</w:t>
      </w:r>
      <w:proofErr w:type="spellEnd"/>
      <w:r w:rsidRPr="00384717">
        <w:rPr>
          <w:rFonts w:ascii="Calibri" w:hAnsi="Calibri" w:cs="Calibri"/>
          <w:color w:val="000000" w:themeColor="text1"/>
          <w:sz w:val="22"/>
          <w:szCs w:val="22"/>
          <w:shd w:val="clear" w:color="auto" w:fill="FFFFFF"/>
        </w:rPr>
        <w:t>, S., … Clark, T. C. (2022). Mixed progress in adolescent health and wellbeing in Aotearoa New Zealand 2001–2019: a population overview from the Youth2000 survey series. </w:t>
      </w:r>
      <w:r w:rsidRPr="00384717">
        <w:rPr>
          <w:rFonts w:ascii="Calibri" w:hAnsi="Calibri" w:cs="Calibri"/>
          <w:i/>
          <w:iCs/>
          <w:color w:val="000000" w:themeColor="text1"/>
          <w:sz w:val="22"/>
          <w:szCs w:val="22"/>
          <w:shd w:val="clear" w:color="auto" w:fill="FFFFFF"/>
        </w:rPr>
        <w:t>Journal of the Royal Society of New Zealand</w:t>
      </w:r>
      <w:r w:rsidRPr="00384717">
        <w:rPr>
          <w:rFonts w:ascii="Calibri" w:hAnsi="Calibri" w:cs="Calibri"/>
          <w:color w:val="000000" w:themeColor="text1"/>
          <w:sz w:val="22"/>
          <w:szCs w:val="22"/>
          <w:shd w:val="clear" w:color="auto" w:fill="FFFFFF"/>
        </w:rPr>
        <w:t>, </w:t>
      </w:r>
      <w:r w:rsidRPr="00384717">
        <w:rPr>
          <w:rFonts w:ascii="Calibri" w:hAnsi="Calibri" w:cs="Calibri"/>
          <w:i/>
          <w:iCs/>
          <w:color w:val="000000" w:themeColor="text1"/>
          <w:sz w:val="22"/>
          <w:szCs w:val="22"/>
          <w:shd w:val="clear" w:color="auto" w:fill="FFFFFF"/>
        </w:rPr>
        <w:t>52</w:t>
      </w:r>
      <w:r w:rsidRPr="00384717">
        <w:rPr>
          <w:rFonts w:ascii="Calibri" w:hAnsi="Calibri" w:cs="Calibri"/>
          <w:color w:val="000000" w:themeColor="text1"/>
          <w:sz w:val="22"/>
          <w:szCs w:val="22"/>
          <w:shd w:val="clear" w:color="auto" w:fill="FFFFFF"/>
        </w:rPr>
        <w:t xml:space="preserve">(4), 426–449. </w:t>
      </w:r>
      <w:hyperlink r:id="rId14" w:history="1">
        <w:r w:rsidR="00DE562E" w:rsidRPr="00A1766F">
          <w:rPr>
            <w:rStyle w:val="Hyperlink"/>
            <w:rFonts w:ascii="Calibri" w:hAnsi="Calibri" w:cs="Calibri"/>
            <w:sz w:val="22"/>
            <w:szCs w:val="22"/>
            <w:shd w:val="clear" w:color="auto" w:fill="FFFFFF"/>
          </w:rPr>
          <w:t>https://doi.org/10.1080/03036758.2022.2072349</w:t>
        </w:r>
      </w:hyperlink>
    </w:p>
    <w:p w14:paraId="2EFB4D57" w14:textId="795B20D9" w:rsidR="00702D11" w:rsidRDefault="00897A2D" w:rsidP="00702D11">
      <w:pPr>
        <w:spacing w:line="300" w:lineRule="atLeast"/>
        <w:rPr>
          <w:rFonts w:ascii="Calibri" w:eastAsia="Times New Roman" w:hAnsi="Calibri" w:cs="Calibri"/>
          <w:kern w:val="0"/>
          <w:sz w:val="22"/>
          <w:szCs w:val="22"/>
          <w:lang w:eastAsia="en-GB"/>
          <w14:ligatures w14:val="none"/>
        </w:rPr>
      </w:pPr>
      <w:r w:rsidRPr="00897A2D">
        <w:rPr>
          <w:rFonts w:ascii="Calibri" w:eastAsia="Times New Roman" w:hAnsi="Calibri" w:cs="Calibri"/>
          <w:color w:val="000000" w:themeColor="text1"/>
          <w:kern w:val="0"/>
          <w:sz w:val="22"/>
          <w:szCs w:val="22"/>
          <w:lang w:eastAsia="en-GB"/>
          <w14:ligatures w14:val="none"/>
        </w:rPr>
        <w:t xml:space="preserve">Lent, R. W., et al. (2017). Social cognitive career theory. </w:t>
      </w:r>
      <w:r w:rsidRPr="00897A2D">
        <w:rPr>
          <w:rFonts w:ascii="Calibri" w:eastAsia="Times New Roman" w:hAnsi="Calibri" w:cs="Calibri"/>
          <w:i/>
          <w:iCs/>
          <w:color w:val="000000" w:themeColor="text1"/>
          <w:kern w:val="0"/>
          <w:sz w:val="22"/>
          <w:szCs w:val="22"/>
          <w:lang w:eastAsia="en-GB"/>
          <w14:ligatures w14:val="none"/>
        </w:rPr>
        <w:t xml:space="preserve">Journal of Vocational </w:t>
      </w:r>
      <w:proofErr w:type="spellStart"/>
      <w:r w:rsidRPr="00897A2D">
        <w:rPr>
          <w:rFonts w:ascii="Calibri" w:eastAsia="Times New Roman" w:hAnsi="Calibri" w:cs="Calibri"/>
          <w:i/>
          <w:iCs/>
          <w:color w:val="000000" w:themeColor="text1"/>
          <w:kern w:val="0"/>
          <w:sz w:val="22"/>
          <w:szCs w:val="22"/>
          <w:lang w:eastAsia="en-GB"/>
          <w14:ligatures w14:val="none"/>
        </w:rPr>
        <w:t>Behavior</w:t>
      </w:r>
      <w:proofErr w:type="spellEnd"/>
      <w:r w:rsidRPr="00897A2D">
        <w:rPr>
          <w:rFonts w:ascii="Calibri" w:eastAsia="Times New Roman" w:hAnsi="Calibri" w:cs="Calibri"/>
          <w:i/>
          <w:iCs/>
          <w:color w:val="000000" w:themeColor="text1"/>
          <w:kern w:val="0"/>
          <w:sz w:val="22"/>
          <w:szCs w:val="22"/>
          <w:lang w:eastAsia="en-GB"/>
          <w14:ligatures w14:val="none"/>
        </w:rPr>
        <w:t>, 99</w:t>
      </w:r>
      <w:r w:rsidRPr="00897A2D">
        <w:rPr>
          <w:rFonts w:ascii="Calibri" w:eastAsia="Times New Roman" w:hAnsi="Calibri" w:cs="Calibri"/>
          <w:color w:val="000000" w:themeColor="text1"/>
          <w:kern w:val="0"/>
          <w:sz w:val="22"/>
          <w:szCs w:val="22"/>
          <w:lang w:eastAsia="en-GB"/>
          <w14:ligatures w14:val="none"/>
        </w:rPr>
        <w:t>, 107–117.</w:t>
      </w:r>
      <w:r w:rsidR="00BD2760" w:rsidRPr="00702D11">
        <w:rPr>
          <w:rFonts w:ascii="Calibri" w:eastAsia="Times New Roman" w:hAnsi="Calibri" w:cs="Calibri"/>
          <w:color w:val="000000" w:themeColor="text1"/>
          <w:kern w:val="0"/>
          <w:sz w:val="22"/>
          <w:szCs w:val="22"/>
          <w:lang w:eastAsia="en-GB"/>
          <w14:ligatures w14:val="none"/>
        </w:rPr>
        <w:t xml:space="preserve"> </w:t>
      </w:r>
      <w:hyperlink r:id="rId15" w:history="1">
        <w:r w:rsidR="00702D11" w:rsidRPr="00A1766F">
          <w:rPr>
            <w:rStyle w:val="Hyperlink"/>
            <w:rFonts w:ascii="Calibri" w:eastAsia="Times New Roman" w:hAnsi="Calibri" w:cs="Calibri"/>
            <w:kern w:val="0"/>
            <w:sz w:val="22"/>
            <w:szCs w:val="22"/>
            <w:lang w:eastAsia="en-GB"/>
            <w14:ligatures w14:val="none"/>
          </w:rPr>
          <w:t>https://doi.org/10.1016/j.jvb.2017.01.002</w:t>
        </w:r>
      </w:hyperlink>
    </w:p>
    <w:p w14:paraId="2ADD0745" w14:textId="77777777" w:rsidR="00702D11" w:rsidRPr="00702D11" w:rsidRDefault="00702D11" w:rsidP="00702D11">
      <w:pPr>
        <w:spacing w:line="300" w:lineRule="atLeast"/>
        <w:rPr>
          <w:rFonts w:ascii="Calibri" w:eastAsia="Times New Roman" w:hAnsi="Calibri" w:cs="Calibri"/>
          <w:kern w:val="0"/>
          <w:sz w:val="22"/>
          <w:szCs w:val="22"/>
          <w:lang w:eastAsia="en-GB"/>
          <w14:ligatures w14:val="none"/>
        </w:rPr>
      </w:pPr>
    </w:p>
    <w:p w14:paraId="59036288" w14:textId="3905C1DA" w:rsidR="00702D11" w:rsidRDefault="00304B70" w:rsidP="00702D11">
      <w:pPr>
        <w:spacing w:line="300" w:lineRule="atLeast"/>
        <w:rPr>
          <w:rFonts w:ascii="Calibri" w:eastAsia="Times New Roman" w:hAnsi="Calibri" w:cs="Calibri"/>
          <w:kern w:val="0"/>
          <w:sz w:val="22"/>
          <w:szCs w:val="22"/>
          <w:lang w:eastAsia="en-GB"/>
          <w14:ligatures w14:val="none"/>
        </w:rPr>
      </w:pPr>
      <w:r w:rsidRPr="00304B70">
        <w:rPr>
          <w:rFonts w:ascii="Calibri" w:eastAsia="Times New Roman" w:hAnsi="Calibri" w:cs="Calibri"/>
          <w:color w:val="000000" w:themeColor="text1"/>
          <w:kern w:val="0"/>
          <w:sz w:val="22"/>
          <w:szCs w:val="22"/>
          <w:lang w:eastAsia="en-GB"/>
          <w14:ligatures w14:val="none"/>
        </w:rPr>
        <w:t xml:space="preserve">Nolen-Hoeksema, S., Wisco, B. E., &amp; Lyubomirsky, S. (2008). Rethinking rumination. </w:t>
      </w:r>
      <w:r w:rsidRPr="00304B70">
        <w:rPr>
          <w:rFonts w:ascii="Calibri" w:eastAsia="Times New Roman" w:hAnsi="Calibri" w:cs="Calibri"/>
          <w:i/>
          <w:iCs/>
          <w:color w:val="000000" w:themeColor="text1"/>
          <w:kern w:val="0"/>
          <w:sz w:val="22"/>
          <w:szCs w:val="22"/>
          <w:lang w:eastAsia="en-GB"/>
          <w14:ligatures w14:val="none"/>
        </w:rPr>
        <w:t>Perspectives on Psychological Science</w:t>
      </w:r>
      <w:r w:rsidRPr="00304B70">
        <w:rPr>
          <w:rFonts w:ascii="Calibri" w:eastAsia="Times New Roman" w:hAnsi="Calibri" w:cs="Calibri"/>
          <w:color w:val="000000" w:themeColor="text1"/>
          <w:kern w:val="0"/>
          <w:sz w:val="22"/>
          <w:szCs w:val="22"/>
          <w:lang w:eastAsia="en-GB"/>
          <w14:ligatures w14:val="none"/>
        </w:rPr>
        <w:t>, 3(5), 400–424.</w:t>
      </w:r>
      <w:r w:rsidR="00702D11" w:rsidRPr="00702D11">
        <w:rPr>
          <w:rFonts w:ascii="Calibri" w:eastAsia="Times New Roman" w:hAnsi="Calibri" w:cs="Calibri"/>
          <w:color w:val="000000" w:themeColor="text1"/>
          <w:kern w:val="0"/>
          <w:sz w:val="22"/>
          <w:szCs w:val="22"/>
          <w:lang w:eastAsia="en-GB"/>
          <w14:ligatures w14:val="none"/>
        </w:rPr>
        <w:t xml:space="preserve"> </w:t>
      </w:r>
      <w:hyperlink r:id="rId16" w:history="1">
        <w:r w:rsidR="00702D11" w:rsidRPr="00A1766F">
          <w:rPr>
            <w:rStyle w:val="Hyperlink"/>
            <w:rFonts w:ascii="Calibri" w:eastAsia="Times New Roman" w:hAnsi="Calibri" w:cs="Calibri"/>
            <w:kern w:val="0"/>
            <w:sz w:val="22"/>
            <w:szCs w:val="22"/>
            <w:lang w:eastAsia="en-GB"/>
            <w14:ligatures w14:val="none"/>
          </w:rPr>
          <w:t>https://doi.org/10.1111/j.1745-6924.2008.00088.x</w:t>
        </w:r>
      </w:hyperlink>
    </w:p>
    <w:p w14:paraId="4872C6FF" w14:textId="77777777" w:rsidR="00702D11" w:rsidRPr="00702D11" w:rsidRDefault="00702D11" w:rsidP="00702D11">
      <w:pPr>
        <w:spacing w:line="300" w:lineRule="atLeast"/>
        <w:rPr>
          <w:rFonts w:ascii="Calibri" w:eastAsia="Times New Roman" w:hAnsi="Calibri" w:cs="Calibri"/>
          <w:kern w:val="0"/>
          <w:sz w:val="22"/>
          <w:szCs w:val="22"/>
          <w:lang w:eastAsia="en-GB"/>
          <w14:ligatures w14:val="none"/>
        </w:rPr>
      </w:pPr>
    </w:p>
    <w:p w14:paraId="0EC20A5A" w14:textId="71E7D3D2" w:rsidR="00304B70" w:rsidRPr="00304B70" w:rsidRDefault="00304B70" w:rsidP="00BD2760">
      <w:pPr>
        <w:spacing w:before="100" w:beforeAutospacing="1" w:after="100" w:afterAutospacing="1" w:line="360" w:lineRule="auto"/>
        <w:jc w:val="both"/>
        <w:rPr>
          <w:rFonts w:ascii="Calibri" w:eastAsia="Times New Roman" w:hAnsi="Calibri" w:cs="Calibri"/>
          <w:color w:val="000000" w:themeColor="text1"/>
          <w:kern w:val="0"/>
          <w:sz w:val="22"/>
          <w:szCs w:val="22"/>
          <w:lang w:eastAsia="en-GB"/>
          <w14:ligatures w14:val="none"/>
        </w:rPr>
      </w:pPr>
    </w:p>
    <w:p w14:paraId="51A6A33F" w14:textId="77777777" w:rsidR="004244A8" w:rsidRPr="00B77A31" w:rsidRDefault="004244A8" w:rsidP="008143B5">
      <w:pPr>
        <w:spacing w:line="360" w:lineRule="auto"/>
        <w:jc w:val="both"/>
        <w:rPr>
          <w:rFonts w:ascii="Calibri" w:hAnsi="Calibri" w:cs="Calibri"/>
          <w:sz w:val="22"/>
          <w:szCs w:val="22"/>
        </w:rPr>
      </w:pPr>
    </w:p>
    <w:sectPr w:rsidR="004244A8" w:rsidRPr="00B77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7278A"/>
    <w:multiLevelType w:val="multilevel"/>
    <w:tmpl w:val="1F7E8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161F46"/>
    <w:multiLevelType w:val="multilevel"/>
    <w:tmpl w:val="0B6A5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7A6F0D"/>
    <w:multiLevelType w:val="multilevel"/>
    <w:tmpl w:val="0C741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3117045">
    <w:abstractNumId w:val="1"/>
  </w:num>
  <w:num w:numId="2" w16cid:durableId="153379895">
    <w:abstractNumId w:val="0"/>
  </w:num>
  <w:num w:numId="3" w16cid:durableId="44792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70"/>
    <w:rsid w:val="0000015A"/>
    <w:rsid w:val="00067EDA"/>
    <w:rsid w:val="000A4D28"/>
    <w:rsid w:val="000E076C"/>
    <w:rsid w:val="000E74A8"/>
    <w:rsid w:val="000E7F2F"/>
    <w:rsid w:val="00106CFF"/>
    <w:rsid w:val="00143AC4"/>
    <w:rsid w:val="001C21B7"/>
    <w:rsid w:val="001D7935"/>
    <w:rsid w:val="002070D7"/>
    <w:rsid w:val="0024605C"/>
    <w:rsid w:val="002500C0"/>
    <w:rsid w:val="002B2F31"/>
    <w:rsid w:val="002B6DA8"/>
    <w:rsid w:val="002E07F3"/>
    <w:rsid w:val="00301DAB"/>
    <w:rsid w:val="00304B70"/>
    <w:rsid w:val="003307C0"/>
    <w:rsid w:val="00330E9F"/>
    <w:rsid w:val="00337893"/>
    <w:rsid w:val="00384717"/>
    <w:rsid w:val="003E530A"/>
    <w:rsid w:val="003F4112"/>
    <w:rsid w:val="004244A8"/>
    <w:rsid w:val="00433A00"/>
    <w:rsid w:val="00447FB3"/>
    <w:rsid w:val="004619D5"/>
    <w:rsid w:val="00497DE0"/>
    <w:rsid w:val="004A0D30"/>
    <w:rsid w:val="004B5370"/>
    <w:rsid w:val="004B6F6D"/>
    <w:rsid w:val="0052791C"/>
    <w:rsid w:val="00542BD1"/>
    <w:rsid w:val="005B4E88"/>
    <w:rsid w:val="005D3CBA"/>
    <w:rsid w:val="00622F94"/>
    <w:rsid w:val="00694A94"/>
    <w:rsid w:val="00694D66"/>
    <w:rsid w:val="006B1169"/>
    <w:rsid w:val="00702D11"/>
    <w:rsid w:val="00724704"/>
    <w:rsid w:val="007303B3"/>
    <w:rsid w:val="007667DC"/>
    <w:rsid w:val="007B09FA"/>
    <w:rsid w:val="007E0DC9"/>
    <w:rsid w:val="008143B5"/>
    <w:rsid w:val="008819A3"/>
    <w:rsid w:val="00897A2D"/>
    <w:rsid w:val="008A4469"/>
    <w:rsid w:val="008A59CB"/>
    <w:rsid w:val="009059B8"/>
    <w:rsid w:val="00910D3E"/>
    <w:rsid w:val="00923C40"/>
    <w:rsid w:val="0099761F"/>
    <w:rsid w:val="009C2E36"/>
    <w:rsid w:val="009C410A"/>
    <w:rsid w:val="00A45178"/>
    <w:rsid w:val="00A56B31"/>
    <w:rsid w:val="00A70A50"/>
    <w:rsid w:val="00AD7F62"/>
    <w:rsid w:val="00B42797"/>
    <w:rsid w:val="00B6105A"/>
    <w:rsid w:val="00B77A31"/>
    <w:rsid w:val="00BC4760"/>
    <w:rsid w:val="00BD2760"/>
    <w:rsid w:val="00BF0473"/>
    <w:rsid w:val="00BF309B"/>
    <w:rsid w:val="00C116C1"/>
    <w:rsid w:val="00C33EF9"/>
    <w:rsid w:val="00C52591"/>
    <w:rsid w:val="00C6710E"/>
    <w:rsid w:val="00C8227F"/>
    <w:rsid w:val="00C835B5"/>
    <w:rsid w:val="00CB40D0"/>
    <w:rsid w:val="00CB686F"/>
    <w:rsid w:val="00D50CA5"/>
    <w:rsid w:val="00DB3C85"/>
    <w:rsid w:val="00DD07DE"/>
    <w:rsid w:val="00DD225B"/>
    <w:rsid w:val="00DD298F"/>
    <w:rsid w:val="00DE41F2"/>
    <w:rsid w:val="00DE562E"/>
    <w:rsid w:val="00DF2609"/>
    <w:rsid w:val="00E471FA"/>
    <w:rsid w:val="00E520B5"/>
    <w:rsid w:val="00ED64D8"/>
    <w:rsid w:val="00F950E9"/>
    <w:rsid w:val="00FA67E7"/>
    <w:rsid w:val="00FB0FE8"/>
    <w:rsid w:val="00FB7DEB"/>
    <w:rsid w:val="00FD6C3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2F34"/>
  <w15:chartTrackingRefBased/>
  <w15:docId w15:val="{95D33F7D-82AB-B34F-8068-E91241CF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B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4B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B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B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B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B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4B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B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B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B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B70"/>
    <w:rPr>
      <w:rFonts w:eastAsiaTheme="majorEastAsia" w:cstheme="majorBidi"/>
      <w:color w:val="272727" w:themeColor="text1" w:themeTint="D8"/>
    </w:rPr>
  </w:style>
  <w:style w:type="paragraph" w:styleId="Title">
    <w:name w:val="Title"/>
    <w:basedOn w:val="Normal"/>
    <w:next w:val="Normal"/>
    <w:link w:val="TitleChar"/>
    <w:uiPriority w:val="10"/>
    <w:qFormat/>
    <w:rsid w:val="00304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B70"/>
    <w:pPr>
      <w:spacing w:before="160"/>
      <w:jc w:val="center"/>
    </w:pPr>
    <w:rPr>
      <w:i/>
      <w:iCs/>
      <w:color w:val="404040" w:themeColor="text1" w:themeTint="BF"/>
    </w:rPr>
  </w:style>
  <w:style w:type="character" w:customStyle="1" w:styleId="QuoteChar">
    <w:name w:val="Quote Char"/>
    <w:basedOn w:val="DefaultParagraphFont"/>
    <w:link w:val="Quote"/>
    <w:uiPriority w:val="29"/>
    <w:rsid w:val="00304B70"/>
    <w:rPr>
      <w:i/>
      <w:iCs/>
      <w:color w:val="404040" w:themeColor="text1" w:themeTint="BF"/>
    </w:rPr>
  </w:style>
  <w:style w:type="paragraph" w:styleId="ListParagraph">
    <w:name w:val="List Paragraph"/>
    <w:basedOn w:val="Normal"/>
    <w:uiPriority w:val="34"/>
    <w:qFormat/>
    <w:rsid w:val="00304B70"/>
    <w:pPr>
      <w:ind w:left="720"/>
      <w:contextualSpacing/>
    </w:pPr>
  </w:style>
  <w:style w:type="character" w:styleId="IntenseEmphasis">
    <w:name w:val="Intense Emphasis"/>
    <w:basedOn w:val="DefaultParagraphFont"/>
    <w:uiPriority w:val="21"/>
    <w:qFormat/>
    <w:rsid w:val="00304B70"/>
    <w:rPr>
      <w:i/>
      <w:iCs/>
      <w:color w:val="0F4761" w:themeColor="accent1" w:themeShade="BF"/>
    </w:rPr>
  </w:style>
  <w:style w:type="paragraph" w:styleId="IntenseQuote">
    <w:name w:val="Intense Quote"/>
    <w:basedOn w:val="Normal"/>
    <w:next w:val="Normal"/>
    <w:link w:val="IntenseQuoteChar"/>
    <w:uiPriority w:val="30"/>
    <w:qFormat/>
    <w:rsid w:val="00304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B70"/>
    <w:rPr>
      <w:i/>
      <w:iCs/>
      <w:color w:val="0F4761" w:themeColor="accent1" w:themeShade="BF"/>
    </w:rPr>
  </w:style>
  <w:style w:type="character" w:styleId="IntenseReference">
    <w:name w:val="Intense Reference"/>
    <w:basedOn w:val="DefaultParagraphFont"/>
    <w:uiPriority w:val="32"/>
    <w:qFormat/>
    <w:rsid w:val="00304B70"/>
    <w:rPr>
      <w:b/>
      <w:bCs/>
      <w:smallCaps/>
      <w:color w:val="0F4761" w:themeColor="accent1" w:themeShade="BF"/>
      <w:spacing w:val="5"/>
    </w:rPr>
  </w:style>
  <w:style w:type="paragraph" w:styleId="NormalWeb">
    <w:name w:val="Normal (Web)"/>
    <w:basedOn w:val="Normal"/>
    <w:uiPriority w:val="99"/>
    <w:unhideWhenUsed/>
    <w:rsid w:val="00304B7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04B70"/>
    <w:rPr>
      <w:b/>
      <w:bCs/>
    </w:rPr>
  </w:style>
  <w:style w:type="character" w:styleId="Emphasis">
    <w:name w:val="Emphasis"/>
    <w:basedOn w:val="DefaultParagraphFont"/>
    <w:uiPriority w:val="20"/>
    <w:qFormat/>
    <w:rsid w:val="00304B70"/>
    <w:rPr>
      <w:i/>
      <w:iCs/>
    </w:rPr>
  </w:style>
  <w:style w:type="character" w:styleId="Hyperlink">
    <w:name w:val="Hyperlink"/>
    <w:basedOn w:val="DefaultParagraphFont"/>
    <w:uiPriority w:val="99"/>
    <w:unhideWhenUsed/>
    <w:rsid w:val="007E0DC9"/>
    <w:rPr>
      <w:color w:val="467886" w:themeColor="hyperlink"/>
      <w:u w:val="single"/>
    </w:rPr>
  </w:style>
  <w:style w:type="character" w:styleId="UnresolvedMention">
    <w:name w:val="Unresolved Mention"/>
    <w:basedOn w:val="DefaultParagraphFont"/>
    <w:uiPriority w:val="99"/>
    <w:semiHidden/>
    <w:unhideWhenUsed/>
    <w:rsid w:val="007E0DC9"/>
    <w:rPr>
      <w:color w:val="605E5C"/>
      <w:shd w:val="clear" w:color="auto" w:fill="E1DFDD"/>
    </w:rPr>
  </w:style>
  <w:style w:type="paragraph" w:customStyle="1" w:styleId="p1">
    <w:name w:val="p1"/>
    <w:basedOn w:val="Normal"/>
    <w:rsid w:val="002B6DA8"/>
    <w:pPr>
      <w:spacing w:after="0" w:line="240" w:lineRule="auto"/>
    </w:pPr>
    <w:rPr>
      <w:rFonts w:ascii="Helvetica" w:eastAsia="Times New Roman" w:hAnsi="Helvetica" w:cs="Times New Roman"/>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4202-024-00257-9" TargetMode="External"/><Relationship Id="rId13" Type="http://schemas.openxmlformats.org/officeDocument/2006/relationships/hyperlink" Target="https://doi.org/10.1177/001100001986121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doi.org/10.1146/annurev-med-052209-10003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11/j.1745-6924.2008.00088.x" TargetMode="External"/><Relationship Id="rId1" Type="http://schemas.openxmlformats.org/officeDocument/2006/relationships/customXml" Target="../customXml/item1.xml"/><Relationship Id="rId6" Type="http://schemas.openxmlformats.org/officeDocument/2006/relationships/hyperlink" Target="mailto:fay@whitecliffe.ac.nz" TargetMode="External"/><Relationship Id="rId11" Type="http://schemas.openxmlformats.org/officeDocument/2006/relationships/hyperlink" Target="https://doi.org/10.1017/CBO9780511527692" TargetMode="External"/><Relationship Id="rId5" Type="http://schemas.openxmlformats.org/officeDocument/2006/relationships/webSettings" Target="webSettings.xml"/><Relationship Id="rId15" Type="http://schemas.openxmlformats.org/officeDocument/2006/relationships/hyperlink" Target="https://doi.org/10.1016/j.jvb.2017.01.002" TargetMode="External"/><Relationship Id="rId10" Type="http://schemas.openxmlformats.org/officeDocument/2006/relationships/hyperlink" Target="https://doi.org/10.1007/s44202-024-00257-9" TargetMode="External"/><Relationship Id="rId4" Type="http://schemas.openxmlformats.org/officeDocument/2006/relationships/settings" Target="settings.xml"/><Relationship Id="rId9" Type="http://schemas.openxmlformats.org/officeDocument/2006/relationships/hyperlink" Target="https://doi.org/10.1177/10384162231180339" TargetMode="External"/><Relationship Id="rId14" Type="http://schemas.openxmlformats.org/officeDocument/2006/relationships/hyperlink" Target="https://doi.org/10.1080/03036758.2022.20723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69596-C991-154C-B01A-E11A11F9F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2603</Words>
  <Characters>18148</Characters>
  <Application>Microsoft Office Word</Application>
  <DocSecurity>0</DocSecurity>
  <Lines>232</Lines>
  <Paragraphs>36</Paragraphs>
  <ScaleCrop>false</ScaleCrop>
  <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Amaral</dc:creator>
  <cp:keywords/>
  <dc:description/>
  <cp:lastModifiedBy>Fay Amaral</cp:lastModifiedBy>
  <cp:revision>2</cp:revision>
  <dcterms:created xsi:type="dcterms:W3CDTF">2026-04-15T05:01:00Z</dcterms:created>
  <dcterms:modified xsi:type="dcterms:W3CDTF">2026-04-15T05:01:00Z</dcterms:modified>
</cp:coreProperties>
</file>