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29B7" w:rsidRPr="00E02074" w:rsidRDefault="007629B7"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Dr. Lorraine Godden</w:t>
      </w:r>
    </w:p>
    <w:p w:rsidR="007629B7" w:rsidRPr="00E02074" w:rsidRDefault="007629B7"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 xml:space="preserve">Associate Faculty </w:t>
      </w:r>
    </w:p>
    <w:p w:rsidR="007629B7" w:rsidRPr="00E02074" w:rsidRDefault="00000000" w:rsidP="00E02074">
      <w:pPr>
        <w:pStyle w:val="p1"/>
        <w:spacing w:line="360" w:lineRule="auto"/>
        <w:rPr>
          <w:rFonts w:asciiTheme="minorHAnsi" w:hAnsiTheme="minorHAnsi" w:cstheme="minorHAnsi"/>
          <w:sz w:val="22"/>
          <w:szCs w:val="22"/>
        </w:rPr>
      </w:pPr>
      <w:hyperlink r:id="rId5" w:history="1">
        <w:r w:rsidR="007629B7" w:rsidRPr="00E02074">
          <w:rPr>
            <w:rStyle w:val="Hyperlink"/>
            <w:rFonts w:asciiTheme="minorHAnsi" w:hAnsiTheme="minorHAnsi" w:cstheme="minorHAnsi"/>
            <w:sz w:val="22"/>
            <w:szCs w:val="22"/>
          </w:rPr>
          <w:t>lgodden@yorkvilleu.ca</w:t>
        </w:r>
      </w:hyperlink>
    </w:p>
    <w:p w:rsidR="007629B7" w:rsidRPr="00E02074" w:rsidRDefault="007629B7"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Faculty of Education, Yorkville University</w:t>
      </w:r>
    </w:p>
    <w:p w:rsidR="007629B7" w:rsidRPr="00E02074" w:rsidRDefault="007629B7" w:rsidP="00E02074">
      <w:pPr>
        <w:pStyle w:val="p1"/>
        <w:spacing w:line="360" w:lineRule="auto"/>
        <w:rPr>
          <w:rFonts w:asciiTheme="minorHAnsi" w:hAnsiTheme="minorHAnsi" w:cstheme="minorHAnsi"/>
          <w:sz w:val="22"/>
          <w:szCs w:val="22"/>
        </w:rPr>
      </w:pPr>
    </w:p>
    <w:p w:rsidR="00F0524C" w:rsidRPr="00E02074" w:rsidRDefault="008006B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Dr. Heather Nesbitt</w:t>
      </w:r>
    </w:p>
    <w:p w:rsidR="008006B4" w:rsidRPr="00E02074" w:rsidRDefault="008006B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Adjunct Faculty</w:t>
      </w:r>
    </w:p>
    <w:p w:rsidR="008006B4" w:rsidRPr="00E02074" w:rsidRDefault="00000000" w:rsidP="00E02074">
      <w:pPr>
        <w:pStyle w:val="p1"/>
        <w:spacing w:line="360" w:lineRule="auto"/>
        <w:rPr>
          <w:rFonts w:asciiTheme="minorHAnsi" w:hAnsiTheme="minorHAnsi" w:cstheme="minorHAnsi"/>
          <w:sz w:val="22"/>
          <w:szCs w:val="22"/>
        </w:rPr>
      </w:pPr>
      <w:hyperlink r:id="rId6" w:history="1">
        <w:r w:rsidR="008006B4" w:rsidRPr="00E02074">
          <w:rPr>
            <w:rStyle w:val="Hyperlink"/>
            <w:rFonts w:asciiTheme="minorHAnsi" w:hAnsiTheme="minorHAnsi" w:cstheme="minorHAnsi"/>
            <w:sz w:val="22"/>
            <w:szCs w:val="22"/>
          </w:rPr>
          <w:t>heather.nesbitt@queensu.ca</w:t>
        </w:r>
      </w:hyperlink>
    </w:p>
    <w:p w:rsidR="008006B4" w:rsidRPr="00E02074" w:rsidRDefault="008006B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Faculty of Education, Queen’s University</w:t>
      </w:r>
    </w:p>
    <w:p w:rsidR="008006B4" w:rsidRPr="00E02074" w:rsidRDefault="008006B4" w:rsidP="00E02074">
      <w:pPr>
        <w:pStyle w:val="p1"/>
        <w:spacing w:line="360" w:lineRule="auto"/>
        <w:rPr>
          <w:rFonts w:asciiTheme="minorHAnsi" w:hAnsiTheme="minorHAnsi" w:cstheme="minorHAnsi"/>
          <w:b/>
          <w:bCs/>
          <w:sz w:val="22"/>
          <w:szCs w:val="22"/>
        </w:rPr>
      </w:pPr>
    </w:p>
    <w:p w:rsidR="008006B4" w:rsidRPr="00E02074" w:rsidRDefault="008006B4" w:rsidP="00E02074">
      <w:pPr>
        <w:pStyle w:val="p1"/>
        <w:spacing w:line="360" w:lineRule="auto"/>
        <w:rPr>
          <w:rFonts w:asciiTheme="minorHAnsi" w:hAnsiTheme="minorHAnsi" w:cstheme="minorHAnsi"/>
          <w:b/>
          <w:bCs/>
          <w:sz w:val="22"/>
          <w:szCs w:val="22"/>
        </w:rPr>
      </w:pPr>
    </w:p>
    <w:p w:rsidR="007629B7" w:rsidRPr="00677752" w:rsidRDefault="007629B7" w:rsidP="00E02074">
      <w:pPr>
        <w:spacing w:line="360" w:lineRule="auto"/>
        <w:rPr>
          <w:rFonts w:asciiTheme="minorHAnsi" w:hAnsiTheme="minorHAnsi" w:cstheme="minorHAnsi"/>
          <w:b/>
          <w:bCs/>
          <w:color w:val="000000" w:themeColor="text1"/>
          <w:sz w:val="22"/>
          <w:szCs w:val="22"/>
        </w:rPr>
      </w:pPr>
      <w:r w:rsidRPr="00677752">
        <w:rPr>
          <w:rFonts w:asciiTheme="minorHAnsi" w:hAnsiTheme="minorHAnsi" w:cstheme="minorHAnsi"/>
          <w:b/>
          <w:bCs/>
          <w:color w:val="000000" w:themeColor="text1"/>
          <w:sz w:val="22"/>
          <w:szCs w:val="22"/>
        </w:rPr>
        <w:t>Planting the seeds for lifelong career development: Exploring the role of play</w:t>
      </w:r>
    </w:p>
    <w:p w:rsidR="007629B7" w:rsidRPr="00E02074" w:rsidRDefault="007629B7" w:rsidP="00E02074">
      <w:pPr>
        <w:spacing w:line="360" w:lineRule="auto"/>
        <w:rPr>
          <w:rFonts w:asciiTheme="minorHAnsi" w:hAnsiTheme="minorHAnsi" w:cstheme="minorHAnsi"/>
          <w:color w:val="000000" w:themeColor="text1"/>
          <w:sz w:val="22"/>
          <w:szCs w:val="22"/>
        </w:rPr>
      </w:pPr>
    </w:p>
    <w:p w:rsidR="00B739DC" w:rsidRPr="00391883" w:rsidRDefault="007629B7" w:rsidP="00391883">
      <w:pPr>
        <w:pStyle w:val="p1"/>
        <w:spacing w:line="360" w:lineRule="auto"/>
        <w:rPr>
          <w:rFonts w:asciiTheme="minorHAnsi" w:hAnsiTheme="minorHAnsi" w:cstheme="minorHAnsi"/>
          <w:b/>
          <w:bCs/>
          <w:sz w:val="22"/>
          <w:szCs w:val="22"/>
        </w:rPr>
      </w:pPr>
      <w:r w:rsidRPr="00391883">
        <w:rPr>
          <w:rFonts w:asciiTheme="minorHAnsi" w:hAnsiTheme="minorHAnsi" w:cstheme="minorHAnsi"/>
          <w:b/>
          <w:bCs/>
          <w:sz w:val="22"/>
          <w:szCs w:val="22"/>
        </w:rPr>
        <w:t>T</w:t>
      </w:r>
      <w:r w:rsidR="00F0524C" w:rsidRPr="00391883">
        <w:rPr>
          <w:rFonts w:asciiTheme="minorHAnsi" w:hAnsiTheme="minorHAnsi" w:cstheme="minorHAnsi"/>
          <w:b/>
          <w:bCs/>
          <w:sz w:val="22"/>
          <w:szCs w:val="22"/>
        </w:rPr>
        <w:t xml:space="preserve">he conference themes </w:t>
      </w:r>
      <w:r w:rsidRPr="00391883">
        <w:rPr>
          <w:rFonts w:asciiTheme="minorHAnsi" w:hAnsiTheme="minorHAnsi" w:cstheme="minorHAnsi"/>
          <w:b/>
          <w:bCs/>
          <w:sz w:val="22"/>
          <w:szCs w:val="22"/>
        </w:rPr>
        <w:t>the</w:t>
      </w:r>
      <w:r w:rsidR="00F0524C" w:rsidRPr="00391883">
        <w:rPr>
          <w:rFonts w:asciiTheme="minorHAnsi" w:hAnsiTheme="minorHAnsi" w:cstheme="minorHAnsi"/>
          <w:b/>
          <w:bCs/>
          <w:sz w:val="22"/>
          <w:szCs w:val="22"/>
        </w:rPr>
        <w:t xml:space="preserve"> proposal is linked to</w:t>
      </w:r>
      <w:r w:rsidRPr="00391883">
        <w:rPr>
          <w:rFonts w:asciiTheme="minorHAnsi" w:hAnsiTheme="minorHAnsi" w:cstheme="minorHAnsi"/>
          <w:b/>
          <w:bCs/>
          <w:sz w:val="22"/>
          <w:szCs w:val="22"/>
        </w:rPr>
        <w:t>:</w:t>
      </w:r>
      <w:r w:rsidR="00F0524C" w:rsidRPr="00391883">
        <w:rPr>
          <w:rFonts w:asciiTheme="minorHAnsi" w:hAnsiTheme="minorHAnsi" w:cstheme="minorHAnsi"/>
          <w:b/>
          <w:bCs/>
          <w:sz w:val="22"/>
          <w:szCs w:val="22"/>
        </w:rPr>
        <w:t xml:space="preserve"> </w:t>
      </w:r>
      <w:r w:rsidR="00F0524C" w:rsidRPr="00391883">
        <w:rPr>
          <w:rFonts w:asciiTheme="minorHAnsi" w:hAnsiTheme="minorHAnsi" w:cstheme="minorHAnsi"/>
          <w:b/>
          <w:bCs/>
          <w:sz w:val="22"/>
          <w:szCs w:val="22"/>
        </w:rPr>
        <w:br/>
      </w:r>
      <w:r w:rsidR="00391883" w:rsidRPr="00F0524C">
        <w:rPr>
          <w:rFonts w:asciiTheme="minorHAnsi" w:hAnsiTheme="minorHAnsi" w:cstheme="minorHAnsi"/>
          <w:b/>
          <w:bCs/>
          <w:sz w:val="22"/>
          <w:szCs w:val="22"/>
        </w:rPr>
        <w:t xml:space="preserve">Research - </w:t>
      </w:r>
      <w:proofErr w:type="spellStart"/>
      <w:r w:rsidR="00391883" w:rsidRPr="00F0524C">
        <w:rPr>
          <w:rFonts w:asciiTheme="minorHAnsi" w:hAnsiTheme="minorHAnsi" w:cstheme="minorHAnsi"/>
          <w:b/>
          <w:bCs/>
          <w:sz w:val="22"/>
          <w:szCs w:val="22"/>
        </w:rPr>
        <w:t>Hiwa-i-te-rangi</w:t>
      </w:r>
      <w:proofErr w:type="spellEnd"/>
    </w:p>
    <w:p w:rsidR="00B739DC" w:rsidRDefault="00391883" w:rsidP="00E02074">
      <w:pPr>
        <w:spacing w:line="360" w:lineRule="auto"/>
        <w:rPr>
          <w:rFonts w:asciiTheme="minorHAnsi" w:hAnsiTheme="minorHAnsi" w:cstheme="minorHAnsi"/>
          <w:sz w:val="22"/>
          <w:szCs w:val="22"/>
        </w:rPr>
      </w:pPr>
      <w:r>
        <w:rPr>
          <w:rFonts w:asciiTheme="minorHAnsi" w:hAnsiTheme="minorHAnsi" w:cstheme="minorHAnsi"/>
          <w:sz w:val="22"/>
          <w:szCs w:val="22"/>
        </w:rPr>
        <w:t xml:space="preserve">We tie our work to the conference theme of </w:t>
      </w:r>
      <w:r w:rsidRPr="00F0524C">
        <w:rPr>
          <w:rFonts w:asciiTheme="minorHAnsi" w:hAnsiTheme="minorHAnsi" w:cstheme="minorHAnsi"/>
          <w:i/>
          <w:iCs/>
          <w:sz w:val="22"/>
          <w:szCs w:val="22"/>
        </w:rPr>
        <w:t xml:space="preserve">Research - </w:t>
      </w:r>
      <w:proofErr w:type="spellStart"/>
      <w:r w:rsidRPr="00F0524C">
        <w:rPr>
          <w:rFonts w:asciiTheme="minorHAnsi" w:hAnsiTheme="minorHAnsi" w:cstheme="minorHAnsi"/>
          <w:i/>
          <w:iCs/>
          <w:sz w:val="22"/>
          <w:szCs w:val="22"/>
        </w:rPr>
        <w:t>Hiwa-i-te-rangi</w:t>
      </w:r>
      <w:proofErr w:type="spellEnd"/>
      <w:r>
        <w:rPr>
          <w:rFonts w:asciiTheme="minorHAnsi" w:hAnsiTheme="minorHAnsi" w:cstheme="minorHAnsi"/>
          <w:i/>
          <w:iCs/>
          <w:sz w:val="22"/>
          <w:szCs w:val="22"/>
        </w:rPr>
        <w:t xml:space="preserve"> </w:t>
      </w:r>
      <w:r>
        <w:rPr>
          <w:rFonts w:asciiTheme="minorHAnsi" w:hAnsiTheme="minorHAnsi" w:cstheme="minorHAnsi"/>
          <w:sz w:val="22"/>
          <w:szCs w:val="22"/>
        </w:rPr>
        <w:t xml:space="preserve">as we believe our work could be foundational in the realization of aspirations, dreams, and achieving of goals for the future. </w:t>
      </w:r>
      <w:r w:rsidR="00B739DC">
        <w:rPr>
          <w:rFonts w:asciiTheme="minorHAnsi" w:hAnsiTheme="minorHAnsi" w:cstheme="minorHAnsi"/>
          <w:sz w:val="22"/>
          <w:szCs w:val="22"/>
        </w:rPr>
        <w:t xml:space="preserve">Through our grounded-theory approach, we see our work as aspirational both in terms of what we want to achieve through this study, and also in terms of the importance of inspiring our intended audience for this study. We primarily aim to reach educators and wider communities of people who are well-positioned to recognize and </w:t>
      </w:r>
      <w:r>
        <w:rPr>
          <w:rFonts w:asciiTheme="minorHAnsi" w:hAnsiTheme="minorHAnsi" w:cstheme="minorHAnsi"/>
          <w:sz w:val="22"/>
          <w:szCs w:val="22"/>
        </w:rPr>
        <w:t>develop of</w:t>
      </w:r>
      <w:r w:rsidR="00B739DC">
        <w:rPr>
          <w:rFonts w:asciiTheme="minorHAnsi" w:hAnsiTheme="minorHAnsi" w:cstheme="minorHAnsi"/>
          <w:sz w:val="22"/>
          <w:szCs w:val="22"/>
        </w:rPr>
        <w:t xml:space="preserve"> the foundations of lifelong effective career development </w:t>
      </w:r>
      <w:r>
        <w:rPr>
          <w:rFonts w:asciiTheme="minorHAnsi" w:hAnsiTheme="minorHAnsi" w:cstheme="minorHAnsi"/>
          <w:sz w:val="22"/>
          <w:szCs w:val="22"/>
        </w:rPr>
        <w:t xml:space="preserve">in young children. </w:t>
      </w:r>
    </w:p>
    <w:p w:rsidR="00677752" w:rsidRDefault="00677752" w:rsidP="00E02074">
      <w:pPr>
        <w:pStyle w:val="p1"/>
        <w:spacing w:line="360" w:lineRule="auto"/>
        <w:rPr>
          <w:rFonts w:asciiTheme="minorHAnsi" w:hAnsiTheme="minorHAnsi" w:cstheme="minorHAnsi"/>
          <w:sz w:val="22"/>
          <w:szCs w:val="22"/>
        </w:rPr>
      </w:pPr>
    </w:p>
    <w:p w:rsidR="00F0524C" w:rsidRPr="008A758A" w:rsidRDefault="00F0524C" w:rsidP="00E02074">
      <w:pPr>
        <w:pStyle w:val="p1"/>
        <w:spacing w:line="360" w:lineRule="auto"/>
        <w:rPr>
          <w:rFonts w:asciiTheme="minorHAnsi" w:hAnsiTheme="minorHAnsi" w:cstheme="minorHAnsi"/>
          <w:b/>
          <w:bCs/>
          <w:color w:val="000000" w:themeColor="text1"/>
          <w:sz w:val="22"/>
          <w:szCs w:val="22"/>
        </w:rPr>
      </w:pPr>
      <w:r w:rsidRPr="008A758A">
        <w:rPr>
          <w:rFonts w:asciiTheme="minorHAnsi" w:hAnsiTheme="minorHAnsi" w:cstheme="minorHAnsi"/>
          <w:b/>
          <w:bCs/>
          <w:color w:val="000000" w:themeColor="text1"/>
          <w:sz w:val="22"/>
          <w:szCs w:val="22"/>
        </w:rPr>
        <w:t xml:space="preserve">Abstract </w:t>
      </w:r>
    </w:p>
    <w:p w:rsidR="008A758A" w:rsidRPr="00B739DC" w:rsidRDefault="008A758A" w:rsidP="008A758A">
      <w:pPr>
        <w:pStyle w:val="p1"/>
        <w:spacing w:line="360" w:lineRule="auto"/>
        <w:rPr>
          <w:rFonts w:asciiTheme="minorHAnsi" w:hAnsiTheme="minorHAnsi" w:cstheme="minorHAnsi"/>
          <w:color w:val="000000" w:themeColor="text1"/>
          <w:sz w:val="22"/>
          <w:szCs w:val="22"/>
        </w:rPr>
      </w:pPr>
      <w:r w:rsidRPr="00E02074">
        <w:rPr>
          <w:rFonts w:asciiTheme="minorHAnsi" w:hAnsiTheme="minorHAnsi" w:cstheme="minorHAnsi"/>
          <w:color w:val="000000" w:themeColor="text1"/>
          <w:sz w:val="22"/>
          <w:szCs w:val="22"/>
        </w:rPr>
        <w:t xml:space="preserve">This work builds upon the understanding that career development is a lifelong process, beginning in the early years and developed across the lifespan (Cahill &amp; </w:t>
      </w:r>
      <w:proofErr w:type="spellStart"/>
      <w:r w:rsidRPr="00E02074">
        <w:rPr>
          <w:rFonts w:asciiTheme="minorHAnsi" w:hAnsiTheme="minorHAnsi" w:cstheme="minorHAnsi"/>
          <w:color w:val="000000" w:themeColor="text1"/>
          <w:sz w:val="22"/>
          <w:szCs w:val="22"/>
        </w:rPr>
        <w:t>Furey</w:t>
      </w:r>
      <w:proofErr w:type="spellEnd"/>
      <w:r w:rsidRPr="00E02074">
        <w:rPr>
          <w:rFonts w:asciiTheme="minorHAnsi" w:hAnsiTheme="minorHAnsi" w:cstheme="minorHAnsi"/>
          <w:color w:val="000000" w:themeColor="text1"/>
          <w:sz w:val="22"/>
          <w:szCs w:val="22"/>
        </w:rPr>
        <w:t xml:space="preserve">, 2017; CERIC, n.d.). In Canada and across the globe, play is increasingly and historically understood as an essential part of children’s early learning experiences. Supported by research, practice, and policy, play is embedded within many contemporary early years frameworks and curriculum documents within Canada and across the globe. For example, in New Zealand play and playfulness is valued within the </w:t>
      </w:r>
      <w:proofErr w:type="spellStart"/>
      <w:r w:rsidRPr="00E02074">
        <w:rPr>
          <w:rFonts w:asciiTheme="minorHAnsi" w:hAnsiTheme="minorHAnsi" w:cstheme="minorHAnsi"/>
          <w:i/>
          <w:iCs/>
          <w:color w:val="000000" w:themeColor="text1"/>
          <w:sz w:val="22"/>
          <w:szCs w:val="22"/>
        </w:rPr>
        <w:t>Te</w:t>
      </w:r>
      <w:proofErr w:type="spellEnd"/>
      <w:r w:rsidRPr="00E02074">
        <w:rPr>
          <w:rFonts w:asciiTheme="minorHAnsi" w:hAnsiTheme="minorHAnsi" w:cstheme="minorHAnsi"/>
          <w:i/>
          <w:iCs/>
          <w:color w:val="000000" w:themeColor="text1"/>
          <w:sz w:val="22"/>
          <w:szCs w:val="22"/>
        </w:rPr>
        <w:t xml:space="preserve"> </w:t>
      </w:r>
      <w:proofErr w:type="spellStart"/>
      <w:r w:rsidRPr="00E02074">
        <w:rPr>
          <w:rFonts w:asciiTheme="minorHAnsi" w:hAnsiTheme="minorHAnsi" w:cstheme="minorHAnsi"/>
          <w:i/>
          <w:iCs/>
          <w:color w:val="000000" w:themeColor="text1"/>
          <w:sz w:val="22"/>
          <w:szCs w:val="22"/>
        </w:rPr>
        <w:t>Farakey</w:t>
      </w:r>
      <w:proofErr w:type="spellEnd"/>
      <w:r w:rsidRPr="00E02074">
        <w:rPr>
          <w:rFonts w:asciiTheme="minorHAnsi" w:hAnsiTheme="minorHAnsi" w:cstheme="minorHAnsi"/>
          <w:i/>
          <w:iCs/>
          <w:color w:val="000000" w:themeColor="text1"/>
          <w:sz w:val="22"/>
          <w:szCs w:val="22"/>
        </w:rPr>
        <w:t xml:space="preserve"> – Early Childhood Curriculum</w:t>
      </w:r>
      <w:r w:rsidRPr="00E02074">
        <w:rPr>
          <w:rFonts w:asciiTheme="minorHAnsi" w:hAnsiTheme="minorHAnsi" w:cstheme="minorHAnsi"/>
          <w:color w:val="000000" w:themeColor="text1"/>
          <w:sz w:val="22"/>
          <w:szCs w:val="22"/>
        </w:rPr>
        <w:t xml:space="preserve">, which provides young children with a rich array of primary play-based experiences. </w:t>
      </w:r>
      <w:r>
        <w:rPr>
          <w:rFonts w:asciiTheme="minorHAnsi" w:hAnsiTheme="minorHAnsi" w:cstheme="minorHAnsi"/>
          <w:color w:val="000000" w:themeColor="text1"/>
          <w:sz w:val="22"/>
          <w:szCs w:val="22"/>
        </w:rPr>
        <w:t>In</w:t>
      </w:r>
      <w:r w:rsidRPr="00E02074">
        <w:rPr>
          <w:rFonts w:asciiTheme="minorHAnsi" w:hAnsiTheme="minorHAnsi" w:cstheme="minorHAnsi"/>
          <w:color w:val="000000" w:themeColor="text1"/>
          <w:sz w:val="22"/>
          <w:szCs w:val="22"/>
        </w:rPr>
        <w:t xml:space="preserve"> Canada, play is an essential part of Ontario early years pedagogy, as outlined within </w:t>
      </w:r>
      <w:r w:rsidRPr="00E02074">
        <w:rPr>
          <w:rFonts w:asciiTheme="minorHAnsi" w:hAnsiTheme="minorHAnsi" w:cstheme="minorHAnsi"/>
          <w:i/>
          <w:iCs/>
          <w:color w:val="000000" w:themeColor="text1"/>
          <w:sz w:val="22"/>
          <w:szCs w:val="22"/>
        </w:rPr>
        <w:t>How does learning happen? Ontario’s pedagogy for the early years</w:t>
      </w:r>
      <w:r w:rsidRPr="00E02074">
        <w:rPr>
          <w:rFonts w:asciiTheme="minorHAnsi" w:hAnsiTheme="minorHAnsi" w:cstheme="minorHAnsi"/>
          <w:color w:val="000000" w:themeColor="text1"/>
          <w:sz w:val="22"/>
          <w:szCs w:val="22"/>
        </w:rPr>
        <w:t xml:space="preserve"> and is embedded within the full-day Kindergarten program for 4- and 5-</w:t>
      </w:r>
      <w:r w:rsidRPr="00E02074">
        <w:rPr>
          <w:rFonts w:asciiTheme="minorHAnsi" w:hAnsiTheme="minorHAnsi" w:cstheme="minorHAnsi"/>
          <w:color w:val="000000" w:themeColor="text1"/>
          <w:sz w:val="22"/>
          <w:szCs w:val="22"/>
        </w:rPr>
        <w:lastRenderedPageBreak/>
        <w:t xml:space="preserve">year-olds. Play is similarly highlighted as a critical component of the </w:t>
      </w:r>
      <w:r w:rsidRPr="00E02074">
        <w:rPr>
          <w:rFonts w:asciiTheme="minorHAnsi" w:hAnsiTheme="minorHAnsi" w:cstheme="minorHAnsi"/>
          <w:i/>
          <w:iCs/>
          <w:color w:val="000000" w:themeColor="text1"/>
          <w:sz w:val="22"/>
          <w:szCs w:val="22"/>
        </w:rPr>
        <w:t>British Columbia Early Learning Framework</w:t>
      </w:r>
      <w:r w:rsidRPr="00E02074">
        <w:rPr>
          <w:rFonts w:asciiTheme="minorHAnsi" w:hAnsiTheme="minorHAnsi" w:cstheme="minorHAnsi"/>
          <w:color w:val="000000" w:themeColor="text1"/>
          <w:sz w:val="22"/>
          <w:szCs w:val="22"/>
        </w:rPr>
        <w:t xml:space="preserve"> and is identified within various aspects of the kindergarten curriculum</w:t>
      </w:r>
      <w:r>
        <w:rPr>
          <w:rFonts w:asciiTheme="minorHAnsi" w:hAnsiTheme="minorHAnsi" w:cstheme="minorHAnsi"/>
          <w:color w:val="000000" w:themeColor="text1"/>
          <w:sz w:val="22"/>
          <w:szCs w:val="22"/>
        </w:rPr>
        <w:t xml:space="preserve">. </w:t>
      </w:r>
      <w:r w:rsidRPr="00E02074">
        <w:rPr>
          <w:rFonts w:asciiTheme="minorHAnsi" w:hAnsiTheme="minorHAnsi" w:cstheme="minorHAnsi"/>
          <w:color w:val="000000" w:themeColor="text1"/>
          <w:sz w:val="22"/>
          <w:szCs w:val="22"/>
        </w:rPr>
        <w:t>Further, play is increasingly recognized as essential to nourishing children’s learning, growth, health, and well-being. According to the Council of Ministers of Education Canada (n.d.): “When children are playing, children are learning” (p. 1). The LEGO® Foundation (n.d.) suggests that it is through play that children unlock essential skills for learning and life. They similarly advocate that play nurtures holistic skill development and helps children prepare for the future, and that further investment in research and evidence is necessary to understanding more about how children learn through play. Moreover, play has been connected to children’s ability to thrive within educational settings (Nesbitt, 2019). Embracing a lifespan perspective, the Council of Ministers of Education Canada suggest that “it is important to encourage play as a tool for children’s learning to foster and promote the global competencies that are integral to flourishing in today’s as well as tomorrow’s world.”</w:t>
      </w:r>
      <w:r w:rsidRPr="004F33CF">
        <w:rPr>
          <w:rFonts w:asciiTheme="minorHAnsi" w:hAnsiTheme="minorHAnsi" w:cstheme="minorHAnsi"/>
          <w:color w:val="000000" w:themeColor="text1"/>
          <w:sz w:val="22"/>
          <w:szCs w:val="22"/>
        </w:rPr>
        <w:t xml:space="preserve"> </w:t>
      </w:r>
      <w:r w:rsidRPr="00E02074">
        <w:rPr>
          <w:rFonts w:asciiTheme="minorHAnsi" w:hAnsiTheme="minorHAnsi" w:cstheme="minorHAnsi"/>
          <w:color w:val="000000" w:themeColor="text1"/>
          <w:sz w:val="22"/>
          <w:szCs w:val="22"/>
        </w:rPr>
        <w:t>Incorporating play into the classroom for older students provides contexts for building creativity and communication and leads to increased engagement with learning and career (The LEGO Foundation, 2014). Through playful learning, secondary school age children show life skills improvement and teachers have a better understanding of individual needs and feel higher levels of empathy toward their students (</w:t>
      </w:r>
      <w:proofErr w:type="spellStart"/>
      <w:r w:rsidRPr="00E02074">
        <w:rPr>
          <w:rFonts w:asciiTheme="minorHAnsi" w:hAnsiTheme="minorHAnsi" w:cstheme="minorHAnsi"/>
          <w:color w:val="000000" w:themeColor="text1"/>
          <w:sz w:val="22"/>
          <w:szCs w:val="22"/>
        </w:rPr>
        <w:t>Zosh</w:t>
      </w:r>
      <w:proofErr w:type="spellEnd"/>
      <w:r w:rsidRPr="00E02074">
        <w:rPr>
          <w:rFonts w:asciiTheme="minorHAnsi" w:hAnsiTheme="minorHAnsi" w:cstheme="minorHAnsi"/>
          <w:color w:val="000000" w:themeColor="text1"/>
          <w:sz w:val="22"/>
          <w:szCs w:val="22"/>
        </w:rPr>
        <w:t xml:space="preserve"> et al, 2022). Play, when incorporated into higher education has been shown to facilitate increased learning, especially about the world around us, and can support the development of adaptability (Brown &amp; Vaughan, 2009), crucial for effective career navigation. Indeed, play is an important facilitative mechanism for supporting lifelong learning and development (Judson, 2017) arguably crucial components of lifelong </w:t>
      </w:r>
      <w:r w:rsidRPr="00E02074">
        <w:rPr>
          <w:rFonts w:asciiTheme="minorHAnsi" w:hAnsiTheme="minorHAnsi" w:cstheme="minorHAnsi"/>
          <w:i/>
          <w:iCs/>
          <w:color w:val="000000" w:themeColor="text1"/>
          <w:sz w:val="22"/>
          <w:szCs w:val="22"/>
        </w:rPr>
        <w:t xml:space="preserve">career </w:t>
      </w:r>
      <w:r w:rsidRPr="00E02074">
        <w:rPr>
          <w:rFonts w:asciiTheme="minorHAnsi" w:hAnsiTheme="minorHAnsi" w:cstheme="minorHAnsi"/>
          <w:color w:val="000000" w:themeColor="text1"/>
          <w:sz w:val="22"/>
          <w:szCs w:val="22"/>
        </w:rPr>
        <w:t>development. Notably, a significant body of research supports the value of lifelong learning as a crucial career development construct (Arthur et al., 2025), and one of the core competencies deemed important for career development practitioners is the ability to demonstrate a commitment to lifelong learning (C</w:t>
      </w:r>
      <w:r>
        <w:rPr>
          <w:rFonts w:asciiTheme="minorHAnsi" w:hAnsiTheme="minorHAnsi" w:cstheme="minorHAnsi"/>
          <w:color w:val="000000" w:themeColor="text1"/>
          <w:sz w:val="22"/>
          <w:szCs w:val="22"/>
        </w:rPr>
        <w:t>MEC</w:t>
      </w:r>
      <w:r w:rsidRPr="00E02074">
        <w:rPr>
          <w:rFonts w:asciiTheme="minorHAnsi" w:hAnsiTheme="minorHAnsi" w:cstheme="minorHAnsi"/>
          <w:color w:val="000000" w:themeColor="text1"/>
          <w:sz w:val="22"/>
          <w:szCs w:val="22"/>
        </w:rPr>
        <w:t>, n.d.).</w:t>
      </w:r>
      <w:r w:rsidRPr="004F33CF">
        <w:rPr>
          <w:rFonts w:asciiTheme="minorHAnsi" w:hAnsiTheme="minorHAnsi" w:cstheme="minorHAnsi"/>
          <w:color w:val="000000" w:themeColor="text1"/>
          <w:sz w:val="22"/>
          <w:szCs w:val="22"/>
        </w:rPr>
        <w:t xml:space="preserve"> </w:t>
      </w:r>
      <w:r w:rsidRPr="00E02074">
        <w:rPr>
          <w:rFonts w:asciiTheme="minorHAnsi" w:hAnsiTheme="minorHAnsi" w:cstheme="minorHAnsi"/>
          <w:color w:val="000000" w:themeColor="text1"/>
          <w:sz w:val="22"/>
          <w:szCs w:val="22"/>
        </w:rPr>
        <w:t>This research seeks to better understand the role of play in early career development. Through our data collection we aim to respond to the following research questions: (1) How is early career development and play understood in the literature? (2) How do key stakeholders perceive and understand early career development? and (3) What opportunities exist for alignment and bridging gaps between these bodies of knowledge? Together, this work will drive the development of a research-driven conceptual framework and inform a new understanding of early career development and the place of play within it.</w:t>
      </w:r>
    </w:p>
    <w:p w:rsidR="00F0524C" w:rsidRPr="00677752" w:rsidRDefault="00F0524C" w:rsidP="00E02074">
      <w:pPr>
        <w:pStyle w:val="p1"/>
        <w:spacing w:line="360" w:lineRule="auto"/>
        <w:rPr>
          <w:rFonts w:asciiTheme="minorHAnsi" w:hAnsiTheme="minorHAnsi" w:cstheme="minorHAnsi"/>
          <w:b/>
          <w:bCs/>
          <w:color w:val="000000" w:themeColor="text1"/>
          <w:sz w:val="22"/>
          <w:szCs w:val="22"/>
        </w:rPr>
      </w:pPr>
      <w:r w:rsidRPr="00677752">
        <w:rPr>
          <w:rFonts w:asciiTheme="minorHAnsi" w:hAnsiTheme="minorHAnsi" w:cstheme="minorHAnsi"/>
          <w:b/>
          <w:bCs/>
          <w:color w:val="000000" w:themeColor="text1"/>
          <w:sz w:val="22"/>
          <w:szCs w:val="22"/>
        </w:rPr>
        <w:t>Keywords: minimum of three (3) and a maximum of five (5).</w:t>
      </w:r>
    </w:p>
    <w:p w:rsidR="00677752" w:rsidRPr="00677752" w:rsidRDefault="00677752" w:rsidP="00E02074">
      <w:pPr>
        <w:pStyle w:val="p1"/>
        <w:spacing w:line="360" w:lineRule="auto"/>
        <w:rPr>
          <w:rFonts w:asciiTheme="minorHAnsi" w:hAnsiTheme="minorHAnsi" w:cstheme="minorHAnsi"/>
          <w:color w:val="000000" w:themeColor="text1"/>
          <w:sz w:val="22"/>
          <w:szCs w:val="22"/>
        </w:rPr>
      </w:pPr>
      <w:r w:rsidRPr="00677752">
        <w:rPr>
          <w:rFonts w:asciiTheme="minorHAnsi" w:hAnsiTheme="minorHAnsi" w:cstheme="minorHAnsi"/>
          <w:color w:val="000000" w:themeColor="text1"/>
          <w:sz w:val="22"/>
          <w:szCs w:val="22"/>
        </w:rPr>
        <w:t>Play; career development; lifelong learning; thriving</w:t>
      </w:r>
    </w:p>
    <w:p w:rsidR="007629B7" w:rsidRPr="00E02074" w:rsidRDefault="007629B7" w:rsidP="00E02074">
      <w:pPr>
        <w:pStyle w:val="p1"/>
        <w:spacing w:line="360" w:lineRule="auto"/>
        <w:rPr>
          <w:rFonts w:asciiTheme="minorHAnsi" w:hAnsiTheme="minorHAnsi" w:cstheme="minorHAnsi"/>
          <w:b/>
          <w:bCs/>
          <w:sz w:val="22"/>
          <w:szCs w:val="22"/>
        </w:rPr>
      </w:pPr>
      <w:r w:rsidRPr="00E02074">
        <w:rPr>
          <w:rFonts w:asciiTheme="minorHAnsi" w:hAnsiTheme="minorHAnsi" w:cstheme="minorHAnsi"/>
          <w:b/>
          <w:bCs/>
          <w:sz w:val="22"/>
          <w:szCs w:val="22"/>
        </w:rPr>
        <w:lastRenderedPageBreak/>
        <w:t>I</w:t>
      </w:r>
      <w:r w:rsidR="00F0524C" w:rsidRPr="00E02074">
        <w:rPr>
          <w:rFonts w:asciiTheme="minorHAnsi" w:hAnsiTheme="minorHAnsi" w:cstheme="minorHAnsi"/>
          <w:b/>
          <w:bCs/>
          <w:sz w:val="22"/>
          <w:szCs w:val="22"/>
        </w:rPr>
        <w:t>ntroduction</w:t>
      </w:r>
    </w:p>
    <w:p w:rsidR="008006B4" w:rsidRPr="00E02074" w:rsidRDefault="008006B4" w:rsidP="00E02074">
      <w:pPr>
        <w:tabs>
          <w:tab w:val="left" w:pos="1126"/>
        </w:tabs>
        <w:spacing w:line="360" w:lineRule="auto"/>
        <w:rPr>
          <w:rFonts w:asciiTheme="minorHAnsi" w:hAnsiTheme="minorHAnsi" w:cstheme="minorHAnsi"/>
          <w:color w:val="000000" w:themeColor="text1"/>
          <w:sz w:val="22"/>
          <w:szCs w:val="22"/>
          <w:lang w:val="en-US"/>
        </w:rPr>
      </w:pPr>
      <w:r w:rsidRPr="00E02074">
        <w:rPr>
          <w:rFonts w:asciiTheme="minorHAnsi" w:hAnsiTheme="minorHAnsi" w:cstheme="minorHAnsi"/>
          <w:color w:val="000000" w:themeColor="text1"/>
          <w:sz w:val="22"/>
          <w:szCs w:val="22"/>
        </w:rPr>
        <w:t xml:space="preserve">It is well-known that children’s early experiences lay the foundation for lifelong learning, health, and well-being (Pascal, 2009). Similarly, there is </w:t>
      </w:r>
      <w:r w:rsidRPr="00E02074">
        <w:rPr>
          <w:rFonts w:asciiTheme="minorHAnsi" w:hAnsiTheme="minorHAnsi" w:cstheme="minorHAnsi"/>
          <w:bCs/>
          <w:color w:val="000000" w:themeColor="text1"/>
          <w:sz w:val="22"/>
          <w:szCs w:val="22"/>
        </w:rPr>
        <w:t xml:space="preserve">widespread and historical agreement on the importance of childhood in lifespan development (e.g., Darling-Hammond et al., 2020; </w:t>
      </w:r>
      <w:proofErr w:type="spellStart"/>
      <w:r w:rsidRPr="00E02074">
        <w:rPr>
          <w:rFonts w:asciiTheme="minorHAnsi" w:hAnsiTheme="minorHAnsi" w:cstheme="minorHAnsi"/>
          <w:bCs/>
          <w:color w:val="000000" w:themeColor="text1"/>
          <w:sz w:val="22"/>
          <w:szCs w:val="22"/>
        </w:rPr>
        <w:t>Ginzberg</w:t>
      </w:r>
      <w:proofErr w:type="spellEnd"/>
      <w:r w:rsidRPr="00E02074">
        <w:rPr>
          <w:rFonts w:asciiTheme="minorHAnsi" w:hAnsiTheme="minorHAnsi" w:cstheme="minorHAnsi"/>
          <w:bCs/>
          <w:color w:val="000000" w:themeColor="text1"/>
          <w:sz w:val="22"/>
          <w:szCs w:val="22"/>
        </w:rPr>
        <w:t xml:space="preserve"> et al., 1951; Super, 1980). </w:t>
      </w:r>
      <w:r w:rsidRPr="00E02074">
        <w:rPr>
          <w:rFonts w:asciiTheme="minorHAnsi" w:hAnsiTheme="minorHAnsi" w:cstheme="minorHAnsi"/>
          <w:color w:val="000000" w:themeColor="text1"/>
          <w:sz w:val="22"/>
          <w:szCs w:val="22"/>
          <w:lang w:val="en-US"/>
        </w:rPr>
        <w:t>As children traverse the early years, they</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explore their environments through play and “adapt skills to</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cope with educational, career, and personal tasks” (Cahill &amp;</w:t>
      </w:r>
      <w:r w:rsidRPr="00E02074">
        <w:rPr>
          <w:rFonts w:asciiTheme="minorHAnsi" w:hAnsiTheme="minorHAnsi" w:cstheme="minorHAnsi"/>
          <w:bCs/>
          <w:color w:val="000000" w:themeColor="text1"/>
          <w:sz w:val="22"/>
          <w:szCs w:val="22"/>
          <w:lang w:val="en-US"/>
        </w:rPr>
        <w:t xml:space="preserve"> </w:t>
      </w:r>
      <w:proofErr w:type="spellStart"/>
      <w:r w:rsidRPr="00E02074">
        <w:rPr>
          <w:rFonts w:asciiTheme="minorHAnsi" w:hAnsiTheme="minorHAnsi" w:cstheme="minorHAnsi"/>
          <w:color w:val="000000" w:themeColor="text1"/>
          <w:sz w:val="22"/>
          <w:szCs w:val="22"/>
          <w:lang w:val="en-US"/>
        </w:rPr>
        <w:t>Furey</w:t>
      </w:r>
      <w:proofErr w:type="spellEnd"/>
      <w:r w:rsidRPr="00E02074">
        <w:rPr>
          <w:rFonts w:asciiTheme="minorHAnsi" w:hAnsiTheme="minorHAnsi" w:cstheme="minorHAnsi"/>
          <w:color w:val="000000" w:themeColor="text1"/>
          <w:sz w:val="22"/>
          <w:szCs w:val="22"/>
          <w:lang w:val="en-US"/>
        </w:rPr>
        <w:t>, 2017, p. 12</w:t>
      </w:r>
      <w:r w:rsidR="000E7C2E" w:rsidRPr="00E02074">
        <w:rPr>
          <w:rFonts w:asciiTheme="minorHAnsi" w:hAnsiTheme="minorHAnsi" w:cstheme="minorHAnsi"/>
          <w:color w:val="000000" w:themeColor="text1"/>
          <w:sz w:val="22"/>
          <w:szCs w:val="22"/>
          <w:lang w:val="en-US"/>
        </w:rPr>
        <w:t>a</w:t>
      </w:r>
      <w:r w:rsidRPr="00E02074">
        <w:rPr>
          <w:rFonts w:asciiTheme="minorHAnsi" w:hAnsiTheme="minorHAnsi" w:cstheme="minorHAnsi"/>
          <w:color w:val="000000" w:themeColor="text1"/>
          <w:sz w:val="22"/>
          <w:szCs w:val="22"/>
          <w:lang w:val="en-US"/>
        </w:rPr>
        <w:t>). It is through these playful and play-filled experiences where children learn about themselves and the world and begin to develop foundational skills necessary for success in life</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 xml:space="preserve">(Hewes, </w:t>
      </w:r>
      <w:r w:rsidR="008F0339" w:rsidRPr="00E02074">
        <w:rPr>
          <w:rFonts w:asciiTheme="minorHAnsi" w:hAnsiTheme="minorHAnsi" w:cstheme="minorHAnsi"/>
          <w:color w:val="000000" w:themeColor="text1"/>
          <w:sz w:val="22"/>
          <w:szCs w:val="22"/>
          <w:lang w:val="en-US"/>
        </w:rPr>
        <w:t>2014</w:t>
      </w:r>
      <w:r w:rsidRPr="00E02074">
        <w:rPr>
          <w:rFonts w:asciiTheme="minorHAnsi" w:hAnsiTheme="minorHAnsi" w:cstheme="minorHAnsi"/>
          <w:color w:val="000000" w:themeColor="text1"/>
          <w:sz w:val="22"/>
          <w:szCs w:val="22"/>
          <w:lang w:val="en-US"/>
        </w:rPr>
        <w:t>). While it may seem counterintuitive to</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consider career development at such an early age and stage</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of life, early childhood education is recognized as “a powerful</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tool for preparing tomorrow’s workforce” (McCain, 2020, p. 23).</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Reaching beyond simply the notion of jobs and work, career</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development is a lifelong process beginning in the early</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 xml:space="preserve">years and progressing over a lifetime (Cahill &amp; </w:t>
      </w:r>
      <w:proofErr w:type="spellStart"/>
      <w:r w:rsidRPr="00E02074">
        <w:rPr>
          <w:rFonts w:asciiTheme="minorHAnsi" w:hAnsiTheme="minorHAnsi" w:cstheme="minorHAnsi"/>
          <w:color w:val="000000" w:themeColor="text1"/>
          <w:sz w:val="22"/>
          <w:szCs w:val="22"/>
          <w:lang w:val="en-US"/>
        </w:rPr>
        <w:t>Furey</w:t>
      </w:r>
      <w:proofErr w:type="spellEnd"/>
      <w:r w:rsidRPr="00E02074">
        <w:rPr>
          <w:rFonts w:asciiTheme="minorHAnsi" w:hAnsiTheme="minorHAnsi" w:cstheme="minorHAnsi"/>
          <w:color w:val="000000" w:themeColor="text1"/>
          <w:sz w:val="22"/>
          <w:szCs w:val="22"/>
          <w:lang w:val="en-US"/>
        </w:rPr>
        <w:t>, 2017</w:t>
      </w:r>
      <w:r w:rsidR="000E7C2E" w:rsidRPr="00E02074">
        <w:rPr>
          <w:rFonts w:asciiTheme="minorHAnsi" w:hAnsiTheme="minorHAnsi" w:cstheme="minorHAnsi"/>
          <w:color w:val="000000" w:themeColor="text1"/>
          <w:sz w:val="22"/>
          <w:szCs w:val="22"/>
          <w:lang w:val="en-US"/>
        </w:rPr>
        <w:t>b</w:t>
      </w:r>
      <w:r w:rsidRPr="00E02074">
        <w:rPr>
          <w:rFonts w:asciiTheme="minorHAnsi" w:hAnsiTheme="minorHAnsi" w:cstheme="minorHAnsi"/>
          <w:color w:val="000000" w:themeColor="text1"/>
          <w:sz w:val="22"/>
          <w:szCs w:val="22"/>
          <w:lang w:val="en-US"/>
        </w:rPr>
        <w:t>; CERIC, n.d.).</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Just as play "nourishes every aspect of children’s development</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lang w:val="en-US"/>
        </w:rPr>
        <w:t>- physical, social, emotional, intellectual, and creative” (Hewes,</w:t>
      </w:r>
      <w:r w:rsidRPr="00E02074">
        <w:rPr>
          <w:rFonts w:asciiTheme="minorHAnsi" w:hAnsiTheme="minorHAnsi" w:cstheme="minorHAnsi"/>
          <w:bCs/>
          <w:color w:val="000000" w:themeColor="text1"/>
          <w:sz w:val="22"/>
          <w:szCs w:val="22"/>
          <w:lang w:val="en-US"/>
        </w:rPr>
        <w:t xml:space="preserve"> </w:t>
      </w:r>
      <w:r w:rsidR="008F0339" w:rsidRPr="00E02074">
        <w:rPr>
          <w:rFonts w:asciiTheme="minorHAnsi" w:hAnsiTheme="minorHAnsi" w:cstheme="minorHAnsi"/>
          <w:color w:val="000000" w:themeColor="text1"/>
          <w:sz w:val="22"/>
          <w:szCs w:val="22"/>
          <w:lang w:val="en-US"/>
        </w:rPr>
        <w:t>2014,</w:t>
      </w:r>
      <w:r w:rsidRPr="00E02074">
        <w:rPr>
          <w:rFonts w:asciiTheme="minorHAnsi" w:hAnsiTheme="minorHAnsi" w:cstheme="minorHAnsi"/>
          <w:color w:val="000000" w:themeColor="text1"/>
          <w:sz w:val="22"/>
          <w:szCs w:val="22"/>
          <w:lang w:val="en-US"/>
        </w:rPr>
        <w:t xml:space="preserve"> p. 4), surely it nourishes career development as well.</w:t>
      </w:r>
    </w:p>
    <w:p w:rsidR="00677752" w:rsidRDefault="00677752" w:rsidP="00E02074">
      <w:pPr>
        <w:pStyle w:val="p1"/>
        <w:spacing w:line="360" w:lineRule="auto"/>
        <w:rPr>
          <w:rFonts w:asciiTheme="minorHAnsi" w:hAnsiTheme="minorHAnsi" w:cstheme="minorHAnsi"/>
          <w:b/>
          <w:bCs/>
          <w:sz w:val="22"/>
          <w:szCs w:val="22"/>
        </w:rPr>
      </w:pPr>
    </w:p>
    <w:p w:rsidR="007629B7" w:rsidRPr="00E02074" w:rsidRDefault="007629B7" w:rsidP="00E02074">
      <w:pPr>
        <w:pStyle w:val="p1"/>
        <w:spacing w:line="360" w:lineRule="auto"/>
        <w:rPr>
          <w:rFonts w:asciiTheme="minorHAnsi" w:hAnsiTheme="minorHAnsi" w:cstheme="minorHAnsi"/>
          <w:b/>
          <w:bCs/>
          <w:sz w:val="22"/>
          <w:szCs w:val="22"/>
        </w:rPr>
      </w:pPr>
      <w:r w:rsidRPr="00E02074">
        <w:rPr>
          <w:rFonts w:asciiTheme="minorHAnsi" w:hAnsiTheme="minorHAnsi" w:cstheme="minorHAnsi"/>
          <w:b/>
          <w:bCs/>
          <w:sz w:val="22"/>
          <w:szCs w:val="22"/>
        </w:rPr>
        <w:t>O</w:t>
      </w:r>
      <w:r w:rsidR="00F0524C" w:rsidRPr="00E02074">
        <w:rPr>
          <w:rFonts w:asciiTheme="minorHAnsi" w:hAnsiTheme="minorHAnsi" w:cstheme="minorHAnsi"/>
          <w:b/>
          <w:bCs/>
          <w:sz w:val="22"/>
          <w:szCs w:val="22"/>
        </w:rPr>
        <w:t>bjectives</w:t>
      </w:r>
    </w:p>
    <w:p w:rsidR="008006B4" w:rsidRPr="00E02074" w:rsidRDefault="008006B4" w:rsidP="00E02074">
      <w:pPr>
        <w:tabs>
          <w:tab w:val="left" w:pos="1126"/>
        </w:tabs>
        <w:spacing w:line="360" w:lineRule="auto"/>
        <w:rPr>
          <w:rFonts w:asciiTheme="minorHAnsi" w:hAnsiTheme="minorHAnsi" w:cstheme="minorHAnsi"/>
          <w:color w:val="000000" w:themeColor="text1"/>
          <w:sz w:val="22"/>
          <w:szCs w:val="22"/>
          <w:lang w:val="en-US"/>
        </w:rPr>
      </w:pPr>
      <w:r w:rsidRPr="00E02074">
        <w:rPr>
          <w:rFonts w:asciiTheme="minorHAnsi" w:hAnsiTheme="minorHAnsi" w:cstheme="minorHAnsi"/>
          <w:color w:val="000000" w:themeColor="text1"/>
          <w:sz w:val="22"/>
          <w:szCs w:val="22"/>
          <w:lang w:val="en-US"/>
        </w:rPr>
        <w:t xml:space="preserve"> These ideas and considerations prompt us to ask: </w:t>
      </w:r>
      <w:r w:rsidRPr="00E02074">
        <w:rPr>
          <w:rFonts w:asciiTheme="minorHAnsi" w:hAnsiTheme="minorHAnsi" w:cstheme="minorHAnsi"/>
          <w:color w:val="000000" w:themeColor="text1"/>
          <w:sz w:val="22"/>
          <w:szCs w:val="22"/>
        </w:rPr>
        <w:t>What is the role of play in early career development? There are two key constructs embedded within this question: play; and career development.</w:t>
      </w:r>
      <w:r w:rsidRPr="00E02074">
        <w:rPr>
          <w:rFonts w:asciiTheme="minorHAnsi" w:hAnsiTheme="minorHAnsi" w:cstheme="minorHAnsi"/>
          <w:bCs/>
          <w:color w:val="000000" w:themeColor="text1"/>
          <w:sz w:val="22"/>
          <w:szCs w:val="22"/>
          <w:lang w:val="en-US"/>
        </w:rPr>
        <w:t xml:space="preserve"> </w:t>
      </w:r>
      <w:r w:rsidRPr="00E02074">
        <w:rPr>
          <w:rFonts w:asciiTheme="minorHAnsi" w:hAnsiTheme="minorHAnsi" w:cstheme="minorHAnsi"/>
          <w:color w:val="000000" w:themeColor="text1"/>
          <w:sz w:val="22"/>
          <w:szCs w:val="22"/>
        </w:rPr>
        <w:t xml:space="preserve">These constructs come with two robust bodies of literature behind them, each within their own fields of study. However, there is a lack of literature/research explicitly bringing them together. Furthermore, while career development is understood as a lifelong process, little research has addressed how career-related learning and development is supported throughout the early years. In our work, we aim to directly address this gap with the overarching goal of helping to </w:t>
      </w:r>
      <w:r w:rsidRPr="00E02074">
        <w:rPr>
          <w:rFonts w:asciiTheme="minorHAnsi" w:hAnsiTheme="minorHAnsi" w:cstheme="minorHAnsi"/>
          <w:bCs/>
          <w:color w:val="000000" w:themeColor="text1"/>
          <w:sz w:val="22"/>
          <w:szCs w:val="22"/>
          <w:lang w:val="en-US"/>
        </w:rPr>
        <w:t>inform a robust understanding of early career development and the place of play within it.</w:t>
      </w:r>
      <w:r w:rsidRPr="00E02074">
        <w:rPr>
          <w:rFonts w:asciiTheme="minorHAnsi" w:hAnsiTheme="minorHAnsi" w:cstheme="minorHAnsi"/>
          <w:sz w:val="22"/>
          <w:szCs w:val="22"/>
        </w:rPr>
        <w:t xml:space="preserve"> The main goal of our project is to explore and reveal connections and alignment between play and lifelong career development, which will shape the creation of an evidence-based conceptual framework. This deep examination will include an extensive literature review and the collection of empirical data from vested parties. </w:t>
      </w:r>
    </w:p>
    <w:p w:rsidR="00677752" w:rsidRDefault="00677752" w:rsidP="00E02074">
      <w:pPr>
        <w:pStyle w:val="p1"/>
        <w:spacing w:line="360" w:lineRule="auto"/>
        <w:rPr>
          <w:rFonts w:asciiTheme="minorHAnsi" w:hAnsiTheme="minorHAnsi" w:cstheme="minorHAnsi"/>
          <w:b/>
          <w:bCs/>
          <w:sz w:val="22"/>
          <w:szCs w:val="22"/>
        </w:rPr>
      </w:pPr>
    </w:p>
    <w:p w:rsidR="00F0524C" w:rsidRPr="00E02074" w:rsidRDefault="008006B4" w:rsidP="00E02074">
      <w:pPr>
        <w:pStyle w:val="p1"/>
        <w:spacing w:line="360" w:lineRule="auto"/>
        <w:rPr>
          <w:rFonts w:asciiTheme="minorHAnsi" w:hAnsiTheme="minorHAnsi" w:cstheme="minorHAnsi"/>
          <w:b/>
          <w:bCs/>
          <w:sz w:val="22"/>
          <w:szCs w:val="22"/>
        </w:rPr>
      </w:pPr>
      <w:r w:rsidRPr="00E02074">
        <w:rPr>
          <w:rFonts w:asciiTheme="minorHAnsi" w:hAnsiTheme="minorHAnsi" w:cstheme="minorHAnsi"/>
          <w:b/>
          <w:bCs/>
          <w:sz w:val="22"/>
          <w:szCs w:val="22"/>
        </w:rPr>
        <w:t>T</w:t>
      </w:r>
      <w:r w:rsidR="00F0524C" w:rsidRPr="00E02074">
        <w:rPr>
          <w:rFonts w:asciiTheme="minorHAnsi" w:hAnsiTheme="minorHAnsi" w:cstheme="minorHAnsi"/>
          <w:b/>
          <w:bCs/>
          <w:sz w:val="22"/>
          <w:szCs w:val="22"/>
        </w:rPr>
        <w:t xml:space="preserve">heoretical </w:t>
      </w:r>
      <w:r w:rsidR="00677752">
        <w:rPr>
          <w:rFonts w:asciiTheme="minorHAnsi" w:hAnsiTheme="minorHAnsi" w:cstheme="minorHAnsi"/>
          <w:b/>
          <w:bCs/>
          <w:sz w:val="22"/>
          <w:szCs w:val="22"/>
        </w:rPr>
        <w:t>B</w:t>
      </w:r>
      <w:r w:rsidR="00F0524C" w:rsidRPr="00E02074">
        <w:rPr>
          <w:rFonts w:asciiTheme="minorHAnsi" w:hAnsiTheme="minorHAnsi" w:cstheme="minorHAnsi"/>
          <w:b/>
          <w:bCs/>
          <w:sz w:val="22"/>
          <w:szCs w:val="22"/>
        </w:rPr>
        <w:t>asis</w:t>
      </w:r>
    </w:p>
    <w:p w:rsidR="008006B4" w:rsidRPr="00E02074" w:rsidRDefault="008006B4" w:rsidP="00E02074">
      <w:pPr>
        <w:spacing w:line="360" w:lineRule="auto"/>
        <w:rPr>
          <w:rFonts w:asciiTheme="minorHAnsi" w:hAnsiTheme="minorHAnsi" w:cstheme="minorHAnsi"/>
          <w:color w:val="000000" w:themeColor="text1"/>
          <w:sz w:val="22"/>
          <w:szCs w:val="22"/>
        </w:rPr>
      </w:pPr>
      <w:r w:rsidRPr="00E02074">
        <w:rPr>
          <w:rFonts w:asciiTheme="minorHAnsi" w:hAnsiTheme="minorHAnsi" w:cstheme="minorHAnsi"/>
          <w:color w:val="000000" w:themeColor="text1"/>
          <w:sz w:val="22"/>
          <w:szCs w:val="22"/>
        </w:rPr>
        <w:t xml:space="preserve">This work builds upon the understanding that career development is a lifelong process, beginning in the early years and developed across the lifespan (Cahill &amp; </w:t>
      </w:r>
      <w:proofErr w:type="spellStart"/>
      <w:r w:rsidRPr="00E02074">
        <w:rPr>
          <w:rFonts w:asciiTheme="minorHAnsi" w:hAnsiTheme="minorHAnsi" w:cstheme="minorHAnsi"/>
          <w:color w:val="000000" w:themeColor="text1"/>
          <w:sz w:val="22"/>
          <w:szCs w:val="22"/>
        </w:rPr>
        <w:t>Furey</w:t>
      </w:r>
      <w:proofErr w:type="spellEnd"/>
      <w:r w:rsidRPr="00E02074">
        <w:rPr>
          <w:rFonts w:asciiTheme="minorHAnsi" w:hAnsiTheme="minorHAnsi" w:cstheme="minorHAnsi"/>
          <w:color w:val="000000" w:themeColor="text1"/>
          <w:sz w:val="22"/>
          <w:szCs w:val="22"/>
        </w:rPr>
        <w:t xml:space="preserve">, 2017; CERIC, n.d.). In Canada and across </w:t>
      </w:r>
      <w:r w:rsidRPr="00E02074">
        <w:rPr>
          <w:rFonts w:asciiTheme="minorHAnsi" w:hAnsiTheme="minorHAnsi" w:cstheme="minorHAnsi"/>
          <w:color w:val="000000" w:themeColor="text1"/>
          <w:sz w:val="22"/>
          <w:szCs w:val="22"/>
        </w:rPr>
        <w:lastRenderedPageBreak/>
        <w:t xml:space="preserve">the globe, play is increasingly and historically understood as an essential part of children’s early learning experiences. </w:t>
      </w:r>
    </w:p>
    <w:p w:rsidR="008006B4" w:rsidRPr="00E02074" w:rsidRDefault="008006B4" w:rsidP="00E02074">
      <w:pPr>
        <w:spacing w:line="360" w:lineRule="auto"/>
        <w:rPr>
          <w:rFonts w:asciiTheme="minorHAnsi" w:hAnsiTheme="minorHAnsi" w:cstheme="minorHAnsi"/>
          <w:color w:val="000000" w:themeColor="text1"/>
          <w:sz w:val="22"/>
          <w:szCs w:val="22"/>
        </w:rPr>
      </w:pPr>
    </w:p>
    <w:p w:rsidR="008006B4" w:rsidRPr="00E02074" w:rsidRDefault="008006B4" w:rsidP="00E02074">
      <w:pPr>
        <w:spacing w:line="360" w:lineRule="auto"/>
        <w:rPr>
          <w:rFonts w:asciiTheme="minorHAnsi" w:hAnsiTheme="minorHAnsi" w:cstheme="minorHAnsi"/>
          <w:color w:val="000000" w:themeColor="text1"/>
          <w:sz w:val="22"/>
          <w:szCs w:val="22"/>
        </w:rPr>
      </w:pPr>
      <w:r w:rsidRPr="00E02074">
        <w:rPr>
          <w:rFonts w:asciiTheme="minorHAnsi" w:hAnsiTheme="minorHAnsi" w:cstheme="minorHAnsi"/>
          <w:color w:val="000000" w:themeColor="text1"/>
          <w:sz w:val="22"/>
          <w:szCs w:val="22"/>
        </w:rPr>
        <w:t>As a cornerstone of contemporary early years programming, Friedrich Froebel’s Kindergarten—or children’s garden—was guided by a philosophy of educating children’s mind, bodies, and souls through play. Froebel saw play as the highest form of learning and placed it at the centre of his program, stating that “play is never trivial; it is serious and deeply significant.”</w:t>
      </w:r>
    </w:p>
    <w:p w:rsidR="008006B4" w:rsidRPr="00E02074" w:rsidRDefault="008006B4" w:rsidP="00E02074">
      <w:pPr>
        <w:spacing w:line="360" w:lineRule="auto"/>
        <w:rPr>
          <w:rFonts w:asciiTheme="minorHAnsi" w:hAnsiTheme="minorHAnsi" w:cstheme="minorHAnsi"/>
          <w:color w:val="000000" w:themeColor="text1"/>
          <w:sz w:val="22"/>
          <w:szCs w:val="22"/>
        </w:rPr>
      </w:pPr>
    </w:p>
    <w:p w:rsidR="008006B4" w:rsidRPr="00E02074" w:rsidRDefault="008006B4" w:rsidP="00E02074">
      <w:pPr>
        <w:spacing w:line="360" w:lineRule="auto"/>
        <w:rPr>
          <w:rFonts w:asciiTheme="minorHAnsi" w:hAnsiTheme="minorHAnsi" w:cstheme="minorHAnsi"/>
          <w:color w:val="000000" w:themeColor="text1"/>
          <w:sz w:val="22"/>
          <w:szCs w:val="22"/>
        </w:rPr>
      </w:pPr>
      <w:r w:rsidRPr="00E02074">
        <w:rPr>
          <w:rFonts w:asciiTheme="minorHAnsi" w:hAnsiTheme="minorHAnsi" w:cstheme="minorHAnsi"/>
          <w:color w:val="000000" w:themeColor="text1"/>
          <w:sz w:val="22"/>
          <w:szCs w:val="22"/>
        </w:rPr>
        <w:t xml:space="preserve">Supported by research, practice, and policy, play is embedded within many contemporary early years frameworks and curriculum documents within Canada and across the globe. For example, in New Zealand play and playfulness is valued within the </w:t>
      </w:r>
      <w:proofErr w:type="spellStart"/>
      <w:r w:rsidRPr="00E02074">
        <w:rPr>
          <w:rFonts w:asciiTheme="minorHAnsi" w:hAnsiTheme="minorHAnsi" w:cstheme="minorHAnsi"/>
          <w:i/>
          <w:iCs/>
          <w:color w:val="000000" w:themeColor="text1"/>
          <w:sz w:val="22"/>
          <w:szCs w:val="22"/>
        </w:rPr>
        <w:t>Te</w:t>
      </w:r>
      <w:proofErr w:type="spellEnd"/>
      <w:r w:rsidRPr="00E02074">
        <w:rPr>
          <w:rFonts w:asciiTheme="minorHAnsi" w:hAnsiTheme="minorHAnsi" w:cstheme="minorHAnsi"/>
          <w:i/>
          <w:iCs/>
          <w:color w:val="000000" w:themeColor="text1"/>
          <w:sz w:val="22"/>
          <w:szCs w:val="22"/>
        </w:rPr>
        <w:t xml:space="preserve"> </w:t>
      </w:r>
      <w:proofErr w:type="spellStart"/>
      <w:r w:rsidRPr="00E02074">
        <w:rPr>
          <w:rFonts w:asciiTheme="minorHAnsi" w:hAnsiTheme="minorHAnsi" w:cstheme="minorHAnsi"/>
          <w:i/>
          <w:iCs/>
          <w:color w:val="000000" w:themeColor="text1"/>
          <w:sz w:val="22"/>
          <w:szCs w:val="22"/>
        </w:rPr>
        <w:t>Farakey</w:t>
      </w:r>
      <w:proofErr w:type="spellEnd"/>
      <w:r w:rsidRPr="00E02074">
        <w:rPr>
          <w:rFonts w:asciiTheme="minorHAnsi" w:hAnsiTheme="minorHAnsi" w:cstheme="minorHAnsi"/>
          <w:i/>
          <w:iCs/>
          <w:color w:val="000000" w:themeColor="text1"/>
          <w:sz w:val="22"/>
          <w:szCs w:val="22"/>
        </w:rPr>
        <w:t xml:space="preserve"> – Early Childhood Curriculum</w:t>
      </w:r>
      <w:r w:rsidRPr="00E02074">
        <w:rPr>
          <w:rFonts w:asciiTheme="minorHAnsi" w:hAnsiTheme="minorHAnsi" w:cstheme="minorHAnsi"/>
          <w:color w:val="000000" w:themeColor="text1"/>
          <w:sz w:val="22"/>
          <w:szCs w:val="22"/>
        </w:rPr>
        <w:t xml:space="preserve">, which provides young children with a rich array of primary play-based experiences. </w:t>
      </w:r>
      <w:r w:rsidR="008A758A">
        <w:rPr>
          <w:rFonts w:asciiTheme="minorHAnsi" w:hAnsiTheme="minorHAnsi" w:cstheme="minorHAnsi"/>
          <w:color w:val="000000" w:themeColor="text1"/>
          <w:sz w:val="22"/>
          <w:szCs w:val="22"/>
        </w:rPr>
        <w:t>In</w:t>
      </w:r>
      <w:r w:rsidRPr="00E02074">
        <w:rPr>
          <w:rFonts w:asciiTheme="minorHAnsi" w:hAnsiTheme="minorHAnsi" w:cstheme="minorHAnsi"/>
          <w:color w:val="000000" w:themeColor="text1"/>
          <w:sz w:val="22"/>
          <w:szCs w:val="22"/>
        </w:rPr>
        <w:t xml:space="preserve"> Canada, play is an essential part of Ontario early years pedagogy, as outlined within </w:t>
      </w:r>
      <w:r w:rsidRPr="00E02074">
        <w:rPr>
          <w:rFonts w:asciiTheme="minorHAnsi" w:hAnsiTheme="minorHAnsi" w:cstheme="minorHAnsi"/>
          <w:i/>
          <w:iCs/>
          <w:color w:val="000000" w:themeColor="text1"/>
          <w:sz w:val="22"/>
          <w:szCs w:val="22"/>
        </w:rPr>
        <w:t>How does learning happen? Ontario’s pedagogy for the early years</w:t>
      </w:r>
      <w:r w:rsidRPr="00E02074">
        <w:rPr>
          <w:rFonts w:asciiTheme="minorHAnsi" w:hAnsiTheme="minorHAnsi" w:cstheme="minorHAnsi"/>
          <w:color w:val="000000" w:themeColor="text1"/>
          <w:sz w:val="22"/>
          <w:szCs w:val="22"/>
        </w:rPr>
        <w:t xml:space="preserve"> and is embedded within the full-day Kindergarten program for 4- and 5-year-olds. Play is similarly highlighted as a critical component of the </w:t>
      </w:r>
      <w:r w:rsidRPr="00E02074">
        <w:rPr>
          <w:rFonts w:asciiTheme="minorHAnsi" w:hAnsiTheme="minorHAnsi" w:cstheme="minorHAnsi"/>
          <w:i/>
          <w:iCs/>
          <w:color w:val="000000" w:themeColor="text1"/>
          <w:sz w:val="22"/>
          <w:szCs w:val="22"/>
        </w:rPr>
        <w:t>British Columbia Early Learning Framework</w:t>
      </w:r>
      <w:r w:rsidRPr="00E02074">
        <w:rPr>
          <w:rFonts w:asciiTheme="minorHAnsi" w:hAnsiTheme="minorHAnsi" w:cstheme="minorHAnsi"/>
          <w:color w:val="000000" w:themeColor="text1"/>
          <w:sz w:val="22"/>
          <w:szCs w:val="22"/>
        </w:rPr>
        <w:t xml:space="preserve"> and is identified within various aspects of the kindergarten curriculum.</w:t>
      </w:r>
    </w:p>
    <w:p w:rsidR="008006B4" w:rsidRPr="00E02074" w:rsidRDefault="008006B4" w:rsidP="00E02074">
      <w:pPr>
        <w:spacing w:line="360" w:lineRule="auto"/>
        <w:rPr>
          <w:rFonts w:asciiTheme="minorHAnsi" w:hAnsiTheme="minorHAnsi" w:cstheme="minorHAnsi"/>
          <w:color w:val="000000" w:themeColor="text1"/>
          <w:sz w:val="22"/>
          <w:szCs w:val="22"/>
        </w:rPr>
      </w:pPr>
    </w:p>
    <w:p w:rsidR="008006B4" w:rsidRPr="00E02074" w:rsidRDefault="008006B4" w:rsidP="00E02074">
      <w:pPr>
        <w:spacing w:line="360" w:lineRule="auto"/>
        <w:rPr>
          <w:rFonts w:asciiTheme="minorHAnsi" w:hAnsiTheme="minorHAnsi" w:cstheme="minorHAnsi"/>
          <w:color w:val="000000" w:themeColor="text1"/>
          <w:sz w:val="22"/>
          <w:szCs w:val="22"/>
        </w:rPr>
      </w:pPr>
      <w:r w:rsidRPr="00E02074">
        <w:rPr>
          <w:rFonts w:asciiTheme="minorHAnsi" w:hAnsiTheme="minorHAnsi" w:cstheme="minorHAnsi"/>
          <w:color w:val="000000" w:themeColor="text1"/>
          <w:sz w:val="22"/>
          <w:szCs w:val="22"/>
        </w:rPr>
        <w:t>Further, play is increasingly recognized as essential to nourishing children’s learning, growth, health, and well-being. According to the Council of Ministers of Education Canada (n.d.): “When children are playing, children are learning” (p. 1). The LEGO</w:t>
      </w:r>
      <w:r w:rsidR="000E7C2E" w:rsidRPr="00E02074">
        <w:rPr>
          <w:rFonts w:asciiTheme="minorHAnsi" w:hAnsiTheme="minorHAnsi" w:cstheme="minorHAnsi"/>
          <w:color w:val="000000" w:themeColor="text1"/>
          <w:sz w:val="22"/>
          <w:szCs w:val="22"/>
        </w:rPr>
        <w:t>®</w:t>
      </w:r>
      <w:r w:rsidRPr="00E02074">
        <w:rPr>
          <w:rFonts w:asciiTheme="minorHAnsi" w:hAnsiTheme="minorHAnsi" w:cstheme="minorHAnsi"/>
          <w:color w:val="000000" w:themeColor="text1"/>
          <w:sz w:val="22"/>
          <w:szCs w:val="22"/>
        </w:rPr>
        <w:t xml:space="preserve"> Foundation (n.d.) suggests that it is through play that children unlock essential skills for learning and life. They similarly advocate that play nurtures holistic skill development and helps children prepare for the future, and that further investment in research and evidence is necessary to understanding more about how children learn through play. Moreover, play has been connected to children’s ability to thrive within educational settings (Nesbitt, 2019). Embracing a lifespan perspective, the Council of Ministers of Education Canada suggest that “it is important to encourage play as a tool for children’s learning to foster and promote the global competencies that are integral to flourishing in today’s as well as tomorrow’s world.”</w:t>
      </w:r>
    </w:p>
    <w:p w:rsidR="008006B4" w:rsidRPr="00E02074" w:rsidRDefault="008006B4" w:rsidP="00E02074">
      <w:pPr>
        <w:spacing w:line="360" w:lineRule="auto"/>
        <w:rPr>
          <w:rFonts w:asciiTheme="minorHAnsi" w:hAnsiTheme="minorHAnsi" w:cstheme="minorHAnsi"/>
          <w:color w:val="000000" w:themeColor="text1"/>
          <w:sz w:val="22"/>
          <w:szCs w:val="22"/>
        </w:rPr>
      </w:pPr>
    </w:p>
    <w:p w:rsidR="008006B4" w:rsidRPr="00E02074" w:rsidRDefault="008006B4" w:rsidP="00E02074">
      <w:pPr>
        <w:pStyle w:val="p1"/>
        <w:spacing w:line="360" w:lineRule="auto"/>
        <w:rPr>
          <w:rFonts w:asciiTheme="minorHAnsi" w:hAnsiTheme="minorHAnsi" w:cstheme="minorHAnsi"/>
          <w:sz w:val="22"/>
          <w:szCs w:val="22"/>
        </w:rPr>
      </w:pPr>
      <w:r w:rsidRPr="00E02074">
        <w:rPr>
          <w:rFonts w:asciiTheme="minorHAnsi" w:hAnsiTheme="minorHAnsi" w:cstheme="minorHAnsi"/>
          <w:color w:val="000000" w:themeColor="text1"/>
          <w:sz w:val="22"/>
          <w:szCs w:val="22"/>
        </w:rPr>
        <w:t xml:space="preserve">Incorporating play into the classroom for older students provides contexts for building creativity and communication and leads to increased engagement with learning and career (The LEGO Foundation, 2014). Through playful learning, secondary school age children show life skills improvement and teachers have a better understanding of individual needs and feel higher levels of empathy toward their </w:t>
      </w:r>
      <w:r w:rsidRPr="00E02074">
        <w:rPr>
          <w:rFonts w:asciiTheme="minorHAnsi" w:hAnsiTheme="minorHAnsi" w:cstheme="minorHAnsi"/>
          <w:color w:val="000000" w:themeColor="text1"/>
          <w:sz w:val="22"/>
          <w:szCs w:val="22"/>
        </w:rPr>
        <w:lastRenderedPageBreak/>
        <w:t>students (</w:t>
      </w:r>
      <w:proofErr w:type="spellStart"/>
      <w:r w:rsidR="00FF45AD" w:rsidRPr="00E02074">
        <w:rPr>
          <w:rFonts w:asciiTheme="minorHAnsi" w:hAnsiTheme="minorHAnsi" w:cstheme="minorHAnsi"/>
          <w:color w:val="000000" w:themeColor="text1"/>
          <w:sz w:val="22"/>
          <w:szCs w:val="22"/>
        </w:rPr>
        <w:t>Zosh</w:t>
      </w:r>
      <w:proofErr w:type="spellEnd"/>
      <w:r w:rsidR="00FF45AD" w:rsidRPr="00E02074">
        <w:rPr>
          <w:rFonts w:asciiTheme="minorHAnsi" w:hAnsiTheme="minorHAnsi" w:cstheme="minorHAnsi"/>
          <w:color w:val="000000" w:themeColor="text1"/>
          <w:sz w:val="22"/>
          <w:szCs w:val="22"/>
        </w:rPr>
        <w:t xml:space="preserve"> et al, 2022</w:t>
      </w:r>
      <w:r w:rsidRPr="00E02074">
        <w:rPr>
          <w:rFonts w:asciiTheme="minorHAnsi" w:hAnsiTheme="minorHAnsi" w:cstheme="minorHAnsi"/>
          <w:color w:val="000000" w:themeColor="text1"/>
          <w:sz w:val="22"/>
          <w:szCs w:val="22"/>
        </w:rPr>
        <w:t>). Play, when incorporated into higher education has been shown to facilitate increased learning, especially about the world around us, and can support the development of adaptability (Brown</w:t>
      </w:r>
      <w:r w:rsidR="00E02074" w:rsidRPr="00E02074">
        <w:rPr>
          <w:rFonts w:asciiTheme="minorHAnsi" w:hAnsiTheme="minorHAnsi" w:cstheme="minorHAnsi"/>
          <w:color w:val="000000" w:themeColor="text1"/>
          <w:sz w:val="22"/>
          <w:szCs w:val="22"/>
        </w:rPr>
        <w:t xml:space="preserve"> &amp; Vaughan</w:t>
      </w:r>
      <w:r w:rsidRPr="00E02074">
        <w:rPr>
          <w:rFonts w:asciiTheme="minorHAnsi" w:hAnsiTheme="minorHAnsi" w:cstheme="minorHAnsi"/>
          <w:color w:val="000000" w:themeColor="text1"/>
          <w:sz w:val="22"/>
          <w:szCs w:val="22"/>
        </w:rPr>
        <w:t xml:space="preserve">, 2009), crucial for effective career navigation. Indeed, play is an important facilitative mechanism for supporting lifelong learning and development (Judson, 2017) arguably crucial components of lifelong </w:t>
      </w:r>
      <w:r w:rsidRPr="00E02074">
        <w:rPr>
          <w:rFonts w:asciiTheme="minorHAnsi" w:hAnsiTheme="minorHAnsi" w:cstheme="minorHAnsi"/>
          <w:i/>
          <w:iCs/>
          <w:color w:val="000000" w:themeColor="text1"/>
          <w:sz w:val="22"/>
          <w:szCs w:val="22"/>
        </w:rPr>
        <w:t xml:space="preserve">career </w:t>
      </w:r>
      <w:r w:rsidRPr="00E02074">
        <w:rPr>
          <w:rFonts w:asciiTheme="minorHAnsi" w:hAnsiTheme="minorHAnsi" w:cstheme="minorHAnsi"/>
          <w:color w:val="000000" w:themeColor="text1"/>
          <w:sz w:val="22"/>
          <w:szCs w:val="22"/>
        </w:rPr>
        <w:t>development. Notably, a significant body of research supports the value of lifelong learning as a crucial career development construct (Arthur et al., 2025), and one of the core competencies deemed important for career development practitioners is the ability to demonstrate a commitment to lifelong learning (C</w:t>
      </w:r>
      <w:r w:rsidR="00E02074">
        <w:rPr>
          <w:rFonts w:asciiTheme="minorHAnsi" w:hAnsiTheme="minorHAnsi" w:cstheme="minorHAnsi"/>
          <w:color w:val="000000" w:themeColor="text1"/>
          <w:sz w:val="22"/>
          <w:szCs w:val="22"/>
        </w:rPr>
        <w:t>MEC</w:t>
      </w:r>
      <w:r w:rsidRPr="00E02074">
        <w:rPr>
          <w:rFonts w:asciiTheme="minorHAnsi" w:hAnsiTheme="minorHAnsi" w:cstheme="minorHAnsi"/>
          <w:color w:val="000000" w:themeColor="text1"/>
          <w:sz w:val="22"/>
          <w:szCs w:val="22"/>
        </w:rPr>
        <w:t xml:space="preserve">, </w:t>
      </w:r>
      <w:r w:rsidR="00E02074" w:rsidRPr="00E02074">
        <w:rPr>
          <w:rFonts w:asciiTheme="minorHAnsi" w:hAnsiTheme="minorHAnsi" w:cstheme="minorHAnsi"/>
          <w:color w:val="000000" w:themeColor="text1"/>
          <w:sz w:val="22"/>
          <w:szCs w:val="22"/>
        </w:rPr>
        <w:t>n.d.</w:t>
      </w:r>
      <w:r w:rsidRPr="00E02074">
        <w:rPr>
          <w:rFonts w:asciiTheme="minorHAnsi" w:hAnsiTheme="minorHAnsi" w:cstheme="minorHAnsi"/>
          <w:color w:val="000000" w:themeColor="text1"/>
          <w:sz w:val="22"/>
          <w:szCs w:val="22"/>
        </w:rPr>
        <w:t>).</w:t>
      </w:r>
    </w:p>
    <w:p w:rsidR="008006B4" w:rsidRPr="00E02074" w:rsidRDefault="008006B4" w:rsidP="00E02074">
      <w:pPr>
        <w:pStyle w:val="p1"/>
        <w:spacing w:line="360" w:lineRule="auto"/>
        <w:rPr>
          <w:rFonts w:asciiTheme="minorHAnsi" w:hAnsiTheme="minorHAnsi" w:cstheme="minorHAnsi"/>
          <w:sz w:val="22"/>
          <w:szCs w:val="22"/>
        </w:rPr>
      </w:pPr>
    </w:p>
    <w:p w:rsidR="007629B7" w:rsidRPr="00E02074" w:rsidRDefault="008006B4" w:rsidP="00E02074">
      <w:pPr>
        <w:pStyle w:val="p1"/>
        <w:spacing w:line="360" w:lineRule="auto"/>
        <w:rPr>
          <w:rFonts w:asciiTheme="minorHAnsi" w:hAnsiTheme="minorHAnsi" w:cstheme="minorHAnsi"/>
          <w:b/>
          <w:bCs/>
          <w:sz w:val="22"/>
          <w:szCs w:val="22"/>
        </w:rPr>
      </w:pPr>
      <w:r w:rsidRPr="00E02074">
        <w:rPr>
          <w:rFonts w:asciiTheme="minorHAnsi" w:hAnsiTheme="minorHAnsi" w:cstheme="minorHAnsi"/>
          <w:b/>
          <w:bCs/>
          <w:sz w:val="22"/>
          <w:szCs w:val="22"/>
        </w:rPr>
        <w:t>M</w:t>
      </w:r>
      <w:r w:rsidR="00F0524C" w:rsidRPr="00E02074">
        <w:rPr>
          <w:rFonts w:asciiTheme="minorHAnsi" w:hAnsiTheme="minorHAnsi" w:cstheme="minorHAnsi"/>
          <w:b/>
          <w:bCs/>
          <w:sz w:val="22"/>
          <w:szCs w:val="22"/>
        </w:rPr>
        <w:t>ethodology</w:t>
      </w:r>
    </w:p>
    <w:p w:rsidR="008006B4" w:rsidRPr="00E02074" w:rsidRDefault="008006B4" w:rsidP="00E02074">
      <w:pPr>
        <w:spacing w:line="360" w:lineRule="auto"/>
        <w:rPr>
          <w:rFonts w:asciiTheme="minorHAnsi" w:hAnsiTheme="minorHAnsi" w:cstheme="minorHAnsi"/>
          <w:color w:val="000000" w:themeColor="text1"/>
          <w:sz w:val="22"/>
          <w:szCs w:val="22"/>
        </w:rPr>
      </w:pPr>
      <w:r w:rsidRPr="00E02074">
        <w:rPr>
          <w:rFonts w:asciiTheme="minorHAnsi" w:hAnsiTheme="minorHAnsi" w:cstheme="minorHAnsi"/>
          <w:color w:val="000000" w:themeColor="text1"/>
          <w:sz w:val="22"/>
          <w:szCs w:val="22"/>
        </w:rPr>
        <w:t>This research seeks to better understand the role of play in early career development. Through our data collection we aim to respond to the following research questions: (1) How is early career development and play understood in the literature? (2) How do key stakeholders perceive and understand early career development? and (3) What opportunities exist for alignment and bridging gaps between these bodies of knowledge? Together, this work will drive the development of a research-driven conceptual framework and inform a new understanding of early career development and the place of play within it. This project will engage a mixed method approach with a heavy emphasis on the qualitative component to collect data from two primary sources.</w:t>
      </w:r>
    </w:p>
    <w:p w:rsidR="008006B4" w:rsidRPr="00E02074" w:rsidRDefault="008006B4" w:rsidP="00E02074">
      <w:pPr>
        <w:spacing w:line="360" w:lineRule="auto"/>
        <w:rPr>
          <w:rFonts w:asciiTheme="minorHAnsi" w:hAnsiTheme="minorHAnsi" w:cstheme="minorHAnsi"/>
          <w:color w:val="0070C0"/>
          <w:sz w:val="22"/>
          <w:szCs w:val="22"/>
        </w:rPr>
      </w:pPr>
    </w:p>
    <w:p w:rsidR="008006B4" w:rsidRPr="00E02074" w:rsidRDefault="008006B4" w:rsidP="00E02074">
      <w:pPr>
        <w:spacing w:line="360" w:lineRule="auto"/>
        <w:rPr>
          <w:rFonts w:asciiTheme="minorHAnsi" w:hAnsiTheme="minorHAnsi" w:cstheme="minorHAnsi"/>
          <w:color w:val="000000" w:themeColor="text1"/>
          <w:sz w:val="22"/>
          <w:szCs w:val="22"/>
        </w:rPr>
      </w:pPr>
      <w:r w:rsidRPr="00E02074">
        <w:rPr>
          <w:rFonts w:asciiTheme="minorHAnsi" w:hAnsiTheme="minorHAnsi" w:cstheme="minorHAnsi"/>
          <w:color w:val="000000" w:themeColor="text1"/>
          <w:sz w:val="22"/>
          <w:szCs w:val="22"/>
        </w:rPr>
        <w:t>First, we will undertake an integrative literature review that will allow us to critically analyse both theoretical and empirical literature that can inform the generation of our new framework. The integrative review will aim to merge theoretical and empirical insights informing the development of our new conceptual framework. We will undertake a narrative synthesis with conceptual analysis (Muhammad, 2024) to reveal the important themes that will influence the construction of or conceptual framework. We will collect secondary sources of data through the integrative literature review. The purpose of collecting this data is two-fold: 1. To create an evidence-base for the development of our conceptual framework; and 2. To inform the development of the instruments to be used in the next two phases of data collection, the survey deployment and undertaking of focus groups.</w:t>
      </w:r>
    </w:p>
    <w:p w:rsidR="008006B4" w:rsidRPr="00E02074" w:rsidRDefault="008006B4" w:rsidP="00E02074">
      <w:pPr>
        <w:spacing w:line="360" w:lineRule="auto"/>
        <w:rPr>
          <w:rFonts w:asciiTheme="minorHAnsi" w:hAnsiTheme="minorHAnsi" w:cstheme="minorHAnsi"/>
          <w:color w:val="000000" w:themeColor="text1"/>
          <w:sz w:val="22"/>
          <w:szCs w:val="22"/>
        </w:rPr>
      </w:pPr>
    </w:p>
    <w:p w:rsidR="00677752" w:rsidRDefault="008006B4" w:rsidP="00677752">
      <w:pPr>
        <w:spacing w:line="360" w:lineRule="auto"/>
        <w:rPr>
          <w:rFonts w:asciiTheme="minorHAnsi" w:hAnsiTheme="minorHAnsi" w:cstheme="minorHAnsi"/>
          <w:b/>
          <w:bCs/>
          <w:sz w:val="22"/>
          <w:szCs w:val="22"/>
        </w:rPr>
      </w:pPr>
      <w:r w:rsidRPr="00E02074">
        <w:rPr>
          <w:rFonts w:asciiTheme="minorHAnsi" w:hAnsiTheme="minorHAnsi" w:cstheme="minorHAnsi"/>
          <w:color w:val="000000" w:themeColor="text1"/>
          <w:sz w:val="22"/>
          <w:szCs w:val="22"/>
        </w:rPr>
        <w:t xml:space="preserve">Second, we will create a distribute a survey that includes quantitative questions and some open-ended qualitative questions. Data collected will be analysed through descriptive statistics using SPSS and a thematic analysis of qualitative responses using a qualitative data analysis software program (e.g., </w:t>
      </w:r>
      <w:r w:rsidRPr="00E02074">
        <w:rPr>
          <w:rFonts w:asciiTheme="minorHAnsi" w:hAnsiTheme="minorHAnsi" w:cstheme="minorHAnsi"/>
          <w:color w:val="000000" w:themeColor="text1"/>
          <w:sz w:val="22"/>
          <w:szCs w:val="22"/>
        </w:rPr>
        <w:lastRenderedPageBreak/>
        <w:t>NVivo). The survey will be distributed widely to early childhood educators and practitioners, parents, childcare professionals, early childhood education program leads and faculty, and additional vested parties. We will collect quantitative and qualitative data through a survey with analysis of quantitative responses reported as descriptive statistics using SPSS and thematic analysis of qualitative responses using NVivo through an iterative (inductive and deductive) analysis process to reveal important themes and trends. Collecting data via an electronically distributed survey will allow us to reach participants across Canada in a cost-effective and efficient manner. Importantly, it provides an opportunity to gather insights and perspectives from a range of invested parties who are located in diverse contexts and environments, including urban and rural locations. We will leverage our existing far-reaching network of educators and career development professionals for survey distribution using a snowball technique and also utilize social media.</w:t>
      </w:r>
      <w:r w:rsidRPr="00E02074">
        <w:rPr>
          <w:rFonts w:asciiTheme="minorHAnsi" w:hAnsiTheme="minorHAnsi" w:cstheme="minorHAnsi"/>
          <w:color w:val="000000" w:themeColor="text1"/>
          <w:sz w:val="22"/>
          <w:szCs w:val="22"/>
        </w:rPr>
        <w:br/>
      </w:r>
    </w:p>
    <w:p w:rsidR="007629B7" w:rsidRPr="00677752" w:rsidRDefault="008006B4" w:rsidP="00677752">
      <w:pPr>
        <w:spacing w:line="360" w:lineRule="auto"/>
        <w:rPr>
          <w:rFonts w:asciiTheme="minorHAnsi" w:hAnsiTheme="minorHAnsi" w:cstheme="minorHAnsi"/>
          <w:color w:val="000000" w:themeColor="text1"/>
          <w:sz w:val="22"/>
          <w:szCs w:val="22"/>
        </w:rPr>
      </w:pPr>
      <w:r w:rsidRPr="00E02074">
        <w:rPr>
          <w:rFonts w:asciiTheme="minorHAnsi" w:hAnsiTheme="minorHAnsi" w:cstheme="minorHAnsi"/>
          <w:b/>
          <w:bCs/>
          <w:sz w:val="22"/>
          <w:szCs w:val="22"/>
        </w:rPr>
        <w:t>R</w:t>
      </w:r>
      <w:r w:rsidR="00F0524C" w:rsidRPr="00E02074">
        <w:rPr>
          <w:rFonts w:asciiTheme="minorHAnsi" w:hAnsiTheme="minorHAnsi" w:cstheme="minorHAnsi"/>
          <w:b/>
          <w:bCs/>
          <w:sz w:val="22"/>
          <w:szCs w:val="22"/>
        </w:rPr>
        <w:t>esults</w:t>
      </w:r>
    </w:p>
    <w:p w:rsidR="00677752" w:rsidRDefault="00BD1E19" w:rsidP="00E02074">
      <w:pPr>
        <w:pStyle w:val="p1"/>
        <w:spacing w:line="360" w:lineRule="auto"/>
        <w:rPr>
          <w:rFonts w:asciiTheme="minorHAnsi" w:hAnsiTheme="minorHAnsi" w:cstheme="minorHAnsi"/>
          <w:sz w:val="22"/>
          <w:szCs w:val="22"/>
        </w:rPr>
      </w:pPr>
      <w:r w:rsidRPr="00BD1E19">
        <w:rPr>
          <w:rFonts w:asciiTheme="minorHAnsi" w:hAnsiTheme="minorHAnsi" w:cstheme="minorHAnsi"/>
          <w:sz w:val="22"/>
          <w:szCs w:val="22"/>
        </w:rPr>
        <w:t xml:space="preserve">Our work </w:t>
      </w:r>
      <w:r>
        <w:rPr>
          <w:rFonts w:asciiTheme="minorHAnsi" w:hAnsiTheme="minorHAnsi" w:cstheme="minorHAnsi"/>
          <w:sz w:val="22"/>
          <w:szCs w:val="22"/>
        </w:rPr>
        <w:t xml:space="preserve">remains ongoing, we are in the midst of data collection at time of writing this proposal, however tentative results from the literature review are pointing towards the importance of play as a mechanism to develop key processes that support lifelong and life wide career development. These include: </w:t>
      </w:r>
    </w:p>
    <w:p w:rsidR="008B5659" w:rsidRDefault="008B5659" w:rsidP="008B5659">
      <w:pPr>
        <w:pStyle w:val="p1"/>
        <w:numPr>
          <w:ilvl w:val="0"/>
          <w:numId w:val="1"/>
        </w:numPr>
        <w:spacing w:line="360" w:lineRule="auto"/>
        <w:rPr>
          <w:rFonts w:asciiTheme="minorHAnsi" w:hAnsiTheme="minorHAnsi" w:cstheme="minorHAnsi"/>
          <w:sz w:val="22"/>
          <w:szCs w:val="22"/>
        </w:rPr>
      </w:pPr>
      <w:r>
        <w:rPr>
          <w:rFonts w:asciiTheme="minorHAnsi" w:hAnsiTheme="minorHAnsi" w:cstheme="minorHAnsi"/>
          <w:sz w:val="22"/>
          <w:szCs w:val="22"/>
        </w:rPr>
        <w:t>Dramatic play requires children to regulate behaviour, plan actions, and collaborate with peers (</w:t>
      </w:r>
      <w:proofErr w:type="spellStart"/>
      <w:r>
        <w:rPr>
          <w:rFonts w:asciiTheme="minorHAnsi" w:hAnsiTheme="minorHAnsi" w:cstheme="minorHAnsi"/>
          <w:sz w:val="22"/>
          <w:szCs w:val="22"/>
        </w:rPr>
        <w:t>Bodrova</w:t>
      </w:r>
      <w:proofErr w:type="spellEnd"/>
      <w:r>
        <w:rPr>
          <w:rFonts w:asciiTheme="minorHAnsi" w:hAnsiTheme="minorHAnsi" w:cstheme="minorHAnsi"/>
          <w:sz w:val="22"/>
          <w:szCs w:val="22"/>
        </w:rPr>
        <w:t xml:space="preserve"> &amp; Leong, 2007)</w:t>
      </w:r>
    </w:p>
    <w:p w:rsidR="008B5659" w:rsidRPr="008B5659" w:rsidRDefault="008B5659" w:rsidP="008B5659">
      <w:pPr>
        <w:pStyle w:val="p1"/>
        <w:numPr>
          <w:ilvl w:val="0"/>
          <w:numId w:val="1"/>
        </w:numPr>
        <w:spacing w:line="360" w:lineRule="auto"/>
        <w:rPr>
          <w:rStyle w:val="apple-converted-space"/>
          <w:rFonts w:asciiTheme="minorHAnsi" w:hAnsiTheme="minorHAnsi" w:cstheme="minorHAnsi"/>
          <w:sz w:val="22"/>
          <w:szCs w:val="22"/>
        </w:rPr>
      </w:pPr>
      <w:r>
        <w:rPr>
          <w:rFonts w:ascii="Calibri" w:hAnsi="Calibri" w:cs="Calibri"/>
          <w:sz w:val="22"/>
          <w:szCs w:val="22"/>
        </w:rPr>
        <w:t>Social</w:t>
      </w:r>
      <w:r>
        <w:rPr>
          <w:rFonts w:ascii="Calibri" w:hAnsi="Calibri" w:cs="Calibri"/>
          <w:sz w:val="22"/>
          <w:szCs w:val="22"/>
        </w:rPr>
        <w:t xml:space="preserve"> skills developed through play form the foundation for later career development and desirable work habits, positioning early play as preparatory for lifelong career readiness</w:t>
      </w:r>
      <w:r>
        <w:rPr>
          <w:rStyle w:val="apple-converted-space"/>
          <w:rFonts w:ascii="Calibri" w:hAnsi="Calibri" w:cs="Calibri"/>
          <w:sz w:val="22"/>
          <w:szCs w:val="22"/>
        </w:rPr>
        <w:t> </w:t>
      </w:r>
      <w:r>
        <w:rPr>
          <w:rStyle w:val="apple-converted-space"/>
          <w:rFonts w:ascii="Calibri" w:hAnsi="Calibri" w:cs="Calibri"/>
          <w:sz w:val="22"/>
          <w:szCs w:val="22"/>
        </w:rPr>
        <w:t>(Chau et al., 2022)</w:t>
      </w:r>
    </w:p>
    <w:p w:rsidR="008B5659" w:rsidRPr="008B5659" w:rsidRDefault="008B5659" w:rsidP="008B5659">
      <w:pPr>
        <w:pStyle w:val="p1"/>
        <w:numPr>
          <w:ilvl w:val="0"/>
          <w:numId w:val="1"/>
        </w:numPr>
        <w:spacing w:line="360" w:lineRule="auto"/>
        <w:rPr>
          <w:rFonts w:asciiTheme="minorHAnsi" w:hAnsiTheme="minorHAnsi" w:cstheme="minorHAnsi"/>
          <w:sz w:val="22"/>
          <w:szCs w:val="22"/>
        </w:rPr>
      </w:pPr>
      <w:r>
        <w:rPr>
          <w:rFonts w:ascii="Calibri" w:hAnsi="Calibri" w:cs="Calibri"/>
          <w:sz w:val="22"/>
          <w:szCs w:val="22"/>
        </w:rPr>
        <w:t>P</w:t>
      </w:r>
      <w:r>
        <w:rPr>
          <w:rFonts w:ascii="Calibri" w:hAnsi="Calibri" w:cs="Calibri"/>
          <w:sz w:val="22"/>
          <w:szCs w:val="22"/>
        </w:rPr>
        <w:t xml:space="preserve">lay </w:t>
      </w:r>
      <w:r>
        <w:rPr>
          <w:rFonts w:ascii="Calibri" w:hAnsi="Calibri" w:cs="Calibri"/>
          <w:sz w:val="22"/>
          <w:szCs w:val="22"/>
        </w:rPr>
        <w:t>i</w:t>
      </w:r>
      <w:r>
        <w:rPr>
          <w:rFonts w:ascii="Calibri" w:hAnsi="Calibri" w:cs="Calibri"/>
          <w:sz w:val="22"/>
          <w:szCs w:val="22"/>
        </w:rPr>
        <w:t>s a mechanism for developing agency, decision-making, social responsibility, identity formation and self-directed learning, all of which are foundational capacities that support lifelong career development</w:t>
      </w:r>
      <w:r>
        <w:rPr>
          <w:rFonts w:ascii="Calibri" w:hAnsi="Calibri" w:cs="Calibri"/>
          <w:sz w:val="22"/>
          <w:szCs w:val="22"/>
        </w:rPr>
        <w:t xml:space="preserve"> (</w:t>
      </w:r>
      <w:proofErr w:type="spellStart"/>
      <w:r>
        <w:rPr>
          <w:rFonts w:ascii="Calibri" w:hAnsi="Calibri" w:cs="Calibri"/>
          <w:sz w:val="22"/>
          <w:szCs w:val="22"/>
        </w:rPr>
        <w:t>Dzamesi</w:t>
      </w:r>
      <w:proofErr w:type="spellEnd"/>
      <w:r>
        <w:rPr>
          <w:rFonts w:ascii="Calibri" w:hAnsi="Calibri" w:cs="Calibri"/>
          <w:sz w:val="22"/>
          <w:szCs w:val="22"/>
        </w:rPr>
        <w:t xml:space="preserve"> &amp; Van Heerden</w:t>
      </w:r>
      <w:r>
        <w:rPr>
          <w:rFonts w:ascii="Calibri" w:hAnsi="Calibri" w:cs="Calibri"/>
          <w:sz w:val="22"/>
          <w:szCs w:val="22"/>
        </w:rPr>
        <w:t xml:space="preserve">, </w:t>
      </w:r>
      <w:r>
        <w:rPr>
          <w:rFonts w:ascii="Calibri" w:hAnsi="Calibri" w:cs="Calibri"/>
          <w:sz w:val="22"/>
          <w:szCs w:val="22"/>
        </w:rPr>
        <w:t>2020</w:t>
      </w:r>
      <w:r w:rsidR="00167A0F">
        <w:rPr>
          <w:rFonts w:ascii="Calibri" w:hAnsi="Calibri" w:cs="Calibri"/>
          <w:sz w:val="22"/>
          <w:szCs w:val="22"/>
        </w:rPr>
        <w:t xml:space="preserve">; </w:t>
      </w:r>
      <w:proofErr w:type="spellStart"/>
      <w:r w:rsidR="00167A0F">
        <w:rPr>
          <w:rFonts w:ascii="Calibri" w:hAnsi="Calibri" w:cs="Calibri"/>
          <w:sz w:val="22"/>
          <w:szCs w:val="22"/>
        </w:rPr>
        <w:t>Savikas</w:t>
      </w:r>
      <w:proofErr w:type="spellEnd"/>
      <w:r w:rsidR="00167A0F">
        <w:rPr>
          <w:rFonts w:ascii="Calibri" w:hAnsi="Calibri" w:cs="Calibri"/>
          <w:sz w:val="22"/>
          <w:szCs w:val="22"/>
        </w:rPr>
        <w:t>, 2005</w:t>
      </w:r>
      <w:r>
        <w:rPr>
          <w:rFonts w:ascii="Calibri" w:hAnsi="Calibri" w:cs="Calibri"/>
          <w:sz w:val="22"/>
          <w:szCs w:val="22"/>
        </w:rPr>
        <w:t>)</w:t>
      </w:r>
    </w:p>
    <w:p w:rsidR="008B5659" w:rsidRPr="00BD1E19" w:rsidRDefault="00167A0F" w:rsidP="008B5659">
      <w:pPr>
        <w:pStyle w:val="p1"/>
        <w:numPr>
          <w:ilvl w:val="0"/>
          <w:numId w:val="1"/>
        </w:numPr>
        <w:spacing w:line="360" w:lineRule="auto"/>
        <w:rPr>
          <w:rFonts w:asciiTheme="minorHAnsi" w:hAnsiTheme="minorHAnsi" w:cstheme="minorHAnsi"/>
          <w:sz w:val="22"/>
          <w:szCs w:val="22"/>
        </w:rPr>
      </w:pPr>
      <w:r>
        <w:rPr>
          <w:rFonts w:ascii="Calibri" w:hAnsi="Calibri" w:cs="Calibri"/>
          <w:sz w:val="22"/>
          <w:szCs w:val="22"/>
        </w:rPr>
        <w:t>D</w:t>
      </w:r>
      <w:r>
        <w:rPr>
          <w:rFonts w:ascii="Calibri" w:hAnsi="Calibri" w:cs="Calibri"/>
          <w:sz w:val="22"/>
          <w:szCs w:val="22"/>
        </w:rPr>
        <w:t>emonstrates how play</w:t>
      </w:r>
      <w:r>
        <w:rPr>
          <w:rFonts w:ascii="Calibri" w:hAnsi="Calibri" w:cs="Calibri"/>
          <w:sz w:val="22"/>
          <w:szCs w:val="22"/>
        </w:rPr>
        <w:t xml:space="preserve"> </w:t>
      </w:r>
      <w:r>
        <w:rPr>
          <w:rFonts w:ascii="Calibri" w:hAnsi="Calibri" w:cs="Calibri"/>
          <w:sz w:val="22"/>
          <w:szCs w:val="22"/>
        </w:rPr>
        <w:t>can serve as an organizing structure for integrating new domains (digital pedagogy), offering a structural parallel for integrating early career development into play-based systems</w:t>
      </w:r>
      <w:r>
        <w:rPr>
          <w:rFonts w:ascii="Calibri" w:hAnsi="Calibri" w:cs="Calibri"/>
          <w:sz w:val="22"/>
          <w:szCs w:val="22"/>
        </w:rPr>
        <w:t xml:space="preserve"> (</w:t>
      </w:r>
      <w:proofErr w:type="spellStart"/>
      <w:r w:rsidR="008B5659">
        <w:rPr>
          <w:rFonts w:ascii="Calibri" w:hAnsi="Calibri" w:cs="Calibri"/>
          <w:sz w:val="22"/>
          <w:szCs w:val="22"/>
        </w:rPr>
        <w:t>Lähdesmäki</w:t>
      </w:r>
      <w:proofErr w:type="spellEnd"/>
      <w:r w:rsidR="008B5659">
        <w:rPr>
          <w:rFonts w:ascii="Calibri" w:hAnsi="Calibri" w:cs="Calibri"/>
          <w:sz w:val="22"/>
          <w:szCs w:val="22"/>
        </w:rPr>
        <w:t xml:space="preserve"> et al., </w:t>
      </w:r>
      <w:r>
        <w:rPr>
          <w:rFonts w:ascii="Calibri" w:hAnsi="Calibri" w:cs="Calibri"/>
          <w:sz w:val="22"/>
          <w:szCs w:val="22"/>
        </w:rPr>
        <w:t>2024)</w:t>
      </w:r>
    </w:p>
    <w:p w:rsidR="00677752" w:rsidRDefault="00677752" w:rsidP="00E02074">
      <w:pPr>
        <w:pStyle w:val="p1"/>
        <w:spacing w:line="360" w:lineRule="auto"/>
        <w:rPr>
          <w:rFonts w:asciiTheme="minorHAnsi" w:hAnsiTheme="minorHAnsi" w:cstheme="minorHAnsi"/>
          <w:b/>
          <w:bCs/>
          <w:sz w:val="22"/>
          <w:szCs w:val="22"/>
        </w:rPr>
      </w:pPr>
    </w:p>
    <w:p w:rsidR="007629B7" w:rsidRPr="00E02074" w:rsidRDefault="008006B4" w:rsidP="00E02074">
      <w:pPr>
        <w:pStyle w:val="p1"/>
        <w:spacing w:line="360" w:lineRule="auto"/>
        <w:rPr>
          <w:rFonts w:asciiTheme="minorHAnsi" w:hAnsiTheme="minorHAnsi" w:cstheme="minorHAnsi"/>
          <w:b/>
          <w:bCs/>
          <w:sz w:val="22"/>
          <w:szCs w:val="22"/>
        </w:rPr>
      </w:pPr>
      <w:r w:rsidRPr="00E02074">
        <w:rPr>
          <w:rFonts w:asciiTheme="minorHAnsi" w:hAnsiTheme="minorHAnsi" w:cstheme="minorHAnsi"/>
          <w:b/>
          <w:bCs/>
          <w:sz w:val="22"/>
          <w:szCs w:val="22"/>
        </w:rPr>
        <w:t>C</w:t>
      </w:r>
      <w:r w:rsidR="00F0524C" w:rsidRPr="00E02074">
        <w:rPr>
          <w:rFonts w:asciiTheme="minorHAnsi" w:hAnsiTheme="minorHAnsi" w:cstheme="minorHAnsi"/>
          <w:b/>
          <w:bCs/>
          <w:sz w:val="22"/>
          <w:szCs w:val="22"/>
        </w:rPr>
        <w:t>onclusions</w:t>
      </w:r>
    </w:p>
    <w:p w:rsidR="00167A0F" w:rsidRDefault="00167A0F" w:rsidP="00167A0F">
      <w:pPr>
        <w:pStyle w:val="p1"/>
        <w:spacing w:line="360" w:lineRule="auto"/>
        <w:rPr>
          <w:rFonts w:asciiTheme="minorHAnsi" w:hAnsiTheme="minorHAnsi" w:cstheme="minorHAnsi"/>
          <w:b/>
          <w:bCs/>
          <w:sz w:val="22"/>
          <w:szCs w:val="22"/>
        </w:rPr>
      </w:pPr>
      <w:r>
        <w:rPr>
          <w:rFonts w:ascii="Calibri" w:hAnsi="Calibri" w:cs="Calibri"/>
          <w:sz w:val="22"/>
          <w:szCs w:val="22"/>
        </w:rPr>
        <w:t>Our literature review is shining a light on how play and p</w:t>
      </w:r>
      <w:r>
        <w:rPr>
          <w:rFonts w:ascii="Calibri" w:hAnsi="Calibri" w:cs="Calibri"/>
          <w:sz w:val="22"/>
          <w:szCs w:val="22"/>
        </w:rPr>
        <w:t xml:space="preserve">lay based learning </w:t>
      </w:r>
      <w:r>
        <w:rPr>
          <w:rFonts w:ascii="Calibri" w:hAnsi="Calibri" w:cs="Calibri"/>
          <w:sz w:val="22"/>
          <w:szCs w:val="22"/>
        </w:rPr>
        <w:t>are</w:t>
      </w:r>
      <w:r>
        <w:rPr>
          <w:rFonts w:ascii="Calibri" w:hAnsi="Calibri" w:cs="Calibri"/>
          <w:sz w:val="22"/>
          <w:szCs w:val="22"/>
        </w:rPr>
        <w:t xml:space="preserve"> positioned as central mechanism</w:t>
      </w:r>
      <w:r>
        <w:rPr>
          <w:rFonts w:ascii="Calibri" w:hAnsi="Calibri" w:cs="Calibri"/>
          <w:sz w:val="22"/>
          <w:szCs w:val="22"/>
        </w:rPr>
        <w:t>s</w:t>
      </w:r>
      <w:r>
        <w:rPr>
          <w:rFonts w:ascii="Calibri" w:hAnsi="Calibri" w:cs="Calibri"/>
          <w:sz w:val="22"/>
          <w:szCs w:val="22"/>
        </w:rPr>
        <w:t xml:space="preserve"> through which children develop curiosity, problem solving, communication, and </w:t>
      </w:r>
      <w:r>
        <w:rPr>
          <w:rFonts w:ascii="Calibri" w:hAnsi="Calibri" w:cs="Calibri"/>
          <w:sz w:val="22"/>
          <w:szCs w:val="22"/>
        </w:rPr>
        <w:lastRenderedPageBreak/>
        <w:t xml:space="preserve">collaboration skills that support lifelong learning. </w:t>
      </w:r>
      <w:r>
        <w:rPr>
          <w:rFonts w:ascii="Calibri" w:hAnsi="Calibri" w:cs="Calibri"/>
          <w:sz w:val="22"/>
          <w:szCs w:val="22"/>
        </w:rPr>
        <w:t>Within the literature reviewed to date, c</w:t>
      </w:r>
      <w:r>
        <w:rPr>
          <w:rFonts w:ascii="Calibri" w:hAnsi="Calibri" w:cs="Calibri"/>
          <w:sz w:val="22"/>
          <w:szCs w:val="22"/>
        </w:rPr>
        <w:t xml:space="preserve">hildren are described as competent and capable learners </w:t>
      </w:r>
      <w:r>
        <w:rPr>
          <w:rFonts w:ascii="Calibri" w:hAnsi="Calibri" w:cs="Calibri"/>
          <w:sz w:val="22"/>
          <w:szCs w:val="22"/>
        </w:rPr>
        <w:t xml:space="preserve">when they are engaging in play, </w:t>
      </w:r>
      <w:r>
        <w:rPr>
          <w:rFonts w:ascii="Calibri" w:hAnsi="Calibri" w:cs="Calibri"/>
          <w:sz w:val="22"/>
          <w:szCs w:val="22"/>
        </w:rPr>
        <w:t xml:space="preserve">who </w:t>
      </w:r>
      <w:r>
        <w:rPr>
          <w:rFonts w:ascii="Calibri" w:hAnsi="Calibri" w:cs="Calibri"/>
          <w:sz w:val="22"/>
          <w:szCs w:val="22"/>
        </w:rPr>
        <w:t xml:space="preserve">are able to </w:t>
      </w:r>
      <w:r>
        <w:rPr>
          <w:rFonts w:ascii="Calibri" w:hAnsi="Calibri" w:cs="Calibri"/>
          <w:sz w:val="22"/>
          <w:szCs w:val="22"/>
        </w:rPr>
        <w:t xml:space="preserve">build knowledge </w:t>
      </w:r>
      <w:r>
        <w:rPr>
          <w:rFonts w:ascii="Calibri" w:hAnsi="Calibri" w:cs="Calibri"/>
          <w:sz w:val="22"/>
          <w:szCs w:val="22"/>
        </w:rPr>
        <w:t>when they are exploring</w:t>
      </w:r>
      <w:r>
        <w:rPr>
          <w:rFonts w:ascii="Calibri" w:hAnsi="Calibri" w:cs="Calibri"/>
          <w:sz w:val="22"/>
          <w:szCs w:val="22"/>
        </w:rPr>
        <w:t>, inquir</w:t>
      </w:r>
      <w:r>
        <w:rPr>
          <w:rFonts w:ascii="Calibri" w:hAnsi="Calibri" w:cs="Calibri"/>
          <w:sz w:val="22"/>
          <w:szCs w:val="22"/>
        </w:rPr>
        <w:t>ing</w:t>
      </w:r>
      <w:r>
        <w:rPr>
          <w:rFonts w:ascii="Calibri" w:hAnsi="Calibri" w:cs="Calibri"/>
          <w:sz w:val="22"/>
          <w:szCs w:val="22"/>
        </w:rPr>
        <w:t>, and play</w:t>
      </w:r>
      <w:r>
        <w:rPr>
          <w:rFonts w:ascii="Calibri" w:hAnsi="Calibri" w:cs="Calibri"/>
          <w:sz w:val="22"/>
          <w:szCs w:val="22"/>
        </w:rPr>
        <w:t>ing</w:t>
      </w:r>
      <w:r>
        <w:rPr>
          <w:rFonts w:ascii="Calibri" w:hAnsi="Calibri" w:cs="Calibri"/>
          <w:sz w:val="22"/>
          <w:szCs w:val="22"/>
        </w:rPr>
        <w:t xml:space="preserve"> within supportive environments. Learning through play </w:t>
      </w:r>
      <w:r>
        <w:rPr>
          <w:rFonts w:ascii="Calibri" w:hAnsi="Calibri" w:cs="Calibri"/>
          <w:sz w:val="22"/>
          <w:szCs w:val="22"/>
        </w:rPr>
        <w:t>is seen as supporting</w:t>
      </w:r>
      <w:r>
        <w:rPr>
          <w:rFonts w:ascii="Calibri" w:hAnsi="Calibri" w:cs="Calibri"/>
          <w:sz w:val="22"/>
          <w:szCs w:val="22"/>
        </w:rPr>
        <w:t xml:space="preserve"> the development of social relationships, creativity, and communication, which are foundational competencies for later learning and participation in society.</w:t>
      </w:r>
      <w:r>
        <w:rPr>
          <w:rFonts w:ascii="Calibri" w:hAnsi="Calibri" w:cs="Calibri"/>
          <w:sz w:val="22"/>
          <w:szCs w:val="22"/>
        </w:rPr>
        <w:t xml:space="preserve"> We are looking forward to presenting the full results of our study at IAEVG.</w:t>
      </w:r>
    </w:p>
    <w:p w:rsidR="00167A0F" w:rsidRDefault="00167A0F" w:rsidP="00E02074">
      <w:pPr>
        <w:pStyle w:val="p1"/>
        <w:spacing w:line="360" w:lineRule="auto"/>
        <w:jc w:val="center"/>
        <w:rPr>
          <w:rFonts w:asciiTheme="minorHAnsi" w:hAnsiTheme="minorHAnsi" w:cstheme="minorHAnsi"/>
          <w:b/>
          <w:bCs/>
          <w:sz w:val="22"/>
          <w:szCs w:val="22"/>
        </w:rPr>
      </w:pPr>
    </w:p>
    <w:p w:rsidR="00167A0F" w:rsidRDefault="00167A0F" w:rsidP="00E02074">
      <w:pPr>
        <w:pStyle w:val="p1"/>
        <w:spacing w:line="360" w:lineRule="auto"/>
        <w:jc w:val="center"/>
        <w:rPr>
          <w:rFonts w:asciiTheme="minorHAnsi" w:hAnsiTheme="minorHAnsi" w:cstheme="minorHAnsi"/>
          <w:b/>
          <w:bCs/>
          <w:sz w:val="22"/>
          <w:szCs w:val="22"/>
        </w:rPr>
      </w:pPr>
    </w:p>
    <w:p w:rsidR="00167A0F" w:rsidRDefault="00167A0F" w:rsidP="00E02074">
      <w:pPr>
        <w:pStyle w:val="p1"/>
        <w:spacing w:line="360" w:lineRule="auto"/>
        <w:jc w:val="center"/>
        <w:rPr>
          <w:rFonts w:asciiTheme="minorHAnsi" w:hAnsiTheme="minorHAnsi" w:cstheme="minorHAnsi"/>
          <w:b/>
          <w:bCs/>
          <w:sz w:val="22"/>
          <w:szCs w:val="22"/>
        </w:rPr>
      </w:pPr>
    </w:p>
    <w:p w:rsidR="00F0524C" w:rsidRPr="00E02074" w:rsidRDefault="000E7C2E" w:rsidP="00E02074">
      <w:pPr>
        <w:pStyle w:val="p1"/>
        <w:spacing w:line="360" w:lineRule="auto"/>
        <w:jc w:val="center"/>
        <w:rPr>
          <w:rFonts w:asciiTheme="minorHAnsi" w:hAnsiTheme="minorHAnsi" w:cstheme="minorHAnsi"/>
          <w:b/>
          <w:bCs/>
          <w:sz w:val="22"/>
          <w:szCs w:val="22"/>
        </w:rPr>
      </w:pPr>
      <w:r w:rsidRPr="00E02074">
        <w:rPr>
          <w:rFonts w:asciiTheme="minorHAnsi" w:hAnsiTheme="minorHAnsi" w:cstheme="minorHAnsi"/>
          <w:b/>
          <w:bCs/>
          <w:sz w:val="22"/>
          <w:szCs w:val="22"/>
        </w:rPr>
        <w:t>B</w:t>
      </w:r>
      <w:r w:rsidR="00F0524C" w:rsidRPr="00E02074">
        <w:rPr>
          <w:rFonts w:asciiTheme="minorHAnsi" w:hAnsiTheme="minorHAnsi" w:cstheme="minorHAnsi"/>
          <w:b/>
          <w:bCs/>
          <w:sz w:val="22"/>
          <w:szCs w:val="22"/>
        </w:rPr>
        <w:t xml:space="preserve">ibliographical </w:t>
      </w:r>
      <w:r w:rsidRPr="00E02074">
        <w:rPr>
          <w:rFonts w:asciiTheme="minorHAnsi" w:hAnsiTheme="minorHAnsi" w:cstheme="minorHAnsi"/>
          <w:b/>
          <w:bCs/>
          <w:sz w:val="22"/>
          <w:szCs w:val="22"/>
        </w:rPr>
        <w:t>R</w:t>
      </w:r>
      <w:r w:rsidR="00F0524C" w:rsidRPr="00E02074">
        <w:rPr>
          <w:rFonts w:asciiTheme="minorHAnsi" w:hAnsiTheme="minorHAnsi" w:cstheme="minorHAnsi"/>
          <w:b/>
          <w:bCs/>
          <w:sz w:val="22"/>
          <w:szCs w:val="22"/>
        </w:rPr>
        <w:t>eferences</w:t>
      </w:r>
    </w:p>
    <w:p w:rsidR="00E02074" w:rsidRPr="00E02074" w:rsidRDefault="00653614" w:rsidP="00E02074">
      <w:pPr>
        <w:spacing w:line="360" w:lineRule="auto"/>
        <w:rPr>
          <w:rFonts w:asciiTheme="minorHAnsi" w:hAnsiTheme="minorHAnsi" w:cstheme="minorHAnsi"/>
          <w:i/>
          <w:iCs/>
          <w:sz w:val="22"/>
          <w:szCs w:val="22"/>
        </w:rPr>
      </w:pPr>
      <w:r w:rsidRPr="00E02074">
        <w:rPr>
          <w:rFonts w:asciiTheme="minorHAnsi" w:hAnsiTheme="minorHAnsi" w:cstheme="minorHAnsi"/>
          <w:sz w:val="22"/>
          <w:szCs w:val="22"/>
        </w:rPr>
        <w:t>﻿</w:t>
      </w:r>
      <w:r w:rsidR="00E02074" w:rsidRPr="00E02074">
        <w:rPr>
          <w:rFonts w:asciiTheme="minorHAnsi" w:hAnsiTheme="minorHAnsi" w:cstheme="minorHAnsi"/>
          <w:sz w:val="22"/>
          <w:szCs w:val="22"/>
        </w:rPr>
        <w:t>Arthur, L., Beecher, B., &amp; Death, E. (2025). </w:t>
      </w:r>
      <w:r w:rsidR="00E02074" w:rsidRPr="00E02074">
        <w:rPr>
          <w:rFonts w:asciiTheme="minorHAnsi" w:hAnsiTheme="minorHAnsi" w:cstheme="minorHAnsi"/>
          <w:i/>
          <w:iCs/>
          <w:sz w:val="22"/>
          <w:szCs w:val="22"/>
        </w:rPr>
        <w:t xml:space="preserve">Programming and planning in early childhood </w:t>
      </w:r>
    </w:p>
    <w:p w:rsidR="00E02074" w:rsidRPr="00E02074" w:rsidRDefault="00E02074" w:rsidP="00E02074">
      <w:pPr>
        <w:spacing w:line="360" w:lineRule="auto"/>
        <w:ind w:firstLine="720"/>
        <w:rPr>
          <w:rFonts w:asciiTheme="minorHAnsi" w:hAnsiTheme="minorHAnsi" w:cstheme="minorHAnsi"/>
          <w:sz w:val="22"/>
          <w:szCs w:val="22"/>
        </w:rPr>
      </w:pPr>
      <w:r w:rsidRPr="00E02074">
        <w:rPr>
          <w:rFonts w:asciiTheme="minorHAnsi" w:hAnsiTheme="minorHAnsi" w:cstheme="minorHAnsi"/>
          <w:i/>
          <w:iCs/>
          <w:sz w:val="22"/>
          <w:szCs w:val="22"/>
        </w:rPr>
        <w:t>settings.</w:t>
      </w:r>
      <w:r w:rsidRPr="00E02074">
        <w:rPr>
          <w:rFonts w:asciiTheme="minorHAnsi" w:hAnsiTheme="minorHAnsi" w:cstheme="minorHAnsi"/>
          <w:sz w:val="22"/>
          <w:szCs w:val="22"/>
        </w:rPr>
        <w:t xml:space="preserve"> Cengage Learning Australia.</w:t>
      </w:r>
    </w:p>
    <w:p w:rsidR="008B5659" w:rsidRDefault="008B5659" w:rsidP="00E02074">
      <w:pPr>
        <w:pStyle w:val="p1"/>
        <w:spacing w:line="360" w:lineRule="auto"/>
        <w:rPr>
          <w:rFonts w:ascii="Calibri" w:hAnsi="Calibri" w:cs="Calibri"/>
          <w:i/>
          <w:iCs/>
          <w:sz w:val="22"/>
          <w:szCs w:val="22"/>
        </w:rPr>
      </w:pPr>
      <w:proofErr w:type="spellStart"/>
      <w:r>
        <w:rPr>
          <w:rFonts w:ascii="Calibri" w:hAnsi="Calibri" w:cs="Calibri"/>
          <w:sz w:val="22"/>
          <w:szCs w:val="22"/>
        </w:rPr>
        <w:t>Bodrova</w:t>
      </w:r>
      <w:proofErr w:type="spellEnd"/>
      <w:r>
        <w:rPr>
          <w:rFonts w:ascii="Calibri" w:hAnsi="Calibri" w:cs="Calibri"/>
          <w:sz w:val="22"/>
          <w:szCs w:val="22"/>
        </w:rPr>
        <w:t>, E., &amp; Leong, D. (2007).</w:t>
      </w:r>
      <w:r>
        <w:rPr>
          <w:rStyle w:val="apple-converted-space"/>
          <w:rFonts w:ascii="Calibri" w:hAnsi="Calibri" w:cs="Calibri"/>
          <w:sz w:val="22"/>
          <w:szCs w:val="22"/>
        </w:rPr>
        <w:t> </w:t>
      </w:r>
      <w:r>
        <w:rPr>
          <w:rFonts w:ascii="Calibri" w:hAnsi="Calibri" w:cs="Calibri"/>
          <w:i/>
          <w:iCs/>
          <w:sz w:val="22"/>
          <w:szCs w:val="22"/>
        </w:rPr>
        <w:t xml:space="preserve">Tools of the mind: The Vygotskian approach to early childhood </w:t>
      </w:r>
    </w:p>
    <w:p w:rsidR="008B5659" w:rsidRDefault="008B5659" w:rsidP="008B5659">
      <w:pPr>
        <w:pStyle w:val="p1"/>
        <w:spacing w:line="360" w:lineRule="auto"/>
        <w:ind w:firstLine="720"/>
        <w:rPr>
          <w:rFonts w:asciiTheme="minorHAnsi" w:hAnsiTheme="minorHAnsi" w:cstheme="minorHAnsi"/>
          <w:sz w:val="22"/>
          <w:szCs w:val="22"/>
        </w:rPr>
      </w:pPr>
      <w:r>
        <w:rPr>
          <w:rFonts w:ascii="Calibri" w:hAnsi="Calibri" w:cs="Calibri"/>
          <w:i/>
          <w:iCs/>
          <w:sz w:val="22"/>
          <w:szCs w:val="22"/>
        </w:rPr>
        <w:t>education</w:t>
      </w:r>
      <w:r>
        <w:rPr>
          <w:rStyle w:val="apple-converted-space"/>
          <w:rFonts w:ascii="Calibri" w:hAnsi="Calibri" w:cs="Calibri"/>
          <w:sz w:val="22"/>
          <w:szCs w:val="22"/>
        </w:rPr>
        <w:t> </w:t>
      </w:r>
      <w:r>
        <w:rPr>
          <w:rFonts w:ascii="Calibri" w:hAnsi="Calibri" w:cs="Calibri"/>
          <w:sz w:val="22"/>
          <w:szCs w:val="22"/>
        </w:rPr>
        <w:t>(2nd ed.). Pearson.</w:t>
      </w:r>
    </w:p>
    <w:p w:rsidR="00E02074" w:rsidRPr="00E02074" w:rsidRDefault="000E7C2E" w:rsidP="00E02074">
      <w:pPr>
        <w:pStyle w:val="p1"/>
        <w:spacing w:line="360" w:lineRule="auto"/>
        <w:rPr>
          <w:rFonts w:asciiTheme="minorHAnsi" w:hAnsiTheme="minorHAnsi" w:cstheme="minorHAnsi"/>
          <w:i/>
          <w:iCs/>
          <w:sz w:val="22"/>
          <w:szCs w:val="22"/>
        </w:rPr>
      </w:pPr>
      <w:r w:rsidRPr="00E02074">
        <w:rPr>
          <w:rFonts w:asciiTheme="minorHAnsi" w:hAnsiTheme="minorHAnsi" w:cstheme="minorHAnsi"/>
          <w:sz w:val="22"/>
          <w:szCs w:val="22"/>
        </w:rPr>
        <w:t>Brown</w:t>
      </w:r>
      <w:r w:rsidR="00E02074" w:rsidRPr="00E02074">
        <w:rPr>
          <w:rFonts w:asciiTheme="minorHAnsi" w:hAnsiTheme="minorHAnsi" w:cstheme="minorHAnsi"/>
          <w:sz w:val="22"/>
          <w:szCs w:val="22"/>
        </w:rPr>
        <w:t xml:space="preserve">, S., &amp; Vaughan, C. (2009). </w:t>
      </w:r>
      <w:r w:rsidR="00E02074" w:rsidRPr="00E02074">
        <w:rPr>
          <w:rFonts w:asciiTheme="minorHAnsi" w:hAnsiTheme="minorHAnsi" w:cstheme="minorHAnsi"/>
          <w:i/>
          <w:iCs/>
          <w:sz w:val="22"/>
          <w:szCs w:val="22"/>
        </w:rPr>
        <w:t xml:space="preserve">Play: How it shapes the brain, opens the imagination, and </w:t>
      </w:r>
    </w:p>
    <w:p w:rsidR="000E7C2E" w:rsidRPr="00E02074" w:rsidRDefault="00E02074" w:rsidP="00E02074">
      <w:pPr>
        <w:pStyle w:val="p1"/>
        <w:spacing w:line="360" w:lineRule="auto"/>
        <w:ind w:firstLine="720"/>
        <w:rPr>
          <w:rFonts w:asciiTheme="minorHAnsi" w:hAnsiTheme="minorHAnsi" w:cstheme="minorHAnsi"/>
          <w:sz w:val="22"/>
          <w:szCs w:val="22"/>
        </w:rPr>
      </w:pPr>
      <w:r w:rsidRPr="00E02074">
        <w:rPr>
          <w:rFonts w:asciiTheme="minorHAnsi" w:hAnsiTheme="minorHAnsi" w:cstheme="minorHAnsi"/>
          <w:i/>
          <w:iCs/>
          <w:sz w:val="22"/>
          <w:szCs w:val="22"/>
        </w:rPr>
        <w:t>invigorates the soul.</w:t>
      </w:r>
      <w:r w:rsidRPr="00E02074">
        <w:rPr>
          <w:rFonts w:asciiTheme="minorHAnsi" w:hAnsiTheme="minorHAnsi" w:cstheme="minorHAnsi"/>
          <w:sz w:val="22"/>
          <w:szCs w:val="22"/>
        </w:rPr>
        <w:t xml:space="preserve"> Penguin Random House.</w:t>
      </w:r>
    </w:p>
    <w:p w:rsidR="000E7C2E" w:rsidRPr="00E02074" w:rsidRDefault="00653614" w:rsidP="00E02074">
      <w:pPr>
        <w:pStyle w:val="p1"/>
        <w:spacing w:line="360" w:lineRule="auto"/>
        <w:rPr>
          <w:rFonts w:asciiTheme="minorHAnsi" w:hAnsiTheme="minorHAnsi" w:cstheme="minorHAnsi"/>
          <w:i/>
          <w:iCs/>
          <w:sz w:val="22"/>
          <w:szCs w:val="22"/>
        </w:rPr>
      </w:pPr>
      <w:r w:rsidRPr="00E02074">
        <w:rPr>
          <w:rFonts w:asciiTheme="minorHAnsi" w:hAnsiTheme="minorHAnsi" w:cstheme="minorHAnsi"/>
          <w:sz w:val="22"/>
          <w:szCs w:val="22"/>
        </w:rPr>
        <w:t xml:space="preserve">Cahill, M., &amp; </w:t>
      </w:r>
      <w:proofErr w:type="spellStart"/>
      <w:r w:rsidRPr="00E02074">
        <w:rPr>
          <w:rFonts w:asciiTheme="minorHAnsi" w:hAnsiTheme="minorHAnsi" w:cstheme="minorHAnsi"/>
          <w:sz w:val="22"/>
          <w:szCs w:val="22"/>
        </w:rPr>
        <w:t>Furey</w:t>
      </w:r>
      <w:proofErr w:type="spellEnd"/>
      <w:r w:rsidRPr="00E02074">
        <w:rPr>
          <w:rFonts w:asciiTheme="minorHAnsi" w:hAnsiTheme="minorHAnsi" w:cstheme="minorHAnsi"/>
          <w:sz w:val="22"/>
          <w:szCs w:val="22"/>
        </w:rPr>
        <w:t xml:space="preserve">, E. (2017a). </w:t>
      </w:r>
      <w:r w:rsidRPr="00E02074">
        <w:rPr>
          <w:rFonts w:asciiTheme="minorHAnsi" w:hAnsiTheme="minorHAnsi" w:cstheme="minorHAnsi"/>
          <w:i/>
          <w:iCs/>
          <w:sz w:val="22"/>
          <w:szCs w:val="22"/>
        </w:rPr>
        <w:t>The early years career development for young children: A guide</w:t>
      </w:r>
    </w:p>
    <w:p w:rsidR="00653614" w:rsidRPr="00E02074" w:rsidRDefault="00653614" w:rsidP="00E02074">
      <w:pPr>
        <w:pStyle w:val="p1"/>
        <w:spacing w:line="360" w:lineRule="auto"/>
        <w:ind w:firstLine="720"/>
        <w:rPr>
          <w:rFonts w:asciiTheme="minorHAnsi" w:hAnsiTheme="minorHAnsi" w:cstheme="minorHAnsi"/>
          <w:sz w:val="22"/>
          <w:szCs w:val="22"/>
        </w:rPr>
      </w:pPr>
      <w:r w:rsidRPr="00E02074">
        <w:rPr>
          <w:rFonts w:asciiTheme="minorHAnsi" w:hAnsiTheme="minorHAnsi" w:cstheme="minorHAnsi"/>
          <w:i/>
          <w:iCs/>
          <w:sz w:val="22"/>
          <w:szCs w:val="22"/>
        </w:rPr>
        <w:t>for educators</w:t>
      </w:r>
      <w:r w:rsidRPr="00E02074">
        <w:rPr>
          <w:rFonts w:asciiTheme="minorHAnsi" w:hAnsiTheme="minorHAnsi" w:cstheme="minorHAnsi"/>
          <w:sz w:val="22"/>
          <w:szCs w:val="22"/>
        </w:rPr>
        <w:t>. CERIC.</w:t>
      </w:r>
    </w:p>
    <w:p w:rsidR="00653614" w:rsidRPr="00E02074" w:rsidRDefault="00653614" w:rsidP="00E02074">
      <w:pPr>
        <w:pStyle w:val="p1"/>
        <w:spacing w:line="360" w:lineRule="auto"/>
        <w:rPr>
          <w:rFonts w:asciiTheme="minorHAnsi" w:hAnsiTheme="minorHAnsi" w:cstheme="minorHAnsi"/>
          <w:i/>
          <w:iCs/>
          <w:sz w:val="22"/>
          <w:szCs w:val="22"/>
        </w:rPr>
      </w:pPr>
      <w:r w:rsidRPr="00E02074">
        <w:rPr>
          <w:rFonts w:asciiTheme="minorHAnsi" w:hAnsiTheme="minorHAnsi" w:cstheme="minorHAnsi"/>
          <w:sz w:val="22"/>
          <w:szCs w:val="22"/>
        </w:rPr>
        <w:t xml:space="preserve">Cahill, M., &amp; </w:t>
      </w:r>
      <w:proofErr w:type="spellStart"/>
      <w:r w:rsidRPr="00E02074">
        <w:rPr>
          <w:rFonts w:asciiTheme="minorHAnsi" w:hAnsiTheme="minorHAnsi" w:cstheme="minorHAnsi"/>
          <w:sz w:val="22"/>
          <w:szCs w:val="22"/>
        </w:rPr>
        <w:t>Furey</w:t>
      </w:r>
      <w:proofErr w:type="spellEnd"/>
      <w:r w:rsidRPr="00E02074">
        <w:rPr>
          <w:rFonts w:asciiTheme="minorHAnsi" w:hAnsiTheme="minorHAnsi" w:cstheme="minorHAnsi"/>
          <w:sz w:val="22"/>
          <w:szCs w:val="22"/>
        </w:rPr>
        <w:t xml:space="preserve">, E. (2017b). </w:t>
      </w:r>
      <w:r w:rsidRPr="00E02074">
        <w:rPr>
          <w:rFonts w:asciiTheme="minorHAnsi" w:hAnsiTheme="minorHAnsi" w:cstheme="minorHAnsi"/>
          <w:i/>
          <w:iCs/>
          <w:sz w:val="22"/>
          <w:szCs w:val="22"/>
        </w:rPr>
        <w:t>The early years career development for young children: A guide</w:t>
      </w:r>
    </w:p>
    <w:p w:rsidR="00E02074" w:rsidRPr="00E02074" w:rsidRDefault="00653614" w:rsidP="00E02074">
      <w:pPr>
        <w:pStyle w:val="p1"/>
        <w:spacing w:line="360" w:lineRule="auto"/>
        <w:ind w:firstLine="720"/>
        <w:rPr>
          <w:rFonts w:asciiTheme="minorHAnsi" w:hAnsiTheme="minorHAnsi" w:cstheme="minorHAnsi"/>
          <w:sz w:val="22"/>
          <w:szCs w:val="22"/>
        </w:rPr>
      </w:pPr>
      <w:r w:rsidRPr="00E02074">
        <w:rPr>
          <w:rFonts w:asciiTheme="minorHAnsi" w:hAnsiTheme="minorHAnsi" w:cstheme="minorHAnsi"/>
          <w:i/>
          <w:iCs/>
          <w:sz w:val="22"/>
          <w:szCs w:val="22"/>
        </w:rPr>
        <w:t>for parents.</w:t>
      </w:r>
      <w:r w:rsidRPr="00E02074">
        <w:rPr>
          <w:rFonts w:asciiTheme="minorHAnsi" w:hAnsiTheme="minorHAnsi" w:cstheme="minorHAnsi"/>
          <w:sz w:val="22"/>
          <w:szCs w:val="22"/>
        </w:rPr>
        <w:t xml:space="preserve"> CERIC.</w:t>
      </w:r>
    </w:p>
    <w:p w:rsidR="00653614" w:rsidRPr="00E02074" w:rsidRDefault="0065361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 xml:space="preserve">CERIC. (n.d.). </w:t>
      </w:r>
      <w:r w:rsidRPr="00E02074">
        <w:rPr>
          <w:rFonts w:asciiTheme="minorHAnsi" w:hAnsiTheme="minorHAnsi" w:cstheme="minorHAnsi"/>
          <w:i/>
          <w:iCs/>
          <w:sz w:val="22"/>
          <w:szCs w:val="22"/>
        </w:rPr>
        <w:t>Guiding principles of career development.</w:t>
      </w:r>
    </w:p>
    <w:p w:rsidR="00653614" w:rsidRDefault="00000000" w:rsidP="00E02074">
      <w:pPr>
        <w:pStyle w:val="p1"/>
        <w:spacing w:line="360" w:lineRule="auto"/>
        <w:ind w:left="720"/>
        <w:rPr>
          <w:rFonts w:asciiTheme="minorHAnsi" w:hAnsiTheme="minorHAnsi" w:cstheme="minorHAnsi"/>
          <w:sz w:val="22"/>
          <w:szCs w:val="22"/>
        </w:rPr>
      </w:pPr>
      <w:hyperlink r:id="rId7" w:history="1">
        <w:r w:rsidR="00677752" w:rsidRPr="00225950">
          <w:rPr>
            <w:rStyle w:val="Hyperlink"/>
            <w:rFonts w:asciiTheme="minorHAnsi" w:hAnsiTheme="minorHAnsi" w:cstheme="minorHAnsi"/>
            <w:sz w:val="22"/>
            <w:szCs w:val="22"/>
          </w:rPr>
          <w:t>https://ceric.ca/wp-content/uploads/2018/06/Principles-of-Career-andCareerDevelopment-Poster-8.5-x-11-English-1.pdf</w:t>
        </w:r>
      </w:hyperlink>
    </w:p>
    <w:p w:rsidR="008B5659" w:rsidRDefault="008B5659" w:rsidP="00E02074">
      <w:pPr>
        <w:pStyle w:val="p1"/>
        <w:spacing w:line="360" w:lineRule="auto"/>
        <w:rPr>
          <w:rFonts w:ascii="Calibri" w:hAnsi="Calibri" w:cs="Calibri"/>
          <w:sz w:val="22"/>
          <w:szCs w:val="22"/>
        </w:rPr>
      </w:pPr>
      <w:r>
        <w:rPr>
          <w:rFonts w:ascii="Calibri" w:hAnsi="Calibri" w:cs="Calibri"/>
          <w:sz w:val="22"/>
          <w:szCs w:val="22"/>
        </w:rPr>
        <w:t xml:space="preserve">Chau, L., Yuen, M., Chan, P., Liu, S., Chan, K., Lee, D., &amp; Hsieh, W.-Y. (2022). Play-based parent training </w:t>
      </w:r>
    </w:p>
    <w:p w:rsidR="008B5659" w:rsidRDefault="008B5659" w:rsidP="008B5659">
      <w:pPr>
        <w:pStyle w:val="p1"/>
        <w:spacing w:line="360" w:lineRule="auto"/>
        <w:ind w:left="720"/>
        <w:rPr>
          <w:rFonts w:asciiTheme="minorHAnsi" w:hAnsiTheme="minorHAnsi" w:cstheme="minorHAnsi"/>
          <w:sz w:val="22"/>
          <w:szCs w:val="22"/>
        </w:rPr>
      </w:pPr>
      <w:r>
        <w:rPr>
          <w:rFonts w:ascii="Calibri" w:hAnsi="Calibri" w:cs="Calibri"/>
          <w:sz w:val="22"/>
          <w:szCs w:val="22"/>
        </w:rPr>
        <w:t xml:space="preserve">programme supporting Hong Kong kindergarten children in social competence development. </w:t>
      </w:r>
      <w:r w:rsidRPr="008B5659">
        <w:rPr>
          <w:rFonts w:ascii="Calibri" w:hAnsi="Calibri" w:cs="Calibri"/>
          <w:i/>
          <w:iCs/>
          <w:sz w:val="22"/>
          <w:szCs w:val="22"/>
        </w:rPr>
        <w:t>British Journal of Guidance &amp; Counselling, 50</w:t>
      </w:r>
      <w:r>
        <w:rPr>
          <w:rFonts w:ascii="Calibri" w:hAnsi="Calibri" w:cs="Calibri"/>
          <w:sz w:val="22"/>
          <w:szCs w:val="22"/>
        </w:rPr>
        <w:t>(3), 386–399.</w:t>
      </w:r>
    </w:p>
    <w:p w:rsidR="00E02074" w:rsidRPr="00E02074" w:rsidRDefault="00E0207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 xml:space="preserve">Council of Ministers of Education Canada. (n.d.). </w:t>
      </w:r>
      <w:r w:rsidRPr="00E02074">
        <w:rPr>
          <w:rFonts w:asciiTheme="minorHAnsi" w:hAnsiTheme="minorHAnsi" w:cstheme="minorHAnsi"/>
          <w:i/>
          <w:iCs/>
          <w:sz w:val="22"/>
          <w:szCs w:val="22"/>
        </w:rPr>
        <w:t>Reference framework for successful transitions</w:t>
      </w:r>
      <w:r w:rsidRPr="00E02074">
        <w:rPr>
          <w:rFonts w:asciiTheme="minorHAnsi" w:hAnsiTheme="minorHAnsi" w:cstheme="minorHAnsi"/>
          <w:sz w:val="22"/>
          <w:szCs w:val="22"/>
        </w:rPr>
        <w:t xml:space="preserve">. </w:t>
      </w:r>
    </w:p>
    <w:p w:rsidR="00E02074" w:rsidRPr="00E02074" w:rsidRDefault="00000000" w:rsidP="00E02074">
      <w:pPr>
        <w:pStyle w:val="p1"/>
        <w:spacing w:line="360" w:lineRule="auto"/>
        <w:ind w:left="720"/>
        <w:rPr>
          <w:rFonts w:asciiTheme="minorHAnsi" w:hAnsiTheme="minorHAnsi" w:cstheme="minorHAnsi"/>
          <w:sz w:val="22"/>
          <w:szCs w:val="22"/>
        </w:rPr>
      </w:pPr>
      <w:hyperlink r:id="rId8" w:history="1">
        <w:r w:rsidR="00E02074" w:rsidRPr="00E02074">
          <w:rPr>
            <w:rStyle w:val="Hyperlink"/>
            <w:rFonts w:asciiTheme="minorHAnsi" w:hAnsiTheme="minorHAnsi" w:cstheme="minorHAnsi"/>
            <w:sz w:val="22"/>
            <w:szCs w:val="22"/>
          </w:rPr>
          <w:t>https://www.cmec.ca/Publications/Lists/Publications/Attachments/372/CMEC-Reference-Framework-for-Successful-Student-Transitions-EN.pdf</w:t>
        </w:r>
      </w:hyperlink>
    </w:p>
    <w:p w:rsidR="00653614" w:rsidRPr="00E02074" w:rsidRDefault="0065361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 xml:space="preserve">Darling-Hammond, L., </w:t>
      </w:r>
      <w:proofErr w:type="spellStart"/>
      <w:r w:rsidRPr="00E02074">
        <w:rPr>
          <w:rFonts w:asciiTheme="minorHAnsi" w:hAnsiTheme="minorHAnsi" w:cstheme="minorHAnsi"/>
          <w:sz w:val="22"/>
          <w:szCs w:val="22"/>
        </w:rPr>
        <w:t>Flook</w:t>
      </w:r>
      <w:proofErr w:type="spellEnd"/>
      <w:r w:rsidRPr="00E02074">
        <w:rPr>
          <w:rFonts w:asciiTheme="minorHAnsi" w:hAnsiTheme="minorHAnsi" w:cstheme="minorHAnsi"/>
          <w:sz w:val="22"/>
          <w:szCs w:val="22"/>
        </w:rPr>
        <w:t xml:space="preserve">, L., Cook-Harvey, C., Barron, B., &amp; </w:t>
      </w:r>
      <w:proofErr w:type="spellStart"/>
      <w:r w:rsidRPr="00E02074">
        <w:rPr>
          <w:rFonts w:asciiTheme="minorHAnsi" w:hAnsiTheme="minorHAnsi" w:cstheme="minorHAnsi"/>
          <w:sz w:val="22"/>
          <w:szCs w:val="22"/>
        </w:rPr>
        <w:t>Osher</w:t>
      </w:r>
      <w:proofErr w:type="spellEnd"/>
      <w:r w:rsidRPr="00E02074">
        <w:rPr>
          <w:rFonts w:asciiTheme="minorHAnsi" w:hAnsiTheme="minorHAnsi" w:cstheme="minorHAnsi"/>
          <w:sz w:val="22"/>
          <w:szCs w:val="22"/>
        </w:rPr>
        <w:t>, D. (2019). Implications for</w:t>
      </w:r>
    </w:p>
    <w:p w:rsidR="00653614" w:rsidRDefault="00653614" w:rsidP="00E02074">
      <w:pPr>
        <w:pStyle w:val="p1"/>
        <w:spacing w:line="360" w:lineRule="auto"/>
        <w:ind w:left="720"/>
        <w:rPr>
          <w:rFonts w:asciiTheme="minorHAnsi" w:hAnsiTheme="minorHAnsi" w:cstheme="minorHAnsi"/>
          <w:sz w:val="22"/>
          <w:szCs w:val="22"/>
        </w:rPr>
      </w:pPr>
      <w:r w:rsidRPr="00E02074">
        <w:rPr>
          <w:rFonts w:asciiTheme="minorHAnsi" w:hAnsiTheme="minorHAnsi" w:cstheme="minorHAnsi"/>
          <w:sz w:val="22"/>
          <w:szCs w:val="22"/>
        </w:rPr>
        <w:t xml:space="preserve">educational practice of the science of learning and development. </w:t>
      </w:r>
      <w:r w:rsidRPr="00E02074">
        <w:rPr>
          <w:rFonts w:asciiTheme="minorHAnsi" w:hAnsiTheme="minorHAnsi" w:cstheme="minorHAnsi"/>
          <w:i/>
          <w:iCs/>
          <w:sz w:val="22"/>
          <w:szCs w:val="22"/>
        </w:rPr>
        <w:t>Applied Developmental</w:t>
      </w:r>
      <w:r w:rsidR="000E7C2E" w:rsidRPr="00E02074">
        <w:rPr>
          <w:rFonts w:asciiTheme="minorHAnsi" w:hAnsiTheme="minorHAnsi" w:cstheme="minorHAnsi"/>
          <w:i/>
          <w:iCs/>
          <w:sz w:val="22"/>
          <w:szCs w:val="22"/>
        </w:rPr>
        <w:t xml:space="preserve"> </w:t>
      </w:r>
      <w:r w:rsidRPr="00E02074">
        <w:rPr>
          <w:rFonts w:asciiTheme="minorHAnsi" w:hAnsiTheme="minorHAnsi" w:cstheme="minorHAnsi"/>
          <w:i/>
          <w:iCs/>
          <w:sz w:val="22"/>
          <w:szCs w:val="22"/>
        </w:rPr>
        <w:t>Science, 24</w:t>
      </w:r>
      <w:r w:rsidRPr="00E02074">
        <w:rPr>
          <w:rFonts w:asciiTheme="minorHAnsi" w:hAnsiTheme="minorHAnsi" w:cstheme="minorHAnsi"/>
          <w:sz w:val="22"/>
          <w:szCs w:val="22"/>
        </w:rPr>
        <w:t xml:space="preserve">(2), 97–140. </w:t>
      </w:r>
      <w:hyperlink r:id="rId9" w:history="1">
        <w:r w:rsidR="00677752" w:rsidRPr="00225950">
          <w:rPr>
            <w:rStyle w:val="Hyperlink"/>
            <w:rFonts w:asciiTheme="minorHAnsi" w:hAnsiTheme="minorHAnsi" w:cstheme="minorHAnsi"/>
            <w:sz w:val="22"/>
            <w:szCs w:val="22"/>
          </w:rPr>
          <w:t>https://doi.org/10.1080/10888691.2018.1537791</w:t>
        </w:r>
      </w:hyperlink>
    </w:p>
    <w:p w:rsidR="008B5659" w:rsidRPr="008B5659" w:rsidRDefault="008B5659" w:rsidP="00E02074">
      <w:pPr>
        <w:pStyle w:val="p1"/>
        <w:spacing w:line="360" w:lineRule="auto"/>
        <w:rPr>
          <w:rFonts w:ascii="Calibri" w:hAnsi="Calibri" w:cs="Calibri"/>
          <w:sz w:val="22"/>
          <w:szCs w:val="22"/>
        </w:rPr>
      </w:pPr>
      <w:proofErr w:type="spellStart"/>
      <w:r>
        <w:rPr>
          <w:rFonts w:ascii="Calibri" w:hAnsi="Calibri" w:cs="Calibri"/>
          <w:sz w:val="22"/>
          <w:szCs w:val="22"/>
        </w:rPr>
        <w:lastRenderedPageBreak/>
        <w:t>Dzamesi</w:t>
      </w:r>
      <w:proofErr w:type="spellEnd"/>
      <w:r>
        <w:rPr>
          <w:rFonts w:ascii="Calibri" w:hAnsi="Calibri" w:cs="Calibri"/>
          <w:sz w:val="22"/>
          <w:szCs w:val="22"/>
        </w:rPr>
        <w:t xml:space="preserve"> &amp; Van Heerden (2020).</w:t>
      </w:r>
      <w:r>
        <w:rPr>
          <w:rStyle w:val="apple-converted-space"/>
          <w:rFonts w:ascii="Calibri" w:hAnsi="Calibri" w:cs="Calibri"/>
          <w:sz w:val="22"/>
          <w:szCs w:val="22"/>
        </w:rPr>
        <w:t> </w:t>
      </w:r>
      <w:r w:rsidRPr="008B5659">
        <w:rPr>
          <w:rFonts w:ascii="Calibri" w:hAnsi="Calibri" w:cs="Calibri"/>
          <w:sz w:val="22"/>
          <w:szCs w:val="22"/>
        </w:rPr>
        <w:t xml:space="preserve">A professional development programme for implementing </w:t>
      </w:r>
      <w:r w:rsidRPr="008B5659">
        <w:rPr>
          <w:rFonts w:ascii="Calibri" w:hAnsi="Calibri" w:cs="Calibri"/>
          <w:sz w:val="22"/>
          <w:szCs w:val="22"/>
        </w:rPr>
        <w:t>I</w:t>
      </w:r>
      <w:r w:rsidRPr="008B5659">
        <w:rPr>
          <w:rFonts w:ascii="Calibri" w:hAnsi="Calibri" w:cs="Calibri"/>
          <w:sz w:val="22"/>
          <w:szCs w:val="22"/>
        </w:rPr>
        <w:t xml:space="preserve">ndigenous </w:t>
      </w:r>
    </w:p>
    <w:p w:rsidR="008B5659" w:rsidRPr="008B5659" w:rsidRDefault="008B5659" w:rsidP="008B5659">
      <w:pPr>
        <w:pStyle w:val="p1"/>
        <w:spacing w:line="360" w:lineRule="auto"/>
        <w:ind w:left="720"/>
        <w:rPr>
          <w:rFonts w:asciiTheme="minorHAnsi" w:hAnsiTheme="minorHAnsi" w:cstheme="minorHAnsi"/>
          <w:sz w:val="22"/>
          <w:szCs w:val="22"/>
          <w:shd w:val="clear" w:color="auto" w:fill="FFFFFF"/>
        </w:rPr>
      </w:pPr>
      <w:r w:rsidRPr="008B5659">
        <w:rPr>
          <w:rFonts w:ascii="Calibri" w:hAnsi="Calibri" w:cs="Calibri"/>
          <w:sz w:val="22"/>
          <w:szCs w:val="22"/>
        </w:rPr>
        <w:t>play-based pedagogy in kindergarten schools in Ghana.</w:t>
      </w:r>
      <w:r w:rsidRPr="008B5659">
        <w:t xml:space="preserve"> </w:t>
      </w:r>
      <w:r w:rsidRPr="008B5659">
        <w:rPr>
          <w:rFonts w:ascii="Calibri" w:hAnsi="Calibri" w:cs="Calibri"/>
          <w:i/>
          <w:iCs/>
          <w:sz w:val="22"/>
          <w:szCs w:val="22"/>
        </w:rPr>
        <w:t xml:space="preserve">South </w:t>
      </w:r>
      <w:r w:rsidRPr="008B5659">
        <w:rPr>
          <w:rFonts w:ascii="Calibri" w:hAnsi="Calibri" w:cs="Calibri"/>
          <w:i/>
          <w:iCs/>
          <w:sz w:val="22"/>
          <w:szCs w:val="22"/>
        </w:rPr>
        <w:t>African</w:t>
      </w:r>
      <w:r w:rsidRPr="008B5659">
        <w:rPr>
          <w:rFonts w:ascii="Calibri" w:hAnsi="Calibri" w:cs="Calibri"/>
          <w:i/>
          <w:iCs/>
          <w:sz w:val="22"/>
          <w:szCs w:val="22"/>
        </w:rPr>
        <w:t xml:space="preserve"> Journal of Education, 40</w:t>
      </w:r>
      <w:r w:rsidRPr="008B5659">
        <w:rPr>
          <w:rFonts w:ascii="Calibri" w:hAnsi="Calibri" w:cs="Calibri"/>
          <w:sz w:val="22"/>
          <w:szCs w:val="22"/>
        </w:rPr>
        <w:t>(3), https://doi.org/10.15700/saje.v40n3a1793</w:t>
      </w:r>
    </w:p>
    <w:p w:rsidR="008F0339" w:rsidRPr="00E02074" w:rsidRDefault="000E7C2E" w:rsidP="00E02074">
      <w:pPr>
        <w:pStyle w:val="p1"/>
        <w:spacing w:line="360" w:lineRule="auto"/>
        <w:rPr>
          <w:rFonts w:asciiTheme="minorHAnsi" w:hAnsiTheme="minorHAnsi" w:cstheme="minorHAnsi"/>
          <w:i/>
          <w:iCs/>
          <w:sz w:val="22"/>
          <w:szCs w:val="22"/>
          <w:shd w:val="clear" w:color="auto" w:fill="FFFFFF"/>
        </w:rPr>
      </w:pPr>
      <w:proofErr w:type="spellStart"/>
      <w:r w:rsidRPr="00E02074">
        <w:rPr>
          <w:rFonts w:asciiTheme="minorHAnsi" w:hAnsiTheme="minorHAnsi" w:cstheme="minorHAnsi"/>
          <w:sz w:val="22"/>
          <w:szCs w:val="22"/>
          <w:shd w:val="clear" w:color="auto" w:fill="FFFFFF"/>
        </w:rPr>
        <w:t>Ginzberg</w:t>
      </w:r>
      <w:proofErr w:type="spellEnd"/>
      <w:r w:rsidRPr="00E02074">
        <w:rPr>
          <w:rFonts w:asciiTheme="minorHAnsi" w:hAnsiTheme="minorHAnsi" w:cstheme="minorHAnsi"/>
          <w:sz w:val="22"/>
          <w:szCs w:val="22"/>
          <w:shd w:val="clear" w:color="auto" w:fill="FFFFFF"/>
        </w:rPr>
        <w:t xml:space="preserve">, E., Ginsburg, S. W., </w:t>
      </w:r>
      <w:proofErr w:type="spellStart"/>
      <w:r w:rsidRPr="00E02074">
        <w:rPr>
          <w:rFonts w:asciiTheme="minorHAnsi" w:hAnsiTheme="minorHAnsi" w:cstheme="minorHAnsi"/>
          <w:sz w:val="22"/>
          <w:szCs w:val="22"/>
          <w:shd w:val="clear" w:color="auto" w:fill="FFFFFF"/>
        </w:rPr>
        <w:t>Axelrad</w:t>
      </w:r>
      <w:proofErr w:type="spellEnd"/>
      <w:r w:rsidRPr="00E02074">
        <w:rPr>
          <w:rFonts w:asciiTheme="minorHAnsi" w:hAnsiTheme="minorHAnsi" w:cstheme="minorHAnsi"/>
          <w:sz w:val="22"/>
          <w:szCs w:val="22"/>
          <w:shd w:val="clear" w:color="auto" w:fill="FFFFFF"/>
        </w:rPr>
        <w:t>, S.</w:t>
      </w:r>
      <w:r w:rsidR="008F0339" w:rsidRPr="00E02074">
        <w:rPr>
          <w:rFonts w:asciiTheme="minorHAnsi" w:hAnsiTheme="minorHAnsi" w:cstheme="minorHAnsi"/>
          <w:sz w:val="22"/>
          <w:szCs w:val="22"/>
          <w:shd w:val="clear" w:color="auto" w:fill="FFFFFF"/>
        </w:rPr>
        <w:t>,</w:t>
      </w:r>
      <w:r w:rsidRPr="00E02074">
        <w:rPr>
          <w:rFonts w:asciiTheme="minorHAnsi" w:hAnsiTheme="minorHAnsi" w:cstheme="minorHAnsi"/>
          <w:sz w:val="22"/>
          <w:szCs w:val="22"/>
          <w:shd w:val="clear" w:color="auto" w:fill="FFFFFF"/>
        </w:rPr>
        <w:t xml:space="preserve"> &amp; Herma</w:t>
      </w:r>
      <w:r w:rsidR="008F0339" w:rsidRPr="00E02074">
        <w:rPr>
          <w:rFonts w:asciiTheme="minorHAnsi" w:hAnsiTheme="minorHAnsi" w:cstheme="minorHAnsi"/>
          <w:sz w:val="22"/>
          <w:szCs w:val="22"/>
          <w:shd w:val="clear" w:color="auto" w:fill="FFFFFF"/>
        </w:rPr>
        <w:t>, J. L.</w:t>
      </w:r>
      <w:r w:rsidRPr="00E02074">
        <w:rPr>
          <w:rFonts w:asciiTheme="minorHAnsi" w:hAnsiTheme="minorHAnsi" w:cstheme="minorHAnsi"/>
          <w:sz w:val="22"/>
          <w:szCs w:val="22"/>
          <w:shd w:val="clear" w:color="auto" w:fill="FFFFFF"/>
        </w:rPr>
        <w:t xml:space="preserve"> (1951). </w:t>
      </w:r>
      <w:r w:rsidRPr="00E02074">
        <w:rPr>
          <w:rFonts w:asciiTheme="minorHAnsi" w:hAnsiTheme="minorHAnsi" w:cstheme="minorHAnsi"/>
          <w:i/>
          <w:iCs/>
          <w:sz w:val="22"/>
          <w:szCs w:val="22"/>
          <w:shd w:val="clear" w:color="auto" w:fill="FFFFFF"/>
        </w:rPr>
        <w:t>Occupational choice:</w:t>
      </w:r>
    </w:p>
    <w:p w:rsidR="000E7C2E" w:rsidRPr="00E02074" w:rsidRDefault="000E7C2E" w:rsidP="00E02074">
      <w:pPr>
        <w:pStyle w:val="p1"/>
        <w:spacing w:line="360" w:lineRule="auto"/>
        <w:ind w:firstLine="720"/>
        <w:rPr>
          <w:rFonts w:asciiTheme="minorHAnsi" w:hAnsiTheme="minorHAnsi" w:cstheme="minorHAnsi"/>
          <w:i/>
          <w:iCs/>
          <w:sz w:val="22"/>
          <w:szCs w:val="22"/>
          <w:shd w:val="clear" w:color="auto" w:fill="FFFFFF"/>
        </w:rPr>
      </w:pPr>
      <w:r w:rsidRPr="00E02074">
        <w:rPr>
          <w:rFonts w:asciiTheme="minorHAnsi" w:hAnsiTheme="minorHAnsi" w:cstheme="minorHAnsi"/>
          <w:i/>
          <w:iCs/>
          <w:sz w:val="22"/>
          <w:szCs w:val="22"/>
          <w:shd w:val="clear" w:color="auto" w:fill="FFFFFF"/>
        </w:rPr>
        <w:t>An approach to the general theory</w:t>
      </w:r>
      <w:r w:rsidRPr="00E02074">
        <w:rPr>
          <w:rFonts w:asciiTheme="minorHAnsi" w:hAnsiTheme="minorHAnsi" w:cstheme="minorHAnsi"/>
          <w:sz w:val="22"/>
          <w:szCs w:val="22"/>
          <w:shd w:val="clear" w:color="auto" w:fill="FFFFFF"/>
        </w:rPr>
        <w:t xml:space="preserve">. Columbia University Press. </w:t>
      </w:r>
    </w:p>
    <w:p w:rsidR="00653614" w:rsidRPr="00E02074" w:rsidRDefault="0065361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 xml:space="preserve">Hartung, P. J., </w:t>
      </w:r>
      <w:proofErr w:type="spellStart"/>
      <w:r w:rsidRPr="00E02074">
        <w:rPr>
          <w:rFonts w:asciiTheme="minorHAnsi" w:hAnsiTheme="minorHAnsi" w:cstheme="minorHAnsi"/>
          <w:sz w:val="22"/>
          <w:szCs w:val="22"/>
        </w:rPr>
        <w:t>Porfeli</w:t>
      </w:r>
      <w:proofErr w:type="spellEnd"/>
      <w:r w:rsidRPr="00E02074">
        <w:rPr>
          <w:rFonts w:asciiTheme="minorHAnsi" w:hAnsiTheme="minorHAnsi" w:cstheme="minorHAnsi"/>
          <w:sz w:val="22"/>
          <w:szCs w:val="22"/>
        </w:rPr>
        <w:t xml:space="preserve">, E. J., &amp; </w:t>
      </w:r>
      <w:proofErr w:type="spellStart"/>
      <w:r w:rsidRPr="00E02074">
        <w:rPr>
          <w:rFonts w:asciiTheme="minorHAnsi" w:hAnsiTheme="minorHAnsi" w:cstheme="minorHAnsi"/>
          <w:sz w:val="22"/>
          <w:szCs w:val="22"/>
        </w:rPr>
        <w:t>Vondracek</w:t>
      </w:r>
      <w:proofErr w:type="spellEnd"/>
      <w:r w:rsidRPr="00E02074">
        <w:rPr>
          <w:rFonts w:asciiTheme="minorHAnsi" w:hAnsiTheme="minorHAnsi" w:cstheme="minorHAnsi"/>
          <w:sz w:val="22"/>
          <w:szCs w:val="22"/>
        </w:rPr>
        <w:t>, F. W. (2005). Child vocational development: A review</w:t>
      </w:r>
    </w:p>
    <w:p w:rsidR="00653614" w:rsidRPr="00E02074" w:rsidRDefault="00653614" w:rsidP="00E02074">
      <w:pPr>
        <w:pStyle w:val="p1"/>
        <w:spacing w:line="360" w:lineRule="auto"/>
        <w:ind w:firstLine="720"/>
        <w:rPr>
          <w:rFonts w:asciiTheme="minorHAnsi" w:hAnsiTheme="minorHAnsi" w:cstheme="minorHAnsi"/>
          <w:sz w:val="22"/>
          <w:szCs w:val="22"/>
        </w:rPr>
      </w:pPr>
      <w:r w:rsidRPr="00E02074">
        <w:rPr>
          <w:rFonts w:asciiTheme="minorHAnsi" w:hAnsiTheme="minorHAnsi" w:cstheme="minorHAnsi"/>
          <w:sz w:val="22"/>
          <w:szCs w:val="22"/>
        </w:rPr>
        <w:t xml:space="preserve">and reconsideration. </w:t>
      </w:r>
      <w:r w:rsidRPr="00E02074">
        <w:rPr>
          <w:rFonts w:asciiTheme="minorHAnsi" w:hAnsiTheme="minorHAnsi" w:cstheme="minorHAnsi"/>
          <w:i/>
          <w:iCs/>
          <w:sz w:val="22"/>
          <w:szCs w:val="22"/>
        </w:rPr>
        <w:t>Journal of Vocational Behaviour, 66</w:t>
      </w:r>
      <w:r w:rsidRPr="00E02074">
        <w:rPr>
          <w:rFonts w:asciiTheme="minorHAnsi" w:hAnsiTheme="minorHAnsi" w:cstheme="minorHAnsi"/>
          <w:sz w:val="22"/>
          <w:szCs w:val="22"/>
        </w:rPr>
        <w:t>(3), 385–419.</w:t>
      </w:r>
    </w:p>
    <w:p w:rsidR="007629B7" w:rsidRDefault="00000000" w:rsidP="00E02074">
      <w:pPr>
        <w:pStyle w:val="p1"/>
        <w:spacing w:line="360" w:lineRule="auto"/>
        <w:ind w:firstLine="720"/>
        <w:rPr>
          <w:rFonts w:asciiTheme="minorHAnsi" w:hAnsiTheme="minorHAnsi" w:cstheme="minorHAnsi"/>
          <w:sz w:val="22"/>
          <w:szCs w:val="22"/>
        </w:rPr>
      </w:pPr>
      <w:hyperlink r:id="rId10" w:history="1">
        <w:r w:rsidR="00677752" w:rsidRPr="00225950">
          <w:rPr>
            <w:rStyle w:val="Hyperlink"/>
            <w:rFonts w:asciiTheme="minorHAnsi" w:hAnsiTheme="minorHAnsi" w:cstheme="minorHAnsi"/>
            <w:sz w:val="22"/>
            <w:szCs w:val="22"/>
          </w:rPr>
          <w:t>https://doi.org/10.1016/j.jvb.2004.05.006</w:t>
        </w:r>
      </w:hyperlink>
    </w:p>
    <w:p w:rsidR="008F0339" w:rsidRPr="00E02074" w:rsidRDefault="000E7C2E"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Hewes</w:t>
      </w:r>
      <w:r w:rsidR="008F0339" w:rsidRPr="00E02074">
        <w:rPr>
          <w:rFonts w:asciiTheme="minorHAnsi" w:hAnsiTheme="minorHAnsi" w:cstheme="minorHAnsi"/>
          <w:sz w:val="22"/>
          <w:szCs w:val="22"/>
        </w:rPr>
        <w:t xml:space="preserve">, J. (2014). Seeking balance in </w:t>
      </w:r>
      <w:proofErr w:type="spellStart"/>
      <w:proofErr w:type="gramStart"/>
      <w:r w:rsidR="008F0339" w:rsidRPr="00E02074">
        <w:rPr>
          <w:rFonts w:asciiTheme="minorHAnsi" w:hAnsiTheme="minorHAnsi" w:cstheme="minorHAnsi"/>
          <w:sz w:val="22"/>
          <w:szCs w:val="22"/>
        </w:rPr>
        <w:t>motion:The</w:t>
      </w:r>
      <w:proofErr w:type="spellEnd"/>
      <w:proofErr w:type="gramEnd"/>
      <w:r w:rsidR="008F0339" w:rsidRPr="00E02074">
        <w:rPr>
          <w:rFonts w:asciiTheme="minorHAnsi" w:hAnsiTheme="minorHAnsi" w:cstheme="minorHAnsi"/>
          <w:sz w:val="22"/>
          <w:szCs w:val="22"/>
        </w:rPr>
        <w:t xml:space="preserve"> role of spontaneous free play in promoting </w:t>
      </w:r>
    </w:p>
    <w:p w:rsidR="000E7C2E" w:rsidRDefault="008F0339" w:rsidP="00E02074">
      <w:pPr>
        <w:pStyle w:val="p1"/>
        <w:spacing w:line="360" w:lineRule="auto"/>
        <w:ind w:left="720"/>
        <w:rPr>
          <w:rFonts w:asciiTheme="minorHAnsi" w:hAnsiTheme="minorHAnsi" w:cstheme="minorHAnsi"/>
          <w:sz w:val="22"/>
          <w:szCs w:val="22"/>
        </w:rPr>
      </w:pPr>
      <w:r w:rsidRPr="00E02074">
        <w:rPr>
          <w:rFonts w:asciiTheme="minorHAnsi" w:hAnsiTheme="minorHAnsi" w:cstheme="minorHAnsi"/>
          <w:sz w:val="22"/>
          <w:szCs w:val="22"/>
        </w:rPr>
        <w:t xml:space="preserve">social and emotional health in early childhood care and education. </w:t>
      </w:r>
      <w:r w:rsidRPr="00E02074">
        <w:rPr>
          <w:rFonts w:asciiTheme="minorHAnsi" w:hAnsiTheme="minorHAnsi" w:cstheme="minorHAnsi"/>
          <w:i/>
          <w:iCs/>
          <w:sz w:val="22"/>
          <w:szCs w:val="22"/>
        </w:rPr>
        <w:t>Children, (</w:t>
      </w:r>
      <w:r w:rsidRPr="00E02074">
        <w:rPr>
          <w:rFonts w:asciiTheme="minorHAnsi" w:hAnsiTheme="minorHAnsi" w:cstheme="minorHAnsi"/>
          <w:sz w:val="22"/>
          <w:szCs w:val="22"/>
        </w:rPr>
        <w:t>2014), 280–301. doi:10.3390/children1030280</w:t>
      </w:r>
    </w:p>
    <w:p w:rsidR="00653614" w:rsidRPr="00E02074" w:rsidRDefault="00653614" w:rsidP="00E02074">
      <w:pPr>
        <w:pStyle w:val="p1"/>
        <w:spacing w:line="360" w:lineRule="auto"/>
        <w:rPr>
          <w:rFonts w:asciiTheme="minorHAnsi" w:hAnsiTheme="minorHAnsi" w:cstheme="minorHAnsi"/>
          <w:i/>
          <w:iCs/>
          <w:sz w:val="22"/>
          <w:szCs w:val="22"/>
        </w:rPr>
      </w:pPr>
      <w:r w:rsidRPr="00E02074">
        <w:rPr>
          <w:rFonts w:asciiTheme="minorHAnsi" w:hAnsiTheme="minorHAnsi" w:cstheme="minorHAnsi"/>
          <w:sz w:val="22"/>
          <w:szCs w:val="22"/>
        </w:rPr>
        <w:t xml:space="preserve">Judson, G. (2017). Engaging with place: Playground practices for imaginative educators. </w:t>
      </w:r>
      <w:r w:rsidRPr="00E02074">
        <w:rPr>
          <w:rFonts w:asciiTheme="minorHAnsi" w:hAnsiTheme="minorHAnsi" w:cstheme="minorHAnsi"/>
          <w:i/>
          <w:iCs/>
          <w:sz w:val="22"/>
          <w:szCs w:val="22"/>
        </w:rPr>
        <w:t>Journal</w:t>
      </w:r>
    </w:p>
    <w:p w:rsidR="00653614" w:rsidRPr="00E02074" w:rsidRDefault="00653614" w:rsidP="00E02074">
      <w:pPr>
        <w:pStyle w:val="p1"/>
        <w:spacing w:line="360" w:lineRule="auto"/>
        <w:ind w:firstLine="720"/>
        <w:rPr>
          <w:rFonts w:asciiTheme="minorHAnsi" w:hAnsiTheme="minorHAnsi" w:cstheme="minorHAnsi"/>
          <w:sz w:val="22"/>
          <w:szCs w:val="22"/>
        </w:rPr>
      </w:pPr>
      <w:r w:rsidRPr="00E02074">
        <w:rPr>
          <w:rFonts w:asciiTheme="minorHAnsi" w:hAnsiTheme="minorHAnsi" w:cstheme="minorHAnsi"/>
          <w:i/>
          <w:iCs/>
          <w:sz w:val="22"/>
          <w:szCs w:val="22"/>
        </w:rPr>
        <w:t>of Childhoods and Pedagogies, 1</w:t>
      </w:r>
      <w:r w:rsidRPr="00E02074">
        <w:rPr>
          <w:rFonts w:asciiTheme="minorHAnsi" w:hAnsiTheme="minorHAnsi" w:cstheme="minorHAnsi"/>
          <w:sz w:val="22"/>
          <w:szCs w:val="22"/>
        </w:rPr>
        <w:t>(2), 2017.</w:t>
      </w:r>
    </w:p>
    <w:p w:rsidR="008B5659" w:rsidRDefault="008B5659" w:rsidP="00E02074">
      <w:pPr>
        <w:pStyle w:val="p1"/>
        <w:spacing w:line="360" w:lineRule="auto"/>
        <w:rPr>
          <w:rFonts w:ascii="Calibri" w:hAnsi="Calibri" w:cs="Calibri"/>
          <w:sz w:val="22"/>
          <w:szCs w:val="22"/>
        </w:rPr>
      </w:pPr>
      <w:proofErr w:type="spellStart"/>
      <w:r>
        <w:rPr>
          <w:rFonts w:ascii="Calibri" w:hAnsi="Calibri" w:cs="Calibri"/>
          <w:sz w:val="22"/>
          <w:szCs w:val="22"/>
        </w:rPr>
        <w:t>Lähdesmäki</w:t>
      </w:r>
      <w:proofErr w:type="spellEnd"/>
      <w:r>
        <w:rPr>
          <w:rFonts w:ascii="Calibri" w:hAnsi="Calibri" w:cs="Calibri"/>
          <w:sz w:val="22"/>
          <w:szCs w:val="22"/>
        </w:rPr>
        <w:t xml:space="preserve">, S., </w:t>
      </w:r>
      <w:proofErr w:type="spellStart"/>
      <w:r>
        <w:rPr>
          <w:rFonts w:ascii="Calibri" w:hAnsi="Calibri" w:cs="Calibri"/>
          <w:sz w:val="22"/>
          <w:szCs w:val="22"/>
        </w:rPr>
        <w:t>Maunumäki</w:t>
      </w:r>
      <w:proofErr w:type="spellEnd"/>
      <w:r>
        <w:rPr>
          <w:rFonts w:ascii="Calibri" w:hAnsi="Calibri" w:cs="Calibri"/>
          <w:sz w:val="22"/>
          <w:szCs w:val="22"/>
        </w:rPr>
        <w:t xml:space="preserve">, M., &amp; Nurmi, T. (2024). Play is the </w:t>
      </w:r>
      <w:r>
        <w:rPr>
          <w:rFonts w:ascii="Calibri" w:hAnsi="Calibri" w:cs="Calibri"/>
          <w:sz w:val="22"/>
          <w:szCs w:val="22"/>
        </w:rPr>
        <w:t>b</w:t>
      </w:r>
      <w:r>
        <w:rPr>
          <w:rFonts w:ascii="Calibri" w:hAnsi="Calibri" w:cs="Calibri"/>
          <w:sz w:val="22"/>
          <w:szCs w:val="22"/>
        </w:rPr>
        <w:t xml:space="preserve">ase! ECEC </w:t>
      </w:r>
      <w:r>
        <w:rPr>
          <w:rFonts w:ascii="Calibri" w:hAnsi="Calibri" w:cs="Calibri"/>
          <w:sz w:val="22"/>
          <w:szCs w:val="22"/>
        </w:rPr>
        <w:t>l</w:t>
      </w:r>
      <w:r>
        <w:rPr>
          <w:rFonts w:ascii="Calibri" w:hAnsi="Calibri" w:cs="Calibri"/>
          <w:sz w:val="22"/>
          <w:szCs w:val="22"/>
        </w:rPr>
        <w:t xml:space="preserve">eaders’ </w:t>
      </w:r>
      <w:r>
        <w:rPr>
          <w:rFonts w:ascii="Calibri" w:hAnsi="Calibri" w:cs="Calibri"/>
          <w:sz w:val="22"/>
          <w:szCs w:val="22"/>
        </w:rPr>
        <w:t>v</w:t>
      </w:r>
      <w:r>
        <w:rPr>
          <w:rFonts w:ascii="Calibri" w:hAnsi="Calibri" w:cs="Calibri"/>
          <w:sz w:val="22"/>
          <w:szCs w:val="22"/>
        </w:rPr>
        <w:t xml:space="preserve">iews on the </w:t>
      </w:r>
    </w:p>
    <w:p w:rsidR="008B5659" w:rsidRDefault="008B5659" w:rsidP="008B5659">
      <w:pPr>
        <w:pStyle w:val="p1"/>
        <w:spacing w:line="360" w:lineRule="auto"/>
        <w:ind w:firstLine="720"/>
        <w:rPr>
          <w:rFonts w:asciiTheme="minorHAnsi" w:hAnsiTheme="minorHAnsi" w:cstheme="minorHAnsi"/>
          <w:color w:val="000000" w:themeColor="text1"/>
          <w:sz w:val="22"/>
          <w:szCs w:val="22"/>
          <w:shd w:val="clear" w:color="auto" w:fill="FFFFFF"/>
        </w:rPr>
      </w:pPr>
      <w:r>
        <w:rPr>
          <w:rFonts w:ascii="Calibri" w:hAnsi="Calibri" w:cs="Calibri"/>
          <w:sz w:val="22"/>
          <w:szCs w:val="22"/>
        </w:rPr>
        <w:t>d</w:t>
      </w:r>
      <w:r>
        <w:rPr>
          <w:rFonts w:ascii="Calibri" w:hAnsi="Calibri" w:cs="Calibri"/>
          <w:sz w:val="22"/>
          <w:szCs w:val="22"/>
        </w:rPr>
        <w:t xml:space="preserve">evelopment of </w:t>
      </w:r>
      <w:r>
        <w:rPr>
          <w:rFonts w:ascii="Calibri" w:hAnsi="Calibri" w:cs="Calibri"/>
          <w:sz w:val="22"/>
          <w:szCs w:val="22"/>
        </w:rPr>
        <w:t>d</w:t>
      </w:r>
      <w:r>
        <w:rPr>
          <w:rFonts w:ascii="Calibri" w:hAnsi="Calibri" w:cs="Calibri"/>
          <w:sz w:val="22"/>
          <w:szCs w:val="22"/>
        </w:rPr>
        <w:t xml:space="preserve">igital </w:t>
      </w:r>
      <w:r>
        <w:rPr>
          <w:rFonts w:ascii="Calibri" w:hAnsi="Calibri" w:cs="Calibri"/>
          <w:sz w:val="22"/>
          <w:szCs w:val="22"/>
        </w:rPr>
        <w:t>p</w:t>
      </w:r>
      <w:r>
        <w:rPr>
          <w:rFonts w:ascii="Calibri" w:hAnsi="Calibri" w:cs="Calibri"/>
          <w:sz w:val="22"/>
          <w:szCs w:val="22"/>
        </w:rPr>
        <w:t xml:space="preserve">edagogy. </w:t>
      </w:r>
      <w:r w:rsidRPr="008B5659">
        <w:rPr>
          <w:rFonts w:ascii="Calibri" w:hAnsi="Calibri" w:cs="Calibri"/>
          <w:i/>
          <w:iCs/>
          <w:sz w:val="22"/>
          <w:szCs w:val="22"/>
        </w:rPr>
        <w:t>Early Childhood Education Journal, 52</w:t>
      </w:r>
      <w:r>
        <w:rPr>
          <w:rFonts w:ascii="Calibri" w:hAnsi="Calibri" w:cs="Calibri"/>
          <w:sz w:val="22"/>
          <w:szCs w:val="22"/>
        </w:rPr>
        <w:t>, 1897–1910.</w:t>
      </w:r>
    </w:p>
    <w:p w:rsidR="00820C7F" w:rsidRPr="00E02074" w:rsidRDefault="00820C7F" w:rsidP="00E02074">
      <w:pPr>
        <w:pStyle w:val="p1"/>
        <w:spacing w:line="360" w:lineRule="auto"/>
        <w:rPr>
          <w:rFonts w:asciiTheme="minorHAnsi" w:hAnsiTheme="minorHAnsi" w:cstheme="minorHAnsi"/>
          <w:color w:val="000000" w:themeColor="text1"/>
          <w:sz w:val="22"/>
          <w:szCs w:val="22"/>
          <w:shd w:val="clear" w:color="auto" w:fill="FFFFFF"/>
        </w:rPr>
      </w:pPr>
      <w:r w:rsidRPr="00E02074">
        <w:rPr>
          <w:rFonts w:asciiTheme="minorHAnsi" w:hAnsiTheme="minorHAnsi" w:cstheme="minorHAnsi"/>
          <w:color w:val="000000" w:themeColor="text1"/>
          <w:sz w:val="22"/>
          <w:szCs w:val="22"/>
          <w:shd w:val="clear" w:color="auto" w:fill="FFFFFF"/>
        </w:rPr>
        <w:t xml:space="preserve">McCain, M., &amp; Mustard, F. (1999). </w:t>
      </w:r>
      <w:r w:rsidRPr="00E02074">
        <w:rPr>
          <w:rFonts w:asciiTheme="minorHAnsi" w:hAnsiTheme="minorHAnsi" w:cstheme="minorHAnsi"/>
          <w:i/>
          <w:iCs/>
          <w:color w:val="000000" w:themeColor="text1"/>
          <w:sz w:val="22"/>
          <w:szCs w:val="22"/>
          <w:shd w:val="clear" w:color="auto" w:fill="FFFFFF"/>
        </w:rPr>
        <w:t>Early</w:t>
      </w:r>
      <w:r w:rsidRPr="00E02074">
        <w:rPr>
          <w:rStyle w:val="apple-converted-space"/>
          <w:rFonts w:asciiTheme="minorHAnsi" w:hAnsiTheme="minorHAnsi" w:cstheme="minorHAnsi"/>
          <w:i/>
          <w:iCs/>
          <w:color w:val="000000" w:themeColor="text1"/>
          <w:sz w:val="22"/>
          <w:szCs w:val="22"/>
          <w:shd w:val="clear" w:color="auto" w:fill="FFFFFF"/>
        </w:rPr>
        <w:t> </w:t>
      </w:r>
      <w:r w:rsidRPr="00E02074">
        <w:rPr>
          <w:rStyle w:val="Emphasis"/>
          <w:rFonts w:asciiTheme="minorHAnsi" w:hAnsiTheme="minorHAnsi" w:cstheme="minorHAnsi"/>
          <w:i w:val="0"/>
          <w:iCs w:val="0"/>
          <w:color w:val="000000" w:themeColor="text1"/>
          <w:sz w:val="22"/>
          <w:szCs w:val="22"/>
        </w:rPr>
        <w:t>years study</w:t>
      </w:r>
      <w:r w:rsidRPr="00E02074">
        <w:rPr>
          <w:rFonts w:asciiTheme="minorHAnsi" w:hAnsiTheme="minorHAnsi" w:cstheme="minorHAnsi"/>
          <w:i/>
          <w:iCs/>
          <w:color w:val="000000" w:themeColor="text1"/>
          <w:sz w:val="22"/>
          <w:szCs w:val="22"/>
          <w:shd w:val="clear" w:color="auto" w:fill="FFFFFF"/>
        </w:rPr>
        <w:t>: Reversing the real brain drain.</w:t>
      </w:r>
      <w:r w:rsidRPr="00E02074">
        <w:rPr>
          <w:rFonts w:asciiTheme="minorHAnsi" w:hAnsiTheme="minorHAnsi" w:cstheme="minorHAnsi"/>
          <w:color w:val="000000" w:themeColor="text1"/>
          <w:sz w:val="22"/>
          <w:szCs w:val="22"/>
          <w:shd w:val="clear" w:color="auto" w:fill="FFFFFF"/>
        </w:rPr>
        <w:t xml:space="preserve"> Government of </w:t>
      </w:r>
    </w:p>
    <w:p w:rsidR="00820C7F" w:rsidRPr="00E02074" w:rsidRDefault="00820C7F" w:rsidP="00E02074">
      <w:pPr>
        <w:pStyle w:val="p1"/>
        <w:spacing w:line="360" w:lineRule="auto"/>
        <w:ind w:firstLine="720"/>
        <w:rPr>
          <w:rFonts w:asciiTheme="minorHAnsi" w:hAnsiTheme="minorHAnsi" w:cstheme="minorHAnsi"/>
          <w:color w:val="000000" w:themeColor="text1"/>
          <w:sz w:val="22"/>
          <w:szCs w:val="22"/>
          <w:shd w:val="clear" w:color="auto" w:fill="FFFFFF"/>
        </w:rPr>
      </w:pPr>
      <w:r w:rsidRPr="00E02074">
        <w:rPr>
          <w:rFonts w:asciiTheme="minorHAnsi" w:hAnsiTheme="minorHAnsi" w:cstheme="minorHAnsi"/>
          <w:color w:val="000000" w:themeColor="text1"/>
          <w:sz w:val="22"/>
          <w:szCs w:val="22"/>
          <w:shd w:val="clear" w:color="auto" w:fill="FFFFFF"/>
        </w:rPr>
        <w:t>Ontario.</w:t>
      </w:r>
    </w:p>
    <w:p w:rsidR="00653614" w:rsidRPr="00E02074" w:rsidRDefault="0065361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 xml:space="preserve">Muhammad, R. (2024). </w:t>
      </w:r>
      <w:r w:rsidRPr="00E02074">
        <w:rPr>
          <w:rFonts w:asciiTheme="minorHAnsi" w:hAnsiTheme="minorHAnsi" w:cstheme="minorHAnsi"/>
          <w:i/>
          <w:iCs/>
          <w:sz w:val="22"/>
          <w:szCs w:val="22"/>
        </w:rPr>
        <w:t>Literature review simplified</w:t>
      </w:r>
      <w:r w:rsidRPr="00E02074">
        <w:rPr>
          <w:rFonts w:asciiTheme="minorHAnsi" w:hAnsiTheme="minorHAnsi" w:cstheme="minorHAnsi"/>
          <w:sz w:val="22"/>
          <w:szCs w:val="22"/>
        </w:rPr>
        <w:t xml:space="preserve"> (2nd Ed.) [artist book].</w:t>
      </w:r>
    </w:p>
    <w:p w:rsidR="00E02074" w:rsidRPr="00E02074" w:rsidRDefault="000E7C2E" w:rsidP="00E02074">
      <w:pPr>
        <w:pStyle w:val="p1"/>
        <w:spacing w:line="360" w:lineRule="auto"/>
        <w:rPr>
          <w:rFonts w:asciiTheme="minorHAnsi" w:hAnsiTheme="minorHAnsi" w:cstheme="minorHAnsi"/>
          <w:i/>
          <w:iCs/>
          <w:sz w:val="22"/>
          <w:szCs w:val="22"/>
        </w:rPr>
      </w:pPr>
      <w:r w:rsidRPr="00E02074">
        <w:rPr>
          <w:rFonts w:asciiTheme="minorHAnsi" w:hAnsiTheme="minorHAnsi" w:cstheme="minorHAnsi"/>
          <w:sz w:val="22"/>
          <w:szCs w:val="22"/>
        </w:rPr>
        <w:t>Nesbitt</w:t>
      </w:r>
      <w:r w:rsidR="00FF45AD" w:rsidRPr="00E02074">
        <w:rPr>
          <w:rFonts w:asciiTheme="minorHAnsi" w:hAnsiTheme="minorHAnsi" w:cstheme="minorHAnsi"/>
          <w:sz w:val="22"/>
          <w:szCs w:val="22"/>
        </w:rPr>
        <w:t xml:space="preserve">, H. </w:t>
      </w:r>
      <w:r w:rsidR="00E02074" w:rsidRPr="00E02074">
        <w:rPr>
          <w:rFonts w:asciiTheme="minorHAnsi" w:hAnsiTheme="minorHAnsi" w:cstheme="minorHAnsi"/>
          <w:sz w:val="22"/>
          <w:szCs w:val="22"/>
        </w:rPr>
        <w:t xml:space="preserve">(2019). </w:t>
      </w:r>
      <w:r w:rsidR="00E02074" w:rsidRPr="00E02074">
        <w:rPr>
          <w:rFonts w:asciiTheme="minorHAnsi" w:hAnsiTheme="minorHAnsi" w:cstheme="minorHAnsi"/>
          <w:i/>
          <w:iCs/>
          <w:sz w:val="22"/>
          <w:szCs w:val="22"/>
        </w:rPr>
        <w:t xml:space="preserve">Understanding and supporting student thriving in the Ontario kindergarten </w:t>
      </w:r>
    </w:p>
    <w:p w:rsidR="000E7C2E" w:rsidRPr="00E02074" w:rsidRDefault="00E02074" w:rsidP="00E02074">
      <w:pPr>
        <w:pStyle w:val="p1"/>
        <w:spacing w:line="360" w:lineRule="auto"/>
        <w:ind w:firstLine="720"/>
        <w:rPr>
          <w:rFonts w:asciiTheme="minorHAnsi" w:hAnsiTheme="minorHAnsi" w:cstheme="minorHAnsi"/>
          <w:sz w:val="22"/>
          <w:szCs w:val="22"/>
        </w:rPr>
      </w:pPr>
      <w:r w:rsidRPr="00E02074">
        <w:rPr>
          <w:rFonts w:asciiTheme="minorHAnsi" w:hAnsiTheme="minorHAnsi" w:cstheme="minorHAnsi"/>
          <w:i/>
          <w:iCs/>
          <w:sz w:val="22"/>
          <w:szCs w:val="22"/>
        </w:rPr>
        <w:t>classroom.</w:t>
      </w:r>
      <w:r w:rsidRPr="00E02074">
        <w:rPr>
          <w:rFonts w:asciiTheme="minorHAnsi" w:hAnsiTheme="minorHAnsi" w:cstheme="minorHAnsi"/>
          <w:sz w:val="22"/>
          <w:szCs w:val="22"/>
        </w:rPr>
        <w:t xml:space="preserve"> Doctoral Dissertation. Queen’s University, Kingston, Ontario, Canada.</w:t>
      </w:r>
    </w:p>
    <w:p w:rsidR="00653614" w:rsidRPr="00E02074" w:rsidRDefault="00653614" w:rsidP="00E02074">
      <w:pPr>
        <w:pStyle w:val="p1"/>
        <w:spacing w:line="360" w:lineRule="auto"/>
        <w:rPr>
          <w:rFonts w:asciiTheme="minorHAnsi" w:hAnsiTheme="minorHAnsi" w:cstheme="minorHAnsi"/>
          <w:sz w:val="22"/>
          <w:szCs w:val="22"/>
        </w:rPr>
      </w:pPr>
      <w:r w:rsidRPr="00E02074">
        <w:rPr>
          <w:rFonts w:asciiTheme="minorHAnsi" w:hAnsiTheme="minorHAnsi" w:cstheme="minorHAnsi"/>
          <w:sz w:val="22"/>
          <w:szCs w:val="22"/>
        </w:rPr>
        <w:t xml:space="preserve">Pascal, C. E. (2009). </w:t>
      </w:r>
      <w:r w:rsidRPr="00E02074">
        <w:rPr>
          <w:rFonts w:asciiTheme="minorHAnsi" w:hAnsiTheme="minorHAnsi" w:cstheme="minorHAnsi"/>
          <w:i/>
          <w:iCs/>
          <w:sz w:val="22"/>
          <w:szCs w:val="22"/>
        </w:rPr>
        <w:t>With our best future in mind: Implementing early learning in Ontario.</w:t>
      </w:r>
    </w:p>
    <w:p w:rsidR="00653614" w:rsidRPr="00E02074" w:rsidRDefault="00653614" w:rsidP="00E02074">
      <w:pPr>
        <w:pStyle w:val="p1"/>
        <w:spacing w:line="360" w:lineRule="auto"/>
        <w:ind w:firstLine="720"/>
        <w:rPr>
          <w:rFonts w:asciiTheme="minorHAnsi" w:hAnsiTheme="minorHAnsi" w:cstheme="minorHAnsi"/>
          <w:sz w:val="22"/>
          <w:szCs w:val="22"/>
        </w:rPr>
      </w:pPr>
      <w:r w:rsidRPr="00E02074">
        <w:rPr>
          <w:rFonts w:asciiTheme="minorHAnsi" w:hAnsiTheme="minorHAnsi" w:cstheme="minorHAnsi"/>
          <w:sz w:val="22"/>
          <w:szCs w:val="22"/>
        </w:rPr>
        <w:t>Report to the Special Advisor on Early Learning. Queen’s Printer for Ontario.</w:t>
      </w:r>
    </w:p>
    <w:p w:rsidR="00653614" w:rsidRPr="00E02074" w:rsidRDefault="00653614" w:rsidP="00E02074">
      <w:pPr>
        <w:pStyle w:val="p1"/>
        <w:spacing w:line="360" w:lineRule="auto"/>
        <w:ind w:firstLine="720"/>
        <w:rPr>
          <w:rFonts w:asciiTheme="minorHAnsi" w:hAnsiTheme="minorHAnsi" w:cstheme="minorHAnsi"/>
          <w:sz w:val="22"/>
          <w:szCs w:val="22"/>
        </w:rPr>
      </w:pPr>
      <w:r w:rsidRPr="00E02074">
        <w:rPr>
          <w:rFonts w:asciiTheme="minorHAnsi" w:hAnsiTheme="minorHAnsi" w:cstheme="minorHAnsi"/>
          <w:sz w:val="22"/>
          <w:szCs w:val="22"/>
        </w:rPr>
        <w:t>https://www.msdsb.net/images/CS/reports/2009_Statistics/Pascale_Report_with_Our_</w:t>
      </w:r>
    </w:p>
    <w:p w:rsidR="00677752" w:rsidRDefault="00653614" w:rsidP="00677752">
      <w:pPr>
        <w:pStyle w:val="p1"/>
        <w:spacing w:line="360" w:lineRule="auto"/>
        <w:ind w:firstLine="720"/>
        <w:rPr>
          <w:rFonts w:asciiTheme="minorHAnsi" w:hAnsiTheme="minorHAnsi" w:cstheme="minorHAnsi"/>
          <w:sz w:val="22"/>
          <w:szCs w:val="22"/>
        </w:rPr>
      </w:pPr>
      <w:r w:rsidRPr="00E02074">
        <w:rPr>
          <w:rFonts w:asciiTheme="minorHAnsi" w:hAnsiTheme="minorHAnsi" w:cstheme="minorHAnsi"/>
          <w:sz w:val="22"/>
          <w:szCs w:val="22"/>
        </w:rPr>
        <w:t>Best_Future_in_Mind.pdf</w:t>
      </w:r>
    </w:p>
    <w:p w:rsidR="00653614" w:rsidRPr="00E02074" w:rsidRDefault="00653614" w:rsidP="00E02074">
      <w:pPr>
        <w:pStyle w:val="p1"/>
        <w:spacing w:line="360" w:lineRule="auto"/>
        <w:rPr>
          <w:rFonts w:asciiTheme="minorHAnsi" w:hAnsiTheme="minorHAnsi" w:cstheme="minorHAnsi"/>
          <w:i/>
          <w:iCs/>
          <w:sz w:val="22"/>
          <w:szCs w:val="22"/>
        </w:rPr>
      </w:pPr>
      <w:r w:rsidRPr="00E02074">
        <w:rPr>
          <w:rFonts w:asciiTheme="minorHAnsi" w:hAnsiTheme="minorHAnsi" w:cstheme="minorHAnsi"/>
          <w:sz w:val="22"/>
          <w:szCs w:val="22"/>
        </w:rPr>
        <w:t xml:space="preserve">Super, D. (1980). A life-span, life-space approach to career development. </w:t>
      </w:r>
      <w:r w:rsidRPr="00E02074">
        <w:rPr>
          <w:rFonts w:asciiTheme="minorHAnsi" w:hAnsiTheme="minorHAnsi" w:cstheme="minorHAnsi"/>
          <w:i/>
          <w:iCs/>
          <w:sz w:val="22"/>
          <w:szCs w:val="22"/>
        </w:rPr>
        <w:t>Journal of</w:t>
      </w:r>
    </w:p>
    <w:p w:rsidR="00677752" w:rsidRPr="00E02074" w:rsidRDefault="00653614" w:rsidP="00677752">
      <w:pPr>
        <w:pStyle w:val="p1"/>
        <w:spacing w:line="360" w:lineRule="auto"/>
        <w:ind w:firstLine="720"/>
        <w:rPr>
          <w:rFonts w:asciiTheme="minorHAnsi" w:hAnsiTheme="minorHAnsi" w:cstheme="minorHAnsi"/>
          <w:sz w:val="22"/>
          <w:szCs w:val="22"/>
        </w:rPr>
      </w:pPr>
      <w:r w:rsidRPr="00E02074">
        <w:rPr>
          <w:rFonts w:asciiTheme="minorHAnsi" w:hAnsiTheme="minorHAnsi" w:cstheme="minorHAnsi"/>
          <w:i/>
          <w:iCs/>
          <w:sz w:val="22"/>
          <w:szCs w:val="22"/>
        </w:rPr>
        <w:t>Vocational Behaviour, 16</w:t>
      </w:r>
      <w:r w:rsidRPr="00E02074">
        <w:rPr>
          <w:rFonts w:asciiTheme="minorHAnsi" w:hAnsiTheme="minorHAnsi" w:cstheme="minorHAnsi"/>
          <w:sz w:val="22"/>
          <w:szCs w:val="22"/>
        </w:rPr>
        <w:t xml:space="preserve">(3), 282–298. </w:t>
      </w:r>
      <w:hyperlink r:id="rId11" w:history="1">
        <w:r w:rsidR="00677752" w:rsidRPr="00225950">
          <w:rPr>
            <w:rStyle w:val="Hyperlink"/>
            <w:rFonts w:asciiTheme="minorHAnsi" w:hAnsiTheme="minorHAnsi" w:cstheme="minorHAnsi"/>
            <w:sz w:val="22"/>
            <w:szCs w:val="22"/>
          </w:rPr>
          <w:t>https://doi.org/10.1016/0001-8791(80)9005</w:t>
        </w:r>
      </w:hyperlink>
    </w:p>
    <w:p w:rsidR="00F0524C" w:rsidRPr="00E02074" w:rsidRDefault="000E7C2E" w:rsidP="00E02074">
      <w:pPr>
        <w:spacing w:line="360" w:lineRule="auto"/>
        <w:rPr>
          <w:rFonts w:asciiTheme="minorHAnsi" w:hAnsiTheme="minorHAnsi" w:cstheme="minorHAnsi"/>
          <w:sz w:val="22"/>
          <w:szCs w:val="22"/>
        </w:rPr>
      </w:pPr>
      <w:r w:rsidRPr="00E02074">
        <w:rPr>
          <w:rFonts w:asciiTheme="minorHAnsi" w:hAnsiTheme="minorHAnsi" w:cstheme="minorHAnsi"/>
          <w:sz w:val="22"/>
          <w:szCs w:val="22"/>
        </w:rPr>
        <w:t>The LEGO® Foundation</w:t>
      </w:r>
      <w:r w:rsidR="00FF45AD" w:rsidRPr="00E02074">
        <w:rPr>
          <w:rFonts w:asciiTheme="minorHAnsi" w:hAnsiTheme="minorHAnsi" w:cstheme="minorHAnsi"/>
          <w:sz w:val="22"/>
          <w:szCs w:val="22"/>
        </w:rPr>
        <w:t xml:space="preserve">. (2014). </w:t>
      </w:r>
      <w:r w:rsidR="00FF45AD" w:rsidRPr="00E02074">
        <w:rPr>
          <w:rFonts w:asciiTheme="minorHAnsi" w:hAnsiTheme="minorHAnsi" w:cstheme="minorHAnsi"/>
          <w:i/>
          <w:iCs/>
          <w:sz w:val="22"/>
          <w:szCs w:val="22"/>
        </w:rPr>
        <w:t>Responsibility report 2014</w:t>
      </w:r>
      <w:r w:rsidR="00FF45AD" w:rsidRPr="00E02074">
        <w:rPr>
          <w:rFonts w:asciiTheme="minorHAnsi" w:hAnsiTheme="minorHAnsi" w:cstheme="minorHAnsi"/>
          <w:sz w:val="22"/>
          <w:szCs w:val="22"/>
        </w:rPr>
        <w:t>. LEGO Foundation.</w:t>
      </w:r>
    </w:p>
    <w:p w:rsidR="00FF45AD" w:rsidRPr="00E02074" w:rsidRDefault="00FF45AD" w:rsidP="00E02074">
      <w:pPr>
        <w:spacing w:line="360" w:lineRule="auto"/>
        <w:rPr>
          <w:rFonts w:asciiTheme="minorHAnsi" w:hAnsiTheme="minorHAnsi" w:cstheme="minorHAnsi"/>
          <w:i/>
          <w:iCs/>
          <w:sz w:val="22"/>
          <w:szCs w:val="22"/>
        </w:rPr>
      </w:pPr>
      <w:proofErr w:type="spellStart"/>
      <w:r w:rsidRPr="00E02074">
        <w:rPr>
          <w:rFonts w:asciiTheme="minorHAnsi" w:hAnsiTheme="minorHAnsi" w:cstheme="minorHAnsi"/>
          <w:sz w:val="22"/>
          <w:szCs w:val="22"/>
        </w:rPr>
        <w:t>Zosh</w:t>
      </w:r>
      <w:proofErr w:type="spellEnd"/>
      <w:r w:rsidRPr="00E02074">
        <w:rPr>
          <w:rFonts w:asciiTheme="minorHAnsi" w:hAnsiTheme="minorHAnsi" w:cstheme="minorHAnsi"/>
          <w:sz w:val="22"/>
          <w:szCs w:val="22"/>
        </w:rPr>
        <w:t xml:space="preserve">, J. M., Gaudreau, C., </w:t>
      </w:r>
      <w:proofErr w:type="spellStart"/>
      <w:r w:rsidRPr="00E02074">
        <w:rPr>
          <w:rFonts w:asciiTheme="minorHAnsi" w:hAnsiTheme="minorHAnsi" w:cstheme="minorHAnsi"/>
          <w:sz w:val="22"/>
          <w:szCs w:val="22"/>
        </w:rPr>
        <w:t>Michnick</w:t>
      </w:r>
      <w:proofErr w:type="spellEnd"/>
      <w:r w:rsidRPr="00E02074">
        <w:rPr>
          <w:rFonts w:asciiTheme="minorHAnsi" w:hAnsiTheme="minorHAnsi" w:cstheme="minorHAnsi"/>
          <w:sz w:val="22"/>
          <w:szCs w:val="22"/>
        </w:rPr>
        <w:t xml:space="preserve"> </w:t>
      </w:r>
      <w:proofErr w:type="spellStart"/>
      <w:r w:rsidRPr="00E02074">
        <w:rPr>
          <w:rFonts w:asciiTheme="minorHAnsi" w:hAnsiTheme="minorHAnsi" w:cstheme="minorHAnsi"/>
          <w:sz w:val="22"/>
          <w:szCs w:val="22"/>
        </w:rPr>
        <w:t>Golinkoff</w:t>
      </w:r>
      <w:proofErr w:type="spellEnd"/>
      <w:r w:rsidRPr="00E02074">
        <w:rPr>
          <w:rFonts w:asciiTheme="minorHAnsi" w:hAnsiTheme="minorHAnsi" w:cstheme="minorHAnsi"/>
          <w:sz w:val="22"/>
          <w:szCs w:val="22"/>
        </w:rPr>
        <w:t>, R., &amp; Hirsh-</w:t>
      </w:r>
      <w:proofErr w:type="spellStart"/>
      <w:r w:rsidRPr="00E02074">
        <w:rPr>
          <w:rFonts w:asciiTheme="minorHAnsi" w:hAnsiTheme="minorHAnsi" w:cstheme="minorHAnsi"/>
          <w:sz w:val="22"/>
          <w:szCs w:val="22"/>
        </w:rPr>
        <w:t>Pasek</w:t>
      </w:r>
      <w:proofErr w:type="spellEnd"/>
      <w:r w:rsidRPr="00E02074">
        <w:rPr>
          <w:rFonts w:asciiTheme="minorHAnsi" w:hAnsiTheme="minorHAnsi" w:cstheme="minorHAnsi"/>
          <w:sz w:val="22"/>
          <w:szCs w:val="22"/>
        </w:rPr>
        <w:t xml:space="preserve">, K. (2022). </w:t>
      </w:r>
      <w:r w:rsidRPr="00E02074">
        <w:rPr>
          <w:rFonts w:asciiTheme="minorHAnsi" w:hAnsiTheme="minorHAnsi" w:cstheme="minorHAnsi"/>
          <w:i/>
          <w:iCs/>
          <w:sz w:val="22"/>
          <w:szCs w:val="22"/>
        </w:rPr>
        <w:t xml:space="preserve">The power of playful </w:t>
      </w:r>
    </w:p>
    <w:p w:rsidR="00FF45AD" w:rsidRDefault="00FF45AD" w:rsidP="00E02074">
      <w:pPr>
        <w:spacing w:line="360" w:lineRule="auto"/>
        <w:ind w:left="720"/>
        <w:rPr>
          <w:rFonts w:asciiTheme="minorHAnsi" w:hAnsiTheme="minorHAnsi" w:cstheme="minorHAnsi"/>
          <w:sz w:val="22"/>
          <w:szCs w:val="22"/>
        </w:rPr>
      </w:pPr>
      <w:r w:rsidRPr="00E02074">
        <w:rPr>
          <w:rFonts w:asciiTheme="minorHAnsi" w:hAnsiTheme="minorHAnsi" w:cstheme="minorHAnsi"/>
          <w:i/>
          <w:iCs/>
          <w:sz w:val="22"/>
          <w:szCs w:val="22"/>
        </w:rPr>
        <w:t>learning in the early childhood setting.</w:t>
      </w:r>
      <w:r w:rsidRPr="00E02074">
        <w:rPr>
          <w:rFonts w:asciiTheme="minorHAnsi" w:hAnsiTheme="minorHAnsi" w:cstheme="minorHAnsi"/>
          <w:sz w:val="22"/>
          <w:szCs w:val="22"/>
        </w:rPr>
        <w:t xml:space="preserve"> </w:t>
      </w:r>
      <w:proofErr w:type="spellStart"/>
      <w:r w:rsidRPr="00E02074">
        <w:rPr>
          <w:rFonts w:asciiTheme="minorHAnsi" w:hAnsiTheme="minorHAnsi" w:cstheme="minorHAnsi"/>
          <w:sz w:val="22"/>
          <w:szCs w:val="22"/>
        </w:rPr>
        <w:t>naeyc</w:t>
      </w:r>
      <w:proofErr w:type="spellEnd"/>
      <w:r w:rsidRPr="00E02074">
        <w:rPr>
          <w:rFonts w:asciiTheme="minorHAnsi" w:hAnsiTheme="minorHAnsi" w:cstheme="minorHAnsi"/>
          <w:sz w:val="22"/>
          <w:szCs w:val="22"/>
        </w:rPr>
        <w:t xml:space="preserve">. </w:t>
      </w:r>
      <w:hyperlink r:id="rId12" w:history="1">
        <w:r w:rsidR="00677752" w:rsidRPr="00225950">
          <w:rPr>
            <w:rStyle w:val="Hyperlink"/>
            <w:rFonts w:asciiTheme="minorHAnsi" w:hAnsiTheme="minorHAnsi" w:cstheme="minorHAnsi"/>
            <w:sz w:val="22"/>
            <w:szCs w:val="22"/>
          </w:rPr>
          <w:t>https://www.naeyc.org/resources/pubs/yc/summer2022/power-playful-learning</w:t>
        </w:r>
      </w:hyperlink>
    </w:p>
    <w:p w:rsidR="00677752" w:rsidRPr="00E02074" w:rsidRDefault="00677752" w:rsidP="00E02074">
      <w:pPr>
        <w:spacing w:line="360" w:lineRule="auto"/>
        <w:ind w:left="720"/>
        <w:rPr>
          <w:rFonts w:asciiTheme="minorHAnsi" w:hAnsiTheme="minorHAnsi" w:cstheme="minorHAnsi"/>
          <w:sz w:val="22"/>
          <w:szCs w:val="22"/>
        </w:rPr>
      </w:pPr>
    </w:p>
    <w:sectPr w:rsidR="00677752" w:rsidRPr="00E020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7D4805"/>
    <w:multiLevelType w:val="hybridMultilevel"/>
    <w:tmpl w:val="40321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264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24C"/>
    <w:rsid w:val="000E7C2E"/>
    <w:rsid w:val="00167A0F"/>
    <w:rsid w:val="00391883"/>
    <w:rsid w:val="00653614"/>
    <w:rsid w:val="00677752"/>
    <w:rsid w:val="007629B7"/>
    <w:rsid w:val="008006B4"/>
    <w:rsid w:val="00820C7F"/>
    <w:rsid w:val="008A758A"/>
    <w:rsid w:val="008B5659"/>
    <w:rsid w:val="008F0339"/>
    <w:rsid w:val="00B739DC"/>
    <w:rsid w:val="00BD1E19"/>
    <w:rsid w:val="00E02074"/>
    <w:rsid w:val="00F0524C"/>
    <w:rsid w:val="00FF45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88A922F"/>
  <w15:chartTrackingRefBased/>
  <w15:docId w15:val="{0CF11556-62DE-604A-8DF8-0624E6961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074"/>
    <w:rPr>
      <w:rFonts w:ascii="Times New Roman" w:eastAsia="Times New Roman" w:hAnsi="Times New Roman" w:cs="Times New Roman"/>
      <w:kern w:val="0"/>
      <w14:ligatures w14:val="none"/>
    </w:rPr>
  </w:style>
  <w:style w:type="paragraph" w:styleId="Heading2">
    <w:name w:val="heading 2"/>
    <w:basedOn w:val="Normal"/>
    <w:link w:val="Heading2Char"/>
    <w:uiPriority w:val="9"/>
    <w:qFormat/>
    <w:rsid w:val="00F0524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F0524C"/>
    <w:rPr>
      <w:rFonts w:ascii="Helvetica" w:hAnsi="Helvetica"/>
      <w:color w:val="000000"/>
      <w:sz w:val="18"/>
      <w:szCs w:val="18"/>
    </w:rPr>
  </w:style>
  <w:style w:type="paragraph" w:customStyle="1" w:styleId="p2">
    <w:name w:val="p2"/>
    <w:basedOn w:val="Normal"/>
    <w:rsid w:val="00F0524C"/>
    <w:rPr>
      <w:rFonts w:ascii="Helvetica" w:hAnsi="Helvetica"/>
      <w:color w:val="386573"/>
      <w:sz w:val="18"/>
      <w:szCs w:val="18"/>
    </w:rPr>
  </w:style>
  <w:style w:type="character" w:customStyle="1" w:styleId="s1">
    <w:name w:val="s1"/>
    <w:basedOn w:val="DefaultParagraphFont"/>
    <w:rsid w:val="00F0524C"/>
    <w:rPr>
      <w:rFonts w:ascii="Helvetica" w:hAnsi="Helvetica" w:hint="default"/>
      <w:sz w:val="15"/>
      <w:szCs w:val="15"/>
    </w:rPr>
  </w:style>
  <w:style w:type="character" w:customStyle="1" w:styleId="s2">
    <w:name w:val="s2"/>
    <w:basedOn w:val="DefaultParagraphFont"/>
    <w:rsid w:val="00F0524C"/>
    <w:rPr>
      <w:rFonts w:ascii="Arial" w:hAnsi="Arial" w:cs="Arial" w:hint="default"/>
      <w:sz w:val="15"/>
      <w:szCs w:val="15"/>
    </w:rPr>
  </w:style>
  <w:style w:type="character" w:customStyle="1" w:styleId="s3">
    <w:name w:val="s3"/>
    <w:basedOn w:val="DefaultParagraphFont"/>
    <w:rsid w:val="00F0524C"/>
    <w:rPr>
      <w:color w:val="386573"/>
    </w:rPr>
  </w:style>
  <w:style w:type="character" w:customStyle="1" w:styleId="Heading2Char">
    <w:name w:val="Heading 2 Char"/>
    <w:basedOn w:val="DefaultParagraphFont"/>
    <w:link w:val="Heading2"/>
    <w:uiPriority w:val="9"/>
    <w:rsid w:val="00F0524C"/>
    <w:rPr>
      <w:rFonts w:ascii="Times New Roman" w:eastAsia="Times New Roman" w:hAnsi="Times New Roman" w:cs="Times New Roman"/>
      <w:b/>
      <w:bCs/>
      <w:kern w:val="0"/>
      <w:sz w:val="36"/>
      <w:szCs w:val="36"/>
      <w14:ligatures w14:val="none"/>
    </w:rPr>
  </w:style>
  <w:style w:type="character" w:styleId="Emphasis">
    <w:name w:val="Emphasis"/>
    <w:basedOn w:val="DefaultParagraphFont"/>
    <w:uiPriority w:val="20"/>
    <w:qFormat/>
    <w:rsid w:val="00F0524C"/>
    <w:rPr>
      <w:i/>
      <w:iCs/>
    </w:rPr>
  </w:style>
  <w:style w:type="character" w:styleId="Strong">
    <w:name w:val="Strong"/>
    <w:basedOn w:val="DefaultParagraphFont"/>
    <w:uiPriority w:val="22"/>
    <w:qFormat/>
    <w:rsid w:val="00F0524C"/>
    <w:rPr>
      <w:b/>
      <w:bCs/>
    </w:rPr>
  </w:style>
  <w:style w:type="character" w:customStyle="1" w:styleId="apple-converted-space">
    <w:name w:val="apple-converted-space"/>
    <w:basedOn w:val="DefaultParagraphFont"/>
    <w:rsid w:val="00F0524C"/>
  </w:style>
  <w:style w:type="character" w:styleId="Hyperlink">
    <w:name w:val="Hyperlink"/>
    <w:basedOn w:val="DefaultParagraphFont"/>
    <w:uiPriority w:val="99"/>
    <w:unhideWhenUsed/>
    <w:rsid w:val="007629B7"/>
    <w:rPr>
      <w:color w:val="0563C1" w:themeColor="hyperlink"/>
      <w:u w:val="single"/>
    </w:rPr>
  </w:style>
  <w:style w:type="character" w:styleId="UnresolvedMention">
    <w:name w:val="Unresolved Mention"/>
    <w:basedOn w:val="DefaultParagraphFont"/>
    <w:uiPriority w:val="99"/>
    <w:semiHidden/>
    <w:unhideWhenUsed/>
    <w:rsid w:val="007629B7"/>
    <w:rPr>
      <w:color w:val="605E5C"/>
      <w:shd w:val="clear" w:color="auto" w:fill="E1DFDD"/>
    </w:rPr>
  </w:style>
  <w:style w:type="paragraph" w:styleId="NormalWeb">
    <w:name w:val="Normal (Web)"/>
    <w:basedOn w:val="Normal"/>
    <w:uiPriority w:val="99"/>
    <w:semiHidden/>
    <w:unhideWhenUsed/>
    <w:rsid w:val="00E0207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08316">
      <w:bodyDiv w:val="1"/>
      <w:marLeft w:val="0"/>
      <w:marRight w:val="0"/>
      <w:marTop w:val="0"/>
      <w:marBottom w:val="0"/>
      <w:divBdr>
        <w:top w:val="none" w:sz="0" w:space="0" w:color="auto"/>
        <w:left w:val="none" w:sz="0" w:space="0" w:color="auto"/>
        <w:bottom w:val="none" w:sz="0" w:space="0" w:color="auto"/>
        <w:right w:val="none" w:sz="0" w:space="0" w:color="auto"/>
      </w:divBdr>
    </w:div>
    <w:div w:id="1282297300">
      <w:bodyDiv w:val="1"/>
      <w:marLeft w:val="0"/>
      <w:marRight w:val="0"/>
      <w:marTop w:val="0"/>
      <w:marBottom w:val="0"/>
      <w:divBdr>
        <w:top w:val="none" w:sz="0" w:space="0" w:color="auto"/>
        <w:left w:val="none" w:sz="0" w:space="0" w:color="auto"/>
        <w:bottom w:val="none" w:sz="0" w:space="0" w:color="auto"/>
        <w:right w:val="none" w:sz="0" w:space="0" w:color="auto"/>
      </w:divBdr>
    </w:div>
    <w:div w:id="1302006497">
      <w:bodyDiv w:val="1"/>
      <w:marLeft w:val="0"/>
      <w:marRight w:val="0"/>
      <w:marTop w:val="0"/>
      <w:marBottom w:val="0"/>
      <w:divBdr>
        <w:top w:val="none" w:sz="0" w:space="0" w:color="auto"/>
        <w:left w:val="none" w:sz="0" w:space="0" w:color="auto"/>
        <w:bottom w:val="none" w:sz="0" w:space="0" w:color="auto"/>
        <w:right w:val="none" w:sz="0" w:space="0" w:color="auto"/>
      </w:divBdr>
    </w:div>
    <w:div w:id="1567447301">
      <w:bodyDiv w:val="1"/>
      <w:marLeft w:val="0"/>
      <w:marRight w:val="0"/>
      <w:marTop w:val="0"/>
      <w:marBottom w:val="0"/>
      <w:divBdr>
        <w:top w:val="none" w:sz="0" w:space="0" w:color="auto"/>
        <w:left w:val="none" w:sz="0" w:space="0" w:color="auto"/>
        <w:bottom w:val="none" w:sz="0" w:space="0" w:color="auto"/>
        <w:right w:val="none" w:sz="0" w:space="0" w:color="auto"/>
      </w:divBdr>
    </w:div>
    <w:div w:id="184937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ec.ca/Publications/Lists/Publications/Attachments/372/CMEC-Reference-Framework-for-Successful-Student-Transitions-EN.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eric.ca/wp-content/uploads/2018/06/Principles-of-Career-andCareerDevelopment-Poster-8.5-x-11-English-1.pdf" TargetMode="External"/><Relationship Id="rId12" Type="http://schemas.openxmlformats.org/officeDocument/2006/relationships/hyperlink" Target="https://www.naeyc.org/resources/pubs/yc/summer2022/power-playful-learn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ather.nesbitt@queensu.ca" TargetMode="External"/><Relationship Id="rId11" Type="http://schemas.openxmlformats.org/officeDocument/2006/relationships/hyperlink" Target="https://doi.org/10.1016/0001-8791(80)9005" TargetMode="External"/><Relationship Id="rId5" Type="http://schemas.openxmlformats.org/officeDocument/2006/relationships/hyperlink" Target="mailto:lgodden@yorkvilleu.ca" TargetMode="External"/><Relationship Id="rId10" Type="http://schemas.openxmlformats.org/officeDocument/2006/relationships/hyperlink" Target="https://doi.org/10.1016/j.jvb.2004.05.006" TargetMode="External"/><Relationship Id="rId4" Type="http://schemas.openxmlformats.org/officeDocument/2006/relationships/webSettings" Target="webSettings.xml"/><Relationship Id="rId9" Type="http://schemas.openxmlformats.org/officeDocument/2006/relationships/hyperlink" Target="https://doi.org/10.1080/10888691.2018.153779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3043</Words>
  <Characters>17347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Godden</dc:creator>
  <cp:keywords/>
  <dc:description/>
  <cp:lastModifiedBy>Lorraine Godden</cp:lastModifiedBy>
  <cp:revision>2</cp:revision>
  <dcterms:created xsi:type="dcterms:W3CDTF">2026-03-29T17:53:00Z</dcterms:created>
  <dcterms:modified xsi:type="dcterms:W3CDTF">2026-03-29T17:53:00Z</dcterms:modified>
</cp:coreProperties>
</file>