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6652E" w14:textId="32C516F3" w:rsidR="00514D58" w:rsidRDefault="00514D58" w:rsidP="008602FF">
      <w:pPr>
        <w:spacing w:line="360" w:lineRule="auto"/>
        <w:jc w:val="both"/>
        <w:rPr>
          <w:rFonts w:ascii="Calibri" w:hAnsi="Calibri" w:cs="Calibri"/>
          <w:b/>
          <w:bCs/>
        </w:rPr>
      </w:pPr>
      <w:r>
        <w:rPr>
          <w:rFonts w:ascii="Calibri" w:hAnsi="Calibri" w:cs="Calibri"/>
          <w:b/>
          <w:bCs/>
        </w:rPr>
        <w:t>AUTHOR</w:t>
      </w:r>
      <w:r w:rsidR="00A8496F">
        <w:rPr>
          <w:rFonts w:ascii="Calibri" w:hAnsi="Calibri" w:cs="Calibri"/>
          <w:b/>
          <w:bCs/>
        </w:rPr>
        <w:t>/PRESENTER</w:t>
      </w:r>
    </w:p>
    <w:p w14:paraId="2A133101" w14:textId="6F9C0609" w:rsidR="00514D58" w:rsidRDefault="00514D58" w:rsidP="008602FF">
      <w:pPr>
        <w:spacing w:line="360" w:lineRule="auto"/>
        <w:jc w:val="both"/>
        <w:rPr>
          <w:rFonts w:ascii="Calibri" w:hAnsi="Calibri" w:cs="Calibri"/>
        </w:rPr>
      </w:pPr>
      <w:r w:rsidRPr="00514D58">
        <w:rPr>
          <w:rFonts w:ascii="Calibri" w:hAnsi="Calibri" w:cs="Calibri"/>
        </w:rPr>
        <w:t>Mazzocco</w:t>
      </w:r>
      <w:r w:rsidR="002F3DA7">
        <w:rPr>
          <w:rFonts w:ascii="Calibri" w:hAnsi="Calibri" w:cs="Calibri"/>
        </w:rPr>
        <w:t>,</w:t>
      </w:r>
      <w:r w:rsidR="002F3DA7" w:rsidRPr="002F3DA7">
        <w:rPr>
          <w:rFonts w:ascii="Calibri" w:hAnsi="Calibri" w:cs="Calibri"/>
        </w:rPr>
        <w:t xml:space="preserve"> </w:t>
      </w:r>
      <w:r w:rsidR="002F3DA7" w:rsidRPr="00514D58">
        <w:rPr>
          <w:rFonts w:ascii="Calibri" w:hAnsi="Calibri" w:cs="Calibri"/>
        </w:rPr>
        <w:t>Patrick</w:t>
      </w:r>
    </w:p>
    <w:p w14:paraId="5BD62626" w14:textId="633E5356" w:rsidR="002F3DA7" w:rsidRDefault="002F3DA7" w:rsidP="008602FF">
      <w:pPr>
        <w:spacing w:line="360" w:lineRule="auto"/>
        <w:jc w:val="both"/>
        <w:rPr>
          <w:rFonts w:ascii="Calibri" w:hAnsi="Calibri" w:cs="Calibri"/>
        </w:rPr>
      </w:pPr>
      <w:r>
        <w:rPr>
          <w:rFonts w:ascii="Calibri" w:hAnsi="Calibri" w:cs="Calibri"/>
        </w:rPr>
        <w:t>Career Education and Employability Specialist</w:t>
      </w:r>
    </w:p>
    <w:p w14:paraId="33297AF2" w14:textId="144F8BF6" w:rsidR="00A8496F" w:rsidRDefault="00A8496F" w:rsidP="008602FF">
      <w:pPr>
        <w:spacing w:line="360" w:lineRule="auto"/>
        <w:jc w:val="both"/>
        <w:rPr>
          <w:rFonts w:ascii="Calibri" w:hAnsi="Calibri" w:cs="Calibri"/>
        </w:rPr>
      </w:pPr>
      <w:r>
        <w:rPr>
          <w:rFonts w:ascii="Calibri" w:hAnsi="Calibri" w:cs="Calibri"/>
        </w:rPr>
        <w:t>patrick.mazzocco@otago.ac.nz</w:t>
      </w:r>
    </w:p>
    <w:p w14:paraId="62243D08" w14:textId="57D1D3EA" w:rsidR="00A8496F" w:rsidRPr="00514D58" w:rsidRDefault="00A8496F" w:rsidP="008602FF">
      <w:pPr>
        <w:spacing w:line="360" w:lineRule="auto"/>
        <w:jc w:val="both"/>
        <w:rPr>
          <w:rFonts w:ascii="Calibri" w:hAnsi="Calibri" w:cs="Calibri"/>
        </w:rPr>
      </w:pPr>
      <w:r>
        <w:rPr>
          <w:rFonts w:ascii="Calibri" w:hAnsi="Calibri" w:cs="Calibri"/>
        </w:rPr>
        <w:t>University of Otago</w:t>
      </w:r>
    </w:p>
    <w:p w14:paraId="64B0D615" w14:textId="77777777" w:rsidR="00514D58" w:rsidRDefault="00514D58" w:rsidP="008602FF">
      <w:pPr>
        <w:spacing w:line="360" w:lineRule="auto"/>
        <w:jc w:val="both"/>
        <w:rPr>
          <w:rFonts w:ascii="Calibri" w:hAnsi="Calibri" w:cs="Calibri"/>
          <w:b/>
          <w:bCs/>
        </w:rPr>
      </w:pPr>
    </w:p>
    <w:p w14:paraId="11AB6672" w14:textId="4F5F2AB6" w:rsidR="00567218" w:rsidRPr="008602FF" w:rsidRDefault="00567218" w:rsidP="008602FF">
      <w:pPr>
        <w:spacing w:line="360" w:lineRule="auto"/>
        <w:jc w:val="both"/>
        <w:rPr>
          <w:rFonts w:ascii="Calibri" w:hAnsi="Calibri" w:cs="Calibri"/>
          <w:b/>
          <w:bCs/>
        </w:rPr>
      </w:pPr>
      <w:r w:rsidRPr="008602FF">
        <w:rPr>
          <w:rFonts w:ascii="Calibri" w:hAnsi="Calibri" w:cs="Calibri"/>
          <w:b/>
          <w:bCs/>
        </w:rPr>
        <w:t>TITLE</w:t>
      </w:r>
    </w:p>
    <w:p w14:paraId="1FABEFAC" w14:textId="51696700" w:rsidR="00567218" w:rsidRPr="008602FF" w:rsidRDefault="00567218" w:rsidP="008602FF">
      <w:pPr>
        <w:spacing w:line="360" w:lineRule="auto"/>
        <w:jc w:val="both"/>
        <w:rPr>
          <w:rFonts w:ascii="Calibri" w:hAnsi="Calibri" w:cs="Calibri"/>
        </w:rPr>
      </w:pPr>
      <w:r w:rsidRPr="008602FF">
        <w:rPr>
          <w:rFonts w:ascii="Calibri" w:hAnsi="Calibri" w:cs="Calibri"/>
        </w:rPr>
        <w:t xml:space="preserve">Career Sustainability </w:t>
      </w:r>
      <w:r w:rsidR="007C6EAA" w:rsidRPr="008602FF">
        <w:rPr>
          <w:rFonts w:ascii="Calibri" w:hAnsi="Calibri" w:cs="Calibri"/>
        </w:rPr>
        <w:t>Through Career Breaks</w:t>
      </w:r>
    </w:p>
    <w:p w14:paraId="7BF4E610" w14:textId="77777777" w:rsidR="00640052" w:rsidRDefault="00640052" w:rsidP="008602FF">
      <w:pPr>
        <w:spacing w:line="360" w:lineRule="auto"/>
        <w:jc w:val="both"/>
        <w:rPr>
          <w:rFonts w:ascii="Calibri" w:hAnsi="Calibri" w:cs="Calibri"/>
        </w:rPr>
      </w:pPr>
    </w:p>
    <w:p w14:paraId="4F452A65" w14:textId="5E36E41F" w:rsidR="00A8496F" w:rsidRPr="009B1F51" w:rsidRDefault="00A8496F" w:rsidP="008602FF">
      <w:pPr>
        <w:spacing w:line="360" w:lineRule="auto"/>
        <w:jc w:val="both"/>
        <w:rPr>
          <w:rFonts w:ascii="Calibri" w:hAnsi="Calibri" w:cs="Calibri"/>
          <w:b/>
          <w:bCs/>
        </w:rPr>
      </w:pPr>
      <w:r w:rsidRPr="009B1F51">
        <w:rPr>
          <w:rFonts w:ascii="Calibri" w:hAnsi="Calibri" w:cs="Calibri"/>
          <w:b/>
          <w:bCs/>
        </w:rPr>
        <w:t>THEME</w:t>
      </w:r>
    </w:p>
    <w:p w14:paraId="79AEEAEF" w14:textId="53518DBC" w:rsidR="00A8496F" w:rsidRDefault="00356362" w:rsidP="008602FF">
      <w:pPr>
        <w:spacing w:line="360" w:lineRule="auto"/>
        <w:jc w:val="both"/>
        <w:rPr>
          <w:rFonts w:ascii="Calibri" w:hAnsi="Calibri" w:cs="Calibri"/>
        </w:rPr>
      </w:pPr>
      <w:r w:rsidRPr="00356362">
        <w:rPr>
          <w:rFonts w:ascii="Calibri" w:hAnsi="Calibri" w:cs="Calibri"/>
        </w:rPr>
        <w:t>Research - Hiwa-</w:t>
      </w:r>
      <w:proofErr w:type="spellStart"/>
      <w:r w:rsidRPr="00356362">
        <w:rPr>
          <w:rFonts w:ascii="Calibri" w:hAnsi="Calibri" w:cs="Calibri"/>
        </w:rPr>
        <w:t>i</w:t>
      </w:r>
      <w:proofErr w:type="spellEnd"/>
      <w:r w:rsidRPr="00356362">
        <w:rPr>
          <w:rFonts w:ascii="Calibri" w:hAnsi="Calibri" w:cs="Calibri"/>
        </w:rPr>
        <w:t>-</w:t>
      </w:r>
      <w:proofErr w:type="spellStart"/>
      <w:r w:rsidRPr="00356362">
        <w:rPr>
          <w:rFonts w:ascii="Calibri" w:hAnsi="Calibri" w:cs="Calibri"/>
        </w:rPr>
        <w:t>te-rangi</w:t>
      </w:r>
      <w:proofErr w:type="spellEnd"/>
    </w:p>
    <w:p w14:paraId="74E32876" w14:textId="77777777" w:rsidR="00356362" w:rsidRDefault="00356362" w:rsidP="008602FF">
      <w:pPr>
        <w:spacing w:line="360" w:lineRule="auto"/>
        <w:jc w:val="both"/>
        <w:rPr>
          <w:rFonts w:ascii="Calibri" w:hAnsi="Calibri" w:cs="Calibri"/>
        </w:rPr>
      </w:pPr>
    </w:p>
    <w:p w14:paraId="7DDEE599" w14:textId="7475E4F4" w:rsidR="00A8496F" w:rsidRPr="009B1F51" w:rsidRDefault="00A8496F" w:rsidP="008602FF">
      <w:pPr>
        <w:spacing w:line="360" w:lineRule="auto"/>
        <w:jc w:val="both"/>
        <w:rPr>
          <w:rFonts w:ascii="Calibri" w:hAnsi="Calibri" w:cs="Calibri"/>
          <w:b/>
          <w:bCs/>
        </w:rPr>
      </w:pPr>
      <w:r w:rsidRPr="009B1F51">
        <w:rPr>
          <w:rFonts w:ascii="Calibri" w:hAnsi="Calibri" w:cs="Calibri"/>
          <w:b/>
          <w:bCs/>
        </w:rPr>
        <w:t>LANGUAGE</w:t>
      </w:r>
    </w:p>
    <w:p w14:paraId="6E9A96F8" w14:textId="7AC1C51A" w:rsidR="00A8496F" w:rsidRDefault="00A8496F" w:rsidP="008602FF">
      <w:pPr>
        <w:spacing w:line="360" w:lineRule="auto"/>
        <w:jc w:val="both"/>
        <w:rPr>
          <w:rFonts w:ascii="Calibri" w:hAnsi="Calibri" w:cs="Calibri"/>
        </w:rPr>
      </w:pPr>
      <w:r>
        <w:rPr>
          <w:rFonts w:ascii="Calibri" w:hAnsi="Calibri" w:cs="Calibri"/>
        </w:rPr>
        <w:t>English</w:t>
      </w:r>
    </w:p>
    <w:p w14:paraId="2703037A" w14:textId="77777777" w:rsidR="00A8496F" w:rsidRPr="008602FF" w:rsidRDefault="00A8496F" w:rsidP="008602FF">
      <w:pPr>
        <w:spacing w:line="360" w:lineRule="auto"/>
        <w:jc w:val="both"/>
        <w:rPr>
          <w:rFonts w:ascii="Calibri" w:hAnsi="Calibri" w:cs="Calibri"/>
        </w:rPr>
      </w:pPr>
    </w:p>
    <w:p w14:paraId="3E034202" w14:textId="2A2D89BB" w:rsidR="00D62330" w:rsidRPr="008602FF" w:rsidRDefault="00D62330" w:rsidP="008602FF">
      <w:pPr>
        <w:spacing w:line="360" w:lineRule="auto"/>
        <w:jc w:val="both"/>
        <w:rPr>
          <w:rFonts w:ascii="Calibri" w:hAnsi="Calibri" w:cs="Calibri"/>
          <w:b/>
          <w:bCs/>
        </w:rPr>
      </w:pPr>
      <w:r w:rsidRPr="008602FF">
        <w:rPr>
          <w:rFonts w:ascii="Calibri" w:hAnsi="Calibri" w:cs="Calibri"/>
          <w:b/>
          <w:bCs/>
        </w:rPr>
        <w:t>Abstract</w:t>
      </w:r>
    </w:p>
    <w:p w14:paraId="71C02CB8" w14:textId="51FC69BC" w:rsidR="008F365E" w:rsidRPr="008602FF" w:rsidRDefault="008F365E" w:rsidP="008602FF">
      <w:pPr>
        <w:spacing w:line="360" w:lineRule="auto"/>
        <w:jc w:val="both"/>
        <w:rPr>
          <w:rFonts w:ascii="Calibri" w:hAnsi="Calibri" w:cs="Calibri"/>
        </w:rPr>
      </w:pPr>
      <w:r w:rsidRPr="008602FF">
        <w:rPr>
          <w:rFonts w:ascii="Calibri" w:hAnsi="Calibri" w:cs="Calibri"/>
        </w:rPr>
        <w:t>Career sustainability is commonly understood as an individual’s capacity to maintain employability, productivity</w:t>
      </w:r>
      <w:r w:rsidR="001B4B2F" w:rsidRPr="008602FF">
        <w:rPr>
          <w:rFonts w:ascii="Calibri" w:hAnsi="Calibri" w:cs="Calibri"/>
        </w:rPr>
        <w:t>, and wellbeing</w:t>
      </w:r>
      <w:r w:rsidRPr="008602FF">
        <w:rPr>
          <w:rFonts w:ascii="Calibri" w:hAnsi="Calibri" w:cs="Calibri"/>
        </w:rPr>
        <w:t xml:space="preserve"> across their working life (</w:t>
      </w:r>
      <w:proofErr w:type="spellStart"/>
      <w:r w:rsidRPr="008602FF">
        <w:rPr>
          <w:rFonts w:ascii="Calibri" w:hAnsi="Calibri" w:cs="Calibri"/>
        </w:rPr>
        <w:t>Visentini</w:t>
      </w:r>
      <w:proofErr w:type="spellEnd"/>
      <w:r w:rsidRPr="008602FF">
        <w:rPr>
          <w:rFonts w:ascii="Calibri" w:hAnsi="Calibri" w:cs="Calibri"/>
        </w:rPr>
        <w:t xml:space="preserve"> et al., 2023; Seibert et al., 2024). Within this literature, career breaks are frequently </w:t>
      </w:r>
      <w:r w:rsidR="00E748B6" w:rsidRPr="008602FF">
        <w:rPr>
          <w:rFonts w:ascii="Calibri" w:hAnsi="Calibri" w:cs="Calibri"/>
        </w:rPr>
        <w:t>depict</w:t>
      </w:r>
      <w:r w:rsidRPr="008602FF">
        <w:rPr>
          <w:rFonts w:ascii="Calibri" w:hAnsi="Calibri" w:cs="Calibri"/>
        </w:rPr>
        <w:t xml:space="preserve">ed as threats because they disrupt professional continuity, increase uncertainty, and </w:t>
      </w:r>
      <w:r w:rsidR="00BA4B4D" w:rsidRPr="008602FF">
        <w:rPr>
          <w:rFonts w:ascii="Calibri" w:hAnsi="Calibri" w:cs="Calibri"/>
        </w:rPr>
        <w:t>tend to</w:t>
      </w:r>
      <w:r w:rsidRPr="008602FF">
        <w:rPr>
          <w:rFonts w:ascii="Calibri" w:hAnsi="Calibri" w:cs="Calibri"/>
        </w:rPr>
        <w:t xml:space="preserve"> generate financial and psychological distress (</w:t>
      </w:r>
      <w:proofErr w:type="spellStart"/>
      <w:r w:rsidRPr="008602FF">
        <w:rPr>
          <w:rFonts w:ascii="Calibri" w:hAnsi="Calibri" w:cs="Calibri"/>
        </w:rPr>
        <w:t>Barthauer</w:t>
      </w:r>
      <w:proofErr w:type="spellEnd"/>
      <w:r w:rsidRPr="008602FF">
        <w:rPr>
          <w:rFonts w:ascii="Calibri" w:hAnsi="Calibri" w:cs="Calibri"/>
        </w:rPr>
        <w:t xml:space="preserve"> et al., 2020; Chin et al., 2021). This risk-based framing is understandable, but it also raises significant concern regarding the </w:t>
      </w:r>
      <w:r w:rsidR="002F2081" w:rsidRPr="008602FF">
        <w:rPr>
          <w:rFonts w:ascii="Calibri" w:hAnsi="Calibri" w:cs="Calibri"/>
        </w:rPr>
        <w:t xml:space="preserve">future </w:t>
      </w:r>
      <w:r w:rsidRPr="008602FF">
        <w:rPr>
          <w:rFonts w:ascii="Calibri" w:hAnsi="Calibri" w:cs="Calibri"/>
        </w:rPr>
        <w:t xml:space="preserve">career sustainability of the global workforce. Longer working lives, technological advancements, and recurring labour market instability mean that discontinuity and uncertainty (i.e., career breaks) are expected to become normal features of contemporary careers rather than exceptional events (Boyle, 2022). Thus, it is imperative to better understand how individuals experience and make sense of their career breaks, given the need to navigate such </w:t>
      </w:r>
      <w:r w:rsidR="00D05993" w:rsidRPr="008602FF">
        <w:rPr>
          <w:rFonts w:ascii="Calibri" w:hAnsi="Calibri" w:cs="Calibri"/>
        </w:rPr>
        <w:t>liminality</w:t>
      </w:r>
      <w:r w:rsidRPr="008602FF">
        <w:rPr>
          <w:rFonts w:ascii="Calibri" w:hAnsi="Calibri" w:cs="Calibri"/>
        </w:rPr>
        <w:t xml:space="preserve"> without compromising </w:t>
      </w:r>
      <w:r w:rsidR="002551B5" w:rsidRPr="008602FF">
        <w:rPr>
          <w:rFonts w:ascii="Calibri" w:hAnsi="Calibri" w:cs="Calibri"/>
        </w:rPr>
        <w:t xml:space="preserve">their </w:t>
      </w:r>
      <w:r w:rsidRPr="008602FF">
        <w:rPr>
          <w:rFonts w:ascii="Calibri" w:hAnsi="Calibri" w:cs="Calibri"/>
        </w:rPr>
        <w:t>career sustainability.</w:t>
      </w:r>
    </w:p>
    <w:p w14:paraId="748083A7" w14:textId="66F2767E" w:rsidR="008F365E" w:rsidRPr="008602FF" w:rsidRDefault="273C9BD1" w:rsidP="008602FF">
      <w:pPr>
        <w:spacing w:line="360" w:lineRule="auto"/>
        <w:jc w:val="both"/>
        <w:rPr>
          <w:rFonts w:ascii="Calibri" w:hAnsi="Calibri" w:cs="Calibri"/>
        </w:rPr>
      </w:pPr>
      <w:r w:rsidRPr="008602FF">
        <w:rPr>
          <w:rFonts w:ascii="Calibri" w:hAnsi="Calibri" w:cs="Calibri"/>
        </w:rPr>
        <w:lastRenderedPageBreak/>
        <w:t>This presentation reports on</w:t>
      </w:r>
      <w:r w:rsidR="008F365E" w:rsidRPr="008602FF">
        <w:rPr>
          <w:rFonts w:ascii="Calibri" w:hAnsi="Calibri" w:cs="Calibri"/>
        </w:rPr>
        <w:t xml:space="preserve"> a mixed-methods </w:t>
      </w:r>
      <w:r w:rsidRPr="008602FF">
        <w:rPr>
          <w:rFonts w:ascii="Calibri" w:hAnsi="Calibri" w:cs="Calibri"/>
        </w:rPr>
        <w:t>study</w:t>
      </w:r>
      <w:r w:rsidR="2290DE9C" w:rsidRPr="008602FF">
        <w:rPr>
          <w:rFonts w:ascii="Calibri" w:hAnsi="Calibri" w:cs="Calibri"/>
        </w:rPr>
        <w:t xml:space="preserve">, </w:t>
      </w:r>
      <w:r w:rsidR="52A78513" w:rsidRPr="008602FF">
        <w:rPr>
          <w:rFonts w:ascii="Calibri" w:hAnsi="Calibri" w:cs="Calibri"/>
        </w:rPr>
        <w:t>with a survey of</w:t>
      </w:r>
      <w:r w:rsidR="00C95460" w:rsidRPr="008602FF">
        <w:rPr>
          <w:rFonts w:ascii="Calibri" w:hAnsi="Calibri" w:cs="Calibri"/>
        </w:rPr>
        <w:t xml:space="preserve"> </w:t>
      </w:r>
      <w:r w:rsidR="008F365E" w:rsidRPr="008602FF">
        <w:rPr>
          <w:rFonts w:ascii="Calibri" w:hAnsi="Calibri" w:cs="Calibri"/>
        </w:rPr>
        <w:t>120 global participants who took career breaks voluntarily, without employer support, and without guaranteed job placement at the end of the break period</w:t>
      </w:r>
      <w:r w:rsidR="00C95460" w:rsidRPr="008602FF">
        <w:rPr>
          <w:rFonts w:ascii="Calibri" w:hAnsi="Calibri" w:cs="Calibri"/>
        </w:rPr>
        <w:t>.</w:t>
      </w:r>
      <w:r w:rsidR="008F365E" w:rsidRPr="008602FF">
        <w:rPr>
          <w:rFonts w:ascii="Calibri" w:hAnsi="Calibri" w:cs="Calibri"/>
        </w:rPr>
        <w:t xml:space="preserve"> This was followed by semi-structured interviews with 24 purposively sampled participants. Interpretative Phenomenological Analysis was used to examine how interview participants made sense of their lived experiences. Specifically, this study investigated the professional backgrounds of those pursuing career breaks; their motives for doing so; what they believe to have gained from the</w:t>
      </w:r>
      <w:r w:rsidR="000A0BDB" w:rsidRPr="008602FF">
        <w:rPr>
          <w:rFonts w:ascii="Calibri" w:hAnsi="Calibri" w:cs="Calibri"/>
        </w:rPr>
        <w:t>ir</w:t>
      </w:r>
      <w:r w:rsidR="008F365E" w:rsidRPr="008602FF">
        <w:rPr>
          <w:rFonts w:ascii="Calibri" w:hAnsi="Calibri" w:cs="Calibri"/>
        </w:rPr>
        <w:t xml:space="preserve"> break period</w:t>
      </w:r>
      <w:r w:rsidR="000A0BDB" w:rsidRPr="008602FF">
        <w:rPr>
          <w:rFonts w:ascii="Calibri" w:hAnsi="Calibri" w:cs="Calibri"/>
        </w:rPr>
        <w:t>s</w:t>
      </w:r>
      <w:r w:rsidR="008F365E" w:rsidRPr="008602FF">
        <w:rPr>
          <w:rFonts w:ascii="Calibri" w:hAnsi="Calibri" w:cs="Calibri"/>
        </w:rPr>
        <w:t>; and what meaning they ascribe to the overall experience in the context of their evolving career narratives.</w:t>
      </w:r>
    </w:p>
    <w:p w14:paraId="0147A4C5" w14:textId="44F2686B" w:rsidR="008F365E" w:rsidRPr="008602FF" w:rsidRDefault="008F365E" w:rsidP="008602FF">
      <w:pPr>
        <w:spacing w:line="360" w:lineRule="auto"/>
        <w:jc w:val="both"/>
        <w:rPr>
          <w:rFonts w:ascii="Calibri" w:hAnsi="Calibri" w:cs="Calibri"/>
        </w:rPr>
      </w:pPr>
      <w:r w:rsidRPr="008602FF">
        <w:rPr>
          <w:rFonts w:ascii="Calibri" w:hAnsi="Calibri" w:cs="Calibri"/>
        </w:rPr>
        <w:t xml:space="preserve">Despite participants’ diverse backgrounds, occupations, stated reasons for taking career breaks and break activities, several themes emerged. Findings revealed that career breaks were primarily pursued voluntarily due to narrative and identity foreclosure resulting from career centrality and frustrations with professional achievement paradigms. Subsequently, participants hoped to reacquire autonomy in their career decision-making and satisfy aspirational fulfilments beyond the career. At the start of their career breaks, participants generally felt identity loss and decreased societal value, forcing them to engage in critical reflection that culminated in significant changes to their career ideologies and behaviours. Post-break, participants universally described a decentring of their career identities and how they define ‘career success’ in non-teleological terms, which ultimately led to healthier relationships with their careers. </w:t>
      </w:r>
      <w:r w:rsidR="00B62AC8" w:rsidRPr="008602FF">
        <w:rPr>
          <w:rFonts w:ascii="Calibri" w:hAnsi="Calibri" w:cs="Calibri"/>
        </w:rPr>
        <w:t>P</w:t>
      </w:r>
      <w:r w:rsidR="00F775CC" w:rsidRPr="008602FF">
        <w:rPr>
          <w:rFonts w:ascii="Calibri" w:hAnsi="Calibri" w:cs="Calibri"/>
        </w:rPr>
        <w:t>articipants</w:t>
      </w:r>
      <w:r w:rsidR="00B62AC8" w:rsidRPr="008602FF">
        <w:rPr>
          <w:rFonts w:ascii="Calibri" w:hAnsi="Calibri" w:cs="Calibri"/>
        </w:rPr>
        <w:t xml:space="preserve"> also</w:t>
      </w:r>
      <w:r w:rsidRPr="008602FF">
        <w:rPr>
          <w:rFonts w:ascii="Calibri" w:hAnsi="Calibri" w:cs="Calibri"/>
        </w:rPr>
        <w:t xml:space="preserve"> indicated a willingness to move across previously perceived career boundaries and take on tasks that are unfamiliar or outside their areas of expertise. </w:t>
      </w:r>
      <w:r w:rsidR="00B62AC8" w:rsidRPr="008602FF">
        <w:rPr>
          <w:rFonts w:ascii="Calibri" w:hAnsi="Calibri" w:cs="Calibri"/>
        </w:rPr>
        <w:t xml:space="preserve">More </w:t>
      </w:r>
      <w:r w:rsidR="0096238B" w:rsidRPr="008602FF">
        <w:rPr>
          <w:rFonts w:ascii="Calibri" w:hAnsi="Calibri" w:cs="Calibri"/>
        </w:rPr>
        <w:t xml:space="preserve">importantly, they demonstrated that career </w:t>
      </w:r>
      <w:r w:rsidR="00611E3E" w:rsidRPr="008602FF">
        <w:rPr>
          <w:rFonts w:ascii="Calibri" w:hAnsi="Calibri" w:cs="Calibri"/>
        </w:rPr>
        <w:t>liminality was no longer viewed as destabilising.</w:t>
      </w:r>
    </w:p>
    <w:p w14:paraId="3488B9DD" w14:textId="22EB220B" w:rsidR="008F365E" w:rsidRPr="008602FF" w:rsidRDefault="008F365E" w:rsidP="008602FF">
      <w:pPr>
        <w:spacing w:line="360" w:lineRule="auto"/>
        <w:jc w:val="both"/>
        <w:rPr>
          <w:rFonts w:ascii="Calibri" w:hAnsi="Calibri" w:cs="Calibri"/>
        </w:rPr>
      </w:pPr>
      <w:r w:rsidRPr="008602FF">
        <w:rPr>
          <w:rFonts w:ascii="Calibri" w:hAnsi="Calibri" w:cs="Calibri"/>
        </w:rPr>
        <w:t xml:space="preserve">These findings suggest that </w:t>
      </w:r>
      <w:r w:rsidR="00C33A34" w:rsidRPr="008602FF">
        <w:rPr>
          <w:rFonts w:ascii="Calibri" w:hAnsi="Calibri" w:cs="Calibri"/>
        </w:rPr>
        <w:t xml:space="preserve">voluntary </w:t>
      </w:r>
      <w:r w:rsidRPr="008602FF">
        <w:rPr>
          <w:rFonts w:ascii="Calibri" w:hAnsi="Calibri" w:cs="Calibri"/>
        </w:rPr>
        <w:t xml:space="preserve">career breaks </w:t>
      </w:r>
      <w:r w:rsidR="002A70D1" w:rsidRPr="008602FF">
        <w:rPr>
          <w:rFonts w:ascii="Calibri" w:hAnsi="Calibri" w:cs="Calibri"/>
        </w:rPr>
        <w:t xml:space="preserve">can </w:t>
      </w:r>
      <w:r w:rsidRPr="008602FF">
        <w:rPr>
          <w:rFonts w:ascii="Calibri" w:hAnsi="Calibri" w:cs="Calibri"/>
        </w:rPr>
        <w:t xml:space="preserve">support career sustainability via the development of liminality competence and identity flexibility that </w:t>
      </w:r>
      <w:r w:rsidR="00F67E0C" w:rsidRPr="008602FF">
        <w:rPr>
          <w:rFonts w:ascii="Calibri" w:hAnsi="Calibri" w:cs="Calibri"/>
        </w:rPr>
        <w:t xml:space="preserve">seem to </w:t>
      </w:r>
      <w:r w:rsidRPr="008602FF">
        <w:rPr>
          <w:rFonts w:ascii="Calibri" w:hAnsi="Calibri" w:cs="Calibri"/>
        </w:rPr>
        <w:t xml:space="preserve">make individuals less vulnerable to the existential crises commonly associated with liminal career events. More broadly, this study invites continuity-based career sustainability frameworks to better account for career liminality as a </w:t>
      </w:r>
      <w:r w:rsidR="00561C62" w:rsidRPr="008602FF">
        <w:rPr>
          <w:rFonts w:ascii="Calibri" w:hAnsi="Calibri" w:cs="Calibri"/>
        </w:rPr>
        <w:t>normal</w:t>
      </w:r>
      <w:r w:rsidRPr="008602FF">
        <w:rPr>
          <w:rFonts w:ascii="Calibri" w:hAnsi="Calibri" w:cs="Calibri"/>
        </w:rPr>
        <w:t xml:space="preserve"> </w:t>
      </w:r>
      <w:r w:rsidR="00DC0EAD" w:rsidRPr="008602FF">
        <w:rPr>
          <w:rFonts w:ascii="Calibri" w:hAnsi="Calibri" w:cs="Calibri"/>
        </w:rPr>
        <w:t>aspect</w:t>
      </w:r>
      <w:r w:rsidRPr="008602FF">
        <w:rPr>
          <w:rFonts w:ascii="Calibri" w:hAnsi="Calibri" w:cs="Calibri"/>
        </w:rPr>
        <w:t xml:space="preserve"> of working life</w:t>
      </w:r>
      <w:r w:rsidR="000F55A8" w:rsidRPr="008602FF">
        <w:rPr>
          <w:rFonts w:ascii="Calibri" w:hAnsi="Calibri" w:cs="Calibri"/>
        </w:rPr>
        <w:t xml:space="preserve"> in the </w:t>
      </w:r>
      <w:r w:rsidRPr="008602FF">
        <w:rPr>
          <w:rFonts w:ascii="Calibri" w:hAnsi="Calibri" w:cs="Calibri"/>
        </w:rPr>
        <w:t>21</w:t>
      </w:r>
      <w:r w:rsidRPr="008602FF">
        <w:rPr>
          <w:rFonts w:ascii="Calibri" w:hAnsi="Calibri" w:cs="Calibri"/>
          <w:vertAlign w:val="superscript"/>
        </w:rPr>
        <w:t>st</w:t>
      </w:r>
      <w:r w:rsidR="005024AB" w:rsidRPr="008602FF">
        <w:rPr>
          <w:rFonts w:ascii="Calibri" w:hAnsi="Calibri" w:cs="Calibri"/>
        </w:rPr>
        <w:t xml:space="preserve"> </w:t>
      </w:r>
      <w:r w:rsidRPr="008602FF">
        <w:rPr>
          <w:rFonts w:ascii="Calibri" w:hAnsi="Calibri" w:cs="Calibri"/>
        </w:rPr>
        <w:t xml:space="preserve">century. With the career landscape becoming increasingly precarious and liminality expected to become a more frequent feature in individuals’ prolonging career narratives, this </w:t>
      </w:r>
      <w:r w:rsidR="1663CD5A" w:rsidRPr="008602FF">
        <w:rPr>
          <w:rFonts w:ascii="Calibri" w:hAnsi="Calibri" w:cs="Calibri"/>
        </w:rPr>
        <w:t>presentation</w:t>
      </w:r>
      <w:r w:rsidRPr="008602FF">
        <w:rPr>
          <w:rFonts w:ascii="Calibri" w:hAnsi="Calibri" w:cs="Calibri"/>
        </w:rPr>
        <w:t xml:space="preserve"> offers significant insights into the psychological complexities of career breaks as well as a hopeful account of how individuals may sustain their careers through liminality rather than in spite of it.</w:t>
      </w:r>
    </w:p>
    <w:p w14:paraId="776C8463" w14:textId="77777777" w:rsidR="00AF5446" w:rsidRDefault="00AF5446" w:rsidP="008602FF">
      <w:pPr>
        <w:spacing w:line="360" w:lineRule="auto"/>
        <w:jc w:val="both"/>
        <w:rPr>
          <w:rFonts w:ascii="Calibri" w:hAnsi="Calibri" w:cs="Calibri"/>
        </w:rPr>
      </w:pPr>
    </w:p>
    <w:p w14:paraId="56847A1D" w14:textId="77777777" w:rsidR="00356362" w:rsidRDefault="00356362" w:rsidP="008602FF">
      <w:pPr>
        <w:spacing w:line="360" w:lineRule="auto"/>
        <w:jc w:val="both"/>
        <w:rPr>
          <w:rFonts w:ascii="Calibri" w:hAnsi="Calibri" w:cs="Calibri"/>
        </w:rPr>
      </w:pPr>
    </w:p>
    <w:p w14:paraId="3F2150F4" w14:textId="77777777" w:rsidR="00356362" w:rsidRDefault="00356362" w:rsidP="008602FF">
      <w:pPr>
        <w:spacing w:line="360" w:lineRule="auto"/>
        <w:jc w:val="both"/>
        <w:rPr>
          <w:rFonts w:ascii="Calibri" w:hAnsi="Calibri" w:cs="Calibri"/>
        </w:rPr>
      </w:pPr>
    </w:p>
    <w:p w14:paraId="6FC49198" w14:textId="38CB496D" w:rsidR="00AF5446" w:rsidRPr="00AF5446" w:rsidRDefault="00AF5446" w:rsidP="008602FF">
      <w:pPr>
        <w:spacing w:line="360" w:lineRule="auto"/>
        <w:jc w:val="both"/>
        <w:rPr>
          <w:rFonts w:ascii="Calibri" w:hAnsi="Calibri" w:cs="Calibri"/>
          <w:b/>
          <w:bCs/>
        </w:rPr>
      </w:pPr>
      <w:r w:rsidRPr="00AF5446">
        <w:rPr>
          <w:rFonts w:ascii="Calibri" w:hAnsi="Calibri" w:cs="Calibri"/>
          <w:b/>
          <w:bCs/>
        </w:rPr>
        <w:lastRenderedPageBreak/>
        <w:t>REFERENCES</w:t>
      </w:r>
    </w:p>
    <w:p w14:paraId="0069D102" w14:textId="198AA870" w:rsidR="008F365E" w:rsidRPr="008602FF" w:rsidRDefault="008F365E" w:rsidP="008602FF">
      <w:pPr>
        <w:spacing w:line="360" w:lineRule="auto"/>
        <w:jc w:val="both"/>
        <w:rPr>
          <w:rFonts w:ascii="Calibri" w:hAnsi="Calibri" w:cs="Calibri"/>
        </w:rPr>
      </w:pPr>
      <w:r w:rsidRPr="008602FF">
        <w:rPr>
          <w:rFonts w:ascii="Calibri" w:hAnsi="Calibri" w:cs="Calibri"/>
        </w:rPr>
        <w:t xml:space="preserve">Barthauer, L., Kaucher, P., Spurk, D., &amp; Kauffeld, S. (2020). Burnout and career (un)sustainability: Looking into the </w:t>
      </w:r>
      <w:proofErr w:type="spellStart"/>
      <w:r w:rsidRPr="008602FF">
        <w:rPr>
          <w:rFonts w:ascii="Calibri" w:hAnsi="Calibri" w:cs="Calibri"/>
        </w:rPr>
        <w:t>blackbox</w:t>
      </w:r>
      <w:proofErr w:type="spellEnd"/>
      <w:r w:rsidRPr="008602FF">
        <w:rPr>
          <w:rFonts w:ascii="Calibri" w:hAnsi="Calibri" w:cs="Calibri"/>
        </w:rPr>
        <w:t xml:space="preserve"> of burnout triggered career turnover intentions. Journal of Vocational </w:t>
      </w:r>
      <w:proofErr w:type="spellStart"/>
      <w:r w:rsidRPr="008602FF">
        <w:rPr>
          <w:rFonts w:ascii="Calibri" w:hAnsi="Calibri" w:cs="Calibri"/>
        </w:rPr>
        <w:t>Behavior</w:t>
      </w:r>
      <w:proofErr w:type="spellEnd"/>
      <w:r w:rsidRPr="008602FF">
        <w:rPr>
          <w:rFonts w:ascii="Calibri" w:hAnsi="Calibri" w:cs="Calibri"/>
        </w:rPr>
        <w:t>, 117. https://doi.org/10.1016/j.jvb.2019.103334</w:t>
      </w:r>
    </w:p>
    <w:p w14:paraId="7683DD2A" w14:textId="77777777" w:rsidR="008F365E" w:rsidRPr="008602FF" w:rsidRDefault="008F365E" w:rsidP="008602FF">
      <w:pPr>
        <w:spacing w:line="360" w:lineRule="auto"/>
        <w:jc w:val="both"/>
        <w:rPr>
          <w:rFonts w:ascii="Calibri" w:hAnsi="Calibri" w:cs="Calibri"/>
        </w:rPr>
      </w:pPr>
      <w:r w:rsidRPr="008602FF">
        <w:rPr>
          <w:rFonts w:ascii="Calibri" w:hAnsi="Calibri" w:cs="Calibri"/>
        </w:rPr>
        <w:t>Boyle, K. A. (2022). Career identities and Millennials’ response to the graduate transition to work: Lessons learned. Journal of Education and Work, 35(1), 78–91. https://doi.org/10.1080/13639080.2021.2009782</w:t>
      </w:r>
    </w:p>
    <w:p w14:paraId="3BC8913E" w14:textId="77777777" w:rsidR="008F365E" w:rsidRPr="008602FF" w:rsidRDefault="008F365E" w:rsidP="008602FF">
      <w:pPr>
        <w:spacing w:line="360" w:lineRule="auto"/>
        <w:jc w:val="both"/>
        <w:rPr>
          <w:rFonts w:ascii="Calibri" w:hAnsi="Calibri" w:cs="Calibri"/>
        </w:rPr>
      </w:pPr>
      <w:r w:rsidRPr="008602FF">
        <w:rPr>
          <w:rFonts w:ascii="Calibri" w:hAnsi="Calibri" w:cs="Calibri"/>
        </w:rPr>
        <w:t>Chin, T., Jawahar, I. M., &amp; Li, G. (2021). Development and validation of a career sustainability scale. Journal of Career Development, 49(4), 089484532199323. https://doi.org/10.1177/0894845321993234</w:t>
      </w:r>
    </w:p>
    <w:p w14:paraId="1878B87D" w14:textId="77777777" w:rsidR="008F365E" w:rsidRPr="008602FF" w:rsidRDefault="008F365E" w:rsidP="008602FF">
      <w:pPr>
        <w:spacing w:line="360" w:lineRule="auto"/>
        <w:jc w:val="both"/>
        <w:rPr>
          <w:rFonts w:ascii="Calibri" w:hAnsi="Calibri" w:cs="Calibri"/>
        </w:rPr>
      </w:pPr>
      <w:r w:rsidRPr="008602FF">
        <w:rPr>
          <w:rFonts w:ascii="Calibri" w:hAnsi="Calibri" w:cs="Calibri"/>
        </w:rPr>
        <w:t xml:space="preserve">Seibert, S., Akkermans, J., &amp; Liu, C.-H. (2024). Understanding contemporary career success: A critical review. Annual Review of Organizational Psychology and Organizational </w:t>
      </w:r>
      <w:proofErr w:type="spellStart"/>
      <w:r w:rsidRPr="008602FF">
        <w:rPr>
          <w:rFonts w:ascii="Calibri" w:hAnsi="Calibri" w:cs="Calibri"/>
        </w:rPr>
        <w:t>Behavior</w:t>
      </w:r>
      <w:proofErr w:type="spellEnd"/>
      <w:r w:rsidRPr="008602FF">
        <w:rPr>
          <w:rFonts w:ascii="Calibri" w:hAnsi="Calibri" w:cs="Calibri"/>
        </w:rPr>
        <w:t>, 11(1), 509–534. https://doi.org/10.1146/annurev-orgpsych-120920-051543</w:t>
      </w:r>
    </w:p>
    <w:p w14:paraId="6A4A5964" w14:textId="77777777" w:rsidR="008F365E" w:rsidRPr="008602FF" w:rsidRDefault="008F365E" w:rsidP="008602FF">
      <w:pPr>
        <w:spacing w:line="360" w:lineRule="auto"/>
        <w:jc w:val="both"/>
        <w:rPr>
          <w:rFonts w:ascii="Calibri" w:hAnsi="Calibri" w:cs="Calibri"/>
        </w:rPr>
      </w:pPr>
      <w:proofErr w:type="spellStart"/>
      <w:r w:rsidRPr="008602FF">
        <w:rPr>
          <w:rFonts w:ascii="Calibri" w:hAnsi="Calibri" w:cs="Calibri"/>
        </w:rPr>
        <w:t>Visentini</w:t>
      </w:r>
      <w:proofErr w:type="spellEnd"/>
      <w:r w:rsidRPr="008602FF">
        <w:rPr>
          <w:rFonts w:ascii="Calibri" w:hAnsi="Calibri" w:cs="Calibri"/>
        </w:rPr>
        <w:t xml:space="preserve">, A. P., Müller, C. V., &amp; Scheffer, A. B. (2023). </w:t>
      </w:r>
      <w:proofErr w:type="spellStart"/>
      <w:r w:rsidRPr="008602FF">
        <w:rPr>
          <w:rFonts w:ascii="Calibri" w:hAnsi="Calibri" w:cs="Calibri"/>
        </w:rPr>
        <w:t>Resignifying</w:t>
      </w:r>
      <w:proofErr w:type="spellEnd"/>
      <w:r w:rsidRPr="008602FF">
        <w:rPr>
          <w:rFonts w:ascii="Calibri" w:hAnsi="Calibri" w:cs="Calibri"/>
        </w:rPr>
        <w:t xml:space="preserve"> the unexpected: Career shocks and its impacts on the trajectories of executive women. Brazilian Business Review, 20(5), 500–517. https://doi.org/10.15728/bbr.2021.1149.en</w:t>
      </w:r>
    </w:p>
    <w:p w14:paraId="5A535E1E" w14:textId="77777777" w:rsidR="00AF5446" w:rsidRDefault="00AF5446" w:rsidP="008602FF">
      <w:pPr>
        <w:spacing w:line="360" w:lineRule="auto"/>
        <w:jc w:val="both"/>
        <w:rPr>
          <w:rFonts w:ascii="Calibri" w:hAnsi="Calibri" w:cs="Calibri"/>
        </w:rPr>
      </w:pPr>
    </w:p>
    <w:p w14:paraId="7A68684C" w14:textId="4D446148" w:rsidR="00AF5446" w:rsidRPr="00AF5446" w:rsidRDefault="00AF5446" w:rsidP="008602FF">
      <w:pPr>
        <w:spacing w:line="360" w:lineRule="auto"/>
        <w:jc w:val="both"/>
        <w:rPr>
          <w:rFonts w:ascii="Calibri" w:hAnsi="Calibri" w:cs="Calibri"/>
          <w:b/>
          <w:bCs/>
        </w:rPr>
      </w:pPr>
      <w:r w:rsidRPr="00AF5446">
        <w:rPr>
          <w:rFonts w:ascii="Calibri" w:hAnsi="Calibri" w:cs="Calibri"/>
          <w:b/>
          <w:bCs/>
        </w:rPr>
        <w:t>KEYWORDS</w:t>
      </w:r>
      <w:r w:rsidR="00255AC2" w:rsidRPr="00AF5446">
        <w:rPr>
          <w:rFonts w:ascii="Calibri" w:hAnsi="Calibri" w:cs="Calibri"/>
          <w:b/>
          <w:bCs/>
        </w:rPr>
        <w:t xml:space="preserve"> </w:t>
      </w:r>
    </w:p>
    <w:p w14:paraId="1F87B891" w14:textId="50E19D9D" w:rsidR="008D2BCD" w:rsidRPr="008602FF" w:rsidRDefault="009B1F51" w:rsidP="008602FF">
      <w:pPr>
        <w:spacing w:line="360" w:lineRule="auto"/>
        <w:jc w:val="both"/>
        <w:rPr>
          <w:rFonts w:ascii="Calibri" w:hAnsi="Calibri" w:cs="Calibri"/>
        </w:rPr>
      </w:pPr>
      <w:r>
        <w:rPr>
          <w:rFonts w:ascii="Calibri" w:hAnsi="Calibri" w:cs="Calibri"/>
        </w:rPr>
        <w:t xml:space="preserve">career breaks, career sustainability, </w:t>
      </w:r>
      <w:r w:rsidR="00AF5446">
        <w:rPr>
          <w:rFonts w:ascii="Calibri" w:hAnsi="Calibri" w:cs="Calibri"/>
        </w:rPr>
        <w:t>interpretative phenomenological analysis</w:t>
      </w:r>
    </w:p>
    <w:sectPr w:rsidR="008D2BCD" w:rsidRPr="008602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60791"/>
    <w:multiLevelType w:val="multilevel"/>
    <w:tmpl w:val="117C2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015717"/>
    <w:multiLevelType w:val="multilevel"/>
    <w:tmpl w:val="8ED87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686417">
    <w:abstractNumId w:val="1"/>
  </w:num>
  <w:num w:numId="2" w16cid:durableId="371615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8E3"/>
    <w:rsid w:val="00000465"/>
    <w:rsid w:val="00001E8C"/>
    <w:rsid w:val="00045FEB"/>
    <w:rsid w:val="000464FF"/>
    <w:rsid w:val="00057615"/>
    <w:rsid w:val="00062FDC"/>
    <w:rsid w:val="00065A8B"/>
    <w:rsid w:val="00066C1C"/>
    <w:rsid w:val="00067013"/>
    <w:rsid w:val="000675EF"/>
    <w:rsid w:val="0007193B"/>
    <w:rsid w:val="000844C4"/>
    <w:rsid w:val="00087222"/>
    <w:rsid w:val="000941CC"/>
    <w:rsid w:val="000A04A1"/>
    <w:rsid w:val="000A0BDB"/>
    <w:rsid w:val="000C0F1F"/>
    <w:rsid w:val="000C42B6"/>
    <w:rsid w:val="000C69E2"/>
    <w:rsid w:val="000C711B"/>
    <w:rsid w:val="000E3078"/>
    <w:rsid w:val="000E4E07"/>
    <w:rsid w:val="000E67CF"/>
    <w:rsid w:val="000F55A8"/>
    <w:rsid w:val="00105D49"/>
    <w:rsid w:val="00111655"/>
    <w:rsid w:val="00116FB8"/>
    <w:rsid w:val="00127854"/>
    <w:rsid w:val="001373D1"/>
    <w:rsid w:val="00144DEB"/>
    <w:rsid w:val="00145635"/>
    <w:rsid w:val="001530CC"/>
    <w:rsid w:val="00154F36"/>
    <w:rsid w:val="0015636E"/>
    <w:rsid w:val="00167723"/>
    <w:rsid w:val="00170E05"/>
    <w:rsid w:val="00176EE1"/>
    <w:rsid w:val="00182E5A"/>
    <w:rsid w:val="00195042"/>
    <w:rsid w:val="001A6E44"/>
    <w:rsid w:val="001A72BD"/>
    <w:rsid w:val="001A76CD"/>
    <w:rsid w:val="001B2EC4"/>
    <w:rsid w:val="001B4B2F"/>
    <w:rsid w:val="001C16B5"/>
    <w:rsid w:val="001C538D"/>
    <w:rsid w:val="001C5E24"/>
    <w:rsid w:val="001D6F71"/>
    <w:rsid w:val="001D7CDF"/>
    <w:rsid w:val="001D7DCD"/>
    <w:rsid w:val="001E05B9"/>
    <w:rsid w:val="001E12EC"/>
    <w:rsid w:val="001E277B"/>
    <w:rsid w:val="001E584A"/>
    <w:rsid w:val="001F1BAC"/>
    <w:rsid w:val="00206CCF"/>
    <w:rsid w:val="00224E66"/>
    <w:rsid w:val="00225ECA"/>
    <w:rsid w:val="00241ABD"/>
    <w:rsid w:val="00244DC2"/>
    <w:rsid w:val="00250E70"/>
    <w:rsid w:val="00250F2C"/>
    <w:rsid w:val="002551B5"/>
    <w:rsid w:val="00255AC2"/>
    <w:rsid w:val="0025620C"/>
    <w:rsid w:val="002639A4"/>
    <w:rsid w:val="00266E8C"/>
    <w:rsid w:val="00273C49"/>
    <w:rsid w:val="002815E3"/>
    <w:rsid w:val="00285909"/>
    <w:rsid w:val="00291983"/>
    <w:rsid w:val="002A665F"/>
    <w:rsid w:val="002A70D1"/>
    <w:rsid w:val="002B7DCA"/>
    <w:rsid w:val="002F2081"/>
    <w:rsid w:val="002F3DA7"/>
    <w:rsid w:val="002F4252"/>
    <w:rsid w:val="002F5B9D"/>
    <w:rsid w:val="00301980"/>
    <w:rsid w:val="00305FD4"/>
    <w:rsid w:val="00326B38"/>
    <w:rsid w:val="00336D2A"/>
    <w:rsid w:val="00341B4A"/>
    <w:rsid w:val="00345D73"/>
    <w:rsid w:val="003478E0"/>
    <w:rsid w:val="00353F70"/>
    <w:rsid w:val="00356362"/>
    <w:rsid w:val="00363565"/>
    <w:rsid w:val="00381D7D"/>
    <w:rsid w:val="00383D05"/>
    <w:rsid w:val="0038475B"/>
    <w:rsid w:val="00393053"/>
    <w:rsid w:val="00394D5F"/>
    <w:rsid w:val="003A0D01"/>
    <w:rsid w:val="003A4423"/>
    <w:rsid w:val="003A4AA6"/>
    <w:rsid w:val="003B411B"/>
    <w:rsid w:val="003D4552"/>
    <w:rsid w:val="003D7DBA"/>
    <w:rsid w:val="003E0AB2"/>
    <w:rsid w:val="003E0CB7"/>
    <w:rsid w:val="00401281"/>
    <w:rsid w:val="00411E71"/>
    <w:rsid w:val="0041538C"/>
    <w:rsid w:val="00431EC1"/>
    <w:rsid w:val="004329E1"/>
    <w:rsid w:val="00434128"/>
    <w:rsid w:val="00436BD6"/>
    <w:rsid w:val="00461654"/>
    <w:rsid w:val="0046174C"/>
    <w:rsid w:val="00475DEB"/>
    <w:rsid w:val="0048038E"/>
    <w:rsid w:val="004874A0"/>
    <w:rsid w:val="0049008A"/>
    <w:rsid w:val="00490CA4"/>
    <w:rsid w:val="004A16CC"/>
    <w:rsid w:val="004A17CB"/>
    <w:rsid w:val="004A280B"/>
    <w:rsid w:val="004A7657"/>
    <w:rsid w:val="004B0BC8"/>
    <w:rsid w:val="004D044E"/>
    <w:rsid w:val="004E2850"/>
    <w:rsid w:val="004F1E09"/>
    <w:rsid w:val="004F6238"/>
    <w:rsid w:val="005024AB"/>
    <w:rsid w:val="0051384C"/>
    <w:rsid w:val="00514D58"/>
    <w:rsid w:val="00524315"/>
    <w:rsid w:val="0053111F"/>
    <w:rsid w:val="005357E3"/>
    <w:rsid w:val="005423D0"/>
    <w:rsid w:val="00545E20"/>
    <w:rsid w:val="00550A8A"/>
    <w:rsid w:val="00551A2A"/>
    <w:rsid w:val="00561C62"/>
    <w:rsid w:val="00564174"/>
    <w:rsid w:val="00567218"/>
    <w:rsid w:val="005719C7"/>
    <w:rsid w:val="00574F6F"/>
    <w:rsid w:val="0057769D"/>
    <w:rsid w:val="00592C81"/>
    <w:rsid w:val="005969DD"/>
    <w:rsid w:val="005A44A2"/>
    <w:rsid w:val="005B177B"/>
    <w:rsid w:val="005B5A99"/>
    <w:rsid w:val="005C3ED6"/>
    <w:rsid w:val="005C4F92"/>
    <w:rsid w:val="005D2780"/>
    <w:rsid w:val="005D7299"/>
    <w:rsid w:val="005E757A"/>
    <w:rsid w:val="00604A45"/>
    <w:rsid w:val="00611E3E"/>
    <w:rsid w:val="00615F24"/>
    <w:rsid w:val="00617394"/>
    <w:rsid w:val="00617BD9"/>
    <w:rsid w:val="006273CE"/>
    <w:rsid w:val="00640052"/>
    <w:rsid w:val="0064153F"/>
    <w:rsid w:val="006431C9"/>
    <w:rsid w:val="00644D77"/>
    <w:rsid w:val="00646719"/>
    <w:rsid w:val="00652EBD"/>
    <w:rsid w:val="0065421F"/>
    <w:rsid w:val="00655807"/>
    <w:rsid w:val="0066037E"/>
    <w:rsid w:val="006658F0"/>
    <w:rsid w:val="00671E6D"/>
    <w:rsid w:val="00675FE3"/>
    <w:rsid w:val="006C3755"/>
    <w:rsid w:val="006D04ED"/>
    <w:rsid w:val="006D38E1"/>
    <w:rsid w:val="006D6F6B"/>
    <w:rsid w:val="006E3DC0"/>
    <w:rsid w:val="006E5A80"/>
    <w:rsid w:val="006E7718"/>
    <w:rsid w:val="006F7134"/>
    <w:rsid w:val="007037C0"/>
    <w:rsid w:val="00705F15"/>
    <w:rsid w:val="007115A8"/>
    <w:rsid w:val="007137CF"/>
    <w:rsid w:val="007148CD"/>
    <w:rsid w:val="0072041D"/>
    <w:rsid w:val="00724F0C"/>
    <w:rsid w:val="00733359"/>
    <w:rsid w:val="007377A1"/>
    <w:rsid w:val="0074181A"/>
    <w:rsid w:val="007438A0"/>
    <w:rsid w:val="00745409"/>
    <w:rsid w:val="007521A5"/>
    <w:rsid w:val="00764D57"/>
    <w:rsid w:val="00770A2F"/>
    <w:rsid w:val="00775261"/>
    <w:rsid w:val="00780828"/>
    <w:rsid w:val="0078235B"/>
    <w:rsid w:val="00795DCB"/>
    <w:rsid w:val="00796DE7"/>
    <w:rsid w:val="007A1DD1"/>
    <w:rsid w:val="007A24D2"/>
    <w:rsid w:val="007A5B65"/>
    <w:rsid w:val="007A6EB8"/>
    <w:rsid w:val="007B4DDA"/>
    <w:rsid w:val="007B6F0C"/>
    <w:rsid w:val="007C6EAA"/>
    <w:rsid w:val="007D2A72"/>
    <w:rsid w:val="007D4EEC"/>
    <w:rsid w:val="007D5DBB"/>
    <w:rsid w:val="007E0015"/>
    <w:rsid w:val="007F0E03"/>
    <w:rsid w:val="007F19DC"/>
    <w:rsid w:val="00807DDE"/>
    <w:rsid w:val="008153BF"/>
    <w:rsid w:val="00834B5E"/>
    <w:rsid w:val="0083587E"/>
    <w:rsid w:val="008427E3"/>
    <w:rsid w:val="00847542"/>
    <w:rsid w:val="00855583"/>
    <w:rsid w:val="00856421"/>
    <w:rsid w:val="00857ADD"/>
    <w:rsid w:val="008602FF"/>
    <w:rsid w:val="00872757"/>
    <w:rsid w:val="008756F9"/>
    <w:rsid w:val="00877689"/>
    <w:rsid w:val="0088621B"/>
    <w:rsid w:val="00886B61"/>
    <w:rsid w:val="008928AD"/>
    <w:rsid w:val="00894653"/>
    <w:rsid w:val="00896347"/>
    <w:rsid w:val="008C6ECD"/>
    <w:rsid w:val="008D1AF3"/>
    <w:rsid w:val="008D2BCD"/>
    <w:rsid w:val="008D4AF1"/>
    <w:rsid w:val="008D7B57"/>
    <w:rsid w:val="008E0AAC"/>
    <w:rsid w:val="008E19AE"/>
    <w:rsid w:val="008E31CE"/>
    <w:rsid w:val="008F365E"/>
    <w:rsid w:val="0090289B"/>
    <w:rsid w:val="00910CAC"/>
    <w:rsid w:val="009143C7"/>
    <w:rsid w:val="00930838"/>
    <w:rsid w:val="009337F4"/>
    <w:rsid w:val="00933849"/>
    <w:rsid w:val="00934A18"/>
    <w:rsid w:val="00940C51"/>
    <w:rsid w:val="0094182B"/>
    <w:rsid w:val="00944522"/>
    <w:rsid w:val="00944DBC"/>
    <w:rsid w:val="009467E3"/>
    <w:rsid w:val="0096238B"/>
    <w:rsid w:val="00962604"/>
    <w:rsid w:val="009748E3"/>
    <w:rsid w:val="00993964"/>
    <w:rsid w:val="0099430B"/>
    <w:rsid w:val="00995A90"/>
    <w:rsid w:val="00995E0C"/>
    <w:rsid w:val="009A10BA"/>
    <w:rsid w:val="009A508F"/>
    <w:rsid w:val="009A5099"/>
    <w:rsid w:val="009A676D"/>
    <w:rsid w:val="009B1F51"/>
    <w:rsid w:val="009B65F7"/>
    <w:rsid w:val="009D691A"/>
    <w:rsid w:val="009E70B6"/>
    <w:rsid w:val="009F3B3B"/>
    <w:rsid w:val="009F5930"/>
    <w:rsid w:val="00A06999"/>
    <w:rsid w:val="00A24435"/>
    <w:rsid w:val="00A25D4E"/>
    <w:rsid w:val="00A31CF2"/>
    <w:rsid w:val="00A33313"/>
    <w:rsid w:val="00A334BE"/>
    <w:rsid w:val="00A33B0A"/>
    <w:rsid w:val="00A347CD"/>
    <w:rsid w:val="00A36ADE"/>
    <w:rsid w:val="00A409B6"/>
    <w:rsid w:val="00A42A21"/>
    <w:rsid w:val="00A54FAD"/>
    <w:rsid w:val="00A6098C"/>
    <w:rsid w:val="00A63C59"/>
    <w:rsid w:val="00A8496F"/>
    <w:rsid w:val="00AB29A4"/>
    <w:rsid w:val="00AC1B3C"/>
    <w:rsid w:val="00AC7216"/>
    <w:rsid w:val="00AD1151"/>
    <w:rsid w:val="00AD540D"/>
    <w:rsid w:val="00AD6FDB"/>
    <w:rsid w:val="00AE3300"/>
    <w:rsid w:val="00AF0006"/>
    <w:rsid w:val="00AF4E9C"/>
    <w:rsid w:val="00AF5446"/>
    <w:rsid w:val="00AF72CD"/>
    <w:rsid w:val="00AF7F87"/>
    <w:rsid w:val="00B3210C"/>
    <w:rsid w:val="00B422D1"/>
    <w:rsid w:val="00B55E93"/>
    <w:rsid w:val="00B62AC8"/>
    <w:rsid w:val="00B6597B"/>
    <w:rsid w:val="00B662B9"/>
    <w:rsid w:val="00B849E1"/>
    <w:rsid w:val="00B84CF8"/>
    <w:rsid w:val="00B86143"/>
    <w:rsid w:val="00B90C8F"/>
    <w:rsid w:val="00BA10A4"/>
    <w:rsid w:val="00BA4B4D"/>
    <w:rsid w:val="00BB0B80"/>
    <w:rsid w:val="00BB444D"/>
    <w:rsid w:val="00BC0F93"/>
    <w:rsid w:val="00BC35F0"/>
    <w:rsid w:val="00BD5E49"/>
    <w:rsid w:val="00BE5014"/>
    <w:rsid w:val="00BE5A58"/>
    <w:rsid w:val="00BF205F"/>
    <w:rsid w:val="00C00579"/>
    <w:rsid w:val="00C0176A"/>
    <w:rsid w:val="00C10A53"/>
    <w:rsid w:val="00C13E17"/>
    <w:rsid w:val="00C23012"/>
    <w:rsid w:val="00C23492"/>
    <w:rsid w:val="00C24CC4"/>
    <w:rsid w:val="00C33A34"/>
    <w:rsid w:val="00C34630"/>
    <w:rsid w:val="00C42935"/>
    <w:rsid w:val="00C43161"/>
    <w:rsid w:val="00C63CE0"/>
    <w:rsid w:val="00C71CE4"/>
    <w:rsid w:val="00C86D87"/>
    <w:rsid w:val="00C935F8"/>
    <w:rsid w:val="00C95460"/>
    <w:rsid w:val="00CA1DCA"/>
    <w:rsid w:val="00CA58EA"/>
    <w:rsid w:val="00CB03EB"/>
    <w:rsid w:val="00CB6700"/>
    <w:rsid w:val="00CB78E3"/>
    <w:rsid w:val="00CD1EC1"/>
    <w:rsid w:val="00CD7F90"/>
    <w:rsid w:val="00CF2793"/>
    <w:rsid w:val="00CF4957"/>
    <w:rsid w:val="00CF6509"/>
    <w:rsid w:val="00CF6F63"/>
    <w:rsid w:val="00CF758A"/>
    <w:rsid w:val="00D05993"/>
    <w:rsid w:val="00D07503"/>
    <w:rsid w:val="00D15ED7"/>
    <w:rsid w:val="00D2690E"/>
    <w:rsid w:val="00D327DA"/>
    <w:rsid w:val="00D36107"/>
    <w:rsid w:val="00D40456"/>
    <w:rsid w:val="00D405BA"/>
    <w:rsid w:val="00D42906"/>
    <w:rsid w:val="00D509B9"/>
    <w:rsid w:val="00D522AF"/>
    <w:rsid w:val="00D543B9"/>
    <w:rsid w:val="00D54A98"/>
    <w:rsid w:val="00D56F56"/>
    <w:rsid w:val="00D62330"/>
    <w:rsid w:val="00D63F57"/>
    <w:rsid w:val="00D67F6B"/>
    <w:rsid w:val="00D71C96"/>
    <w:rsid w:val="00D73A7E"/>
    <w:rsid w:val="00D74186"/>
    <w:rsid w:val="00D76E18"/>
    <w:rsid w:val="00DB5693"/>
    <w:rsid w:val="00DC0EAD"/>
    <w:rsid w:val="00DC4D4C"/>
    <w:rsid w:val="00DD3342"/>
    <w:rsid w:val="00DD7AAF"/>
    <w:rsid w:val="00DE0F51"/>
    <w:rsid w:val="00DE5923"/>
    <w:rsid w:val="00DE7CF0"/>
    <w:rsid w:val="00E01876"/>
    <w:rsid w:val="00E01EA5"/>
    <w:rsid w:val="00E03C85"/>
    <w:rsid w:val="00E228D3"/>
    <w:rsid w:val="00E43B43"/>
    <w:rsid w:val="00E46BA7"/>
    <w:rsid w:val="00E5020A"/>
    <w:rsid w:val="00E6570F"/>
    <w:rsid w:val="00E748B6"/>
    <w:rsid w:val="00E81131"/>
    <w:rsid w:val="00E94798"/>
    <w:rsid w:val="00EA28C6"/>
    <w:rsid w:val="00EB044E"/>
    <w:rsid w:val="00EE12A6"/>
    <w:rsid w:val="00EE1FF1"/>
    <w:rsid w:val="00EE3388"/>
    <w:rsid w:val="00F0214C"/>
    <w:rsid w:val="00F031F8"/>
    <w:rsid w:val="00F10FDB"/>
    <w:rsid w:val="00F27AEB"/>
    <w:rsid w:val="00F40EF6"/>
    <w:rsid w:val="00F51F9A"/>
    <w:rsid w:val="00F56B3D"/>
    <w:rsid w:val="00F64007"/>
    <w:rsid w:val="00F67E0C"/>
    <w:rsid w:val="00F72C0E"/>
    <w:rsid w:val="00F74FDD"/>
    <w:rsid w:val="00F75042"/>
    <w:rsid w:val="00F775CC"/>
    <w:rsid w:val="00F83F1E"/>
    <w:rsid w:val="00F92D2F"/>
    <w:rsid w:val="00F94D7A"/>
    <w:rsid w:val="00FA1864"/>
    <w:rsid w:val="00FA1F61"/>
    <w:rsid w:val="00FC15E1"/>
    <w:rsid w:val="00FD0ABE"/>
    <w:rsid w:val="00FE54BB"/>
    <w:rsid w:val="00FE6BC7"/>
    <w:rsid w:val="00FF6C93"/>
    <w:rsid w:val="05A0E93D"/>
    <w:rsid w:val="0815BB59"/>
    <w:rsid w:val="126312DE"/>
    <w:rsid w:val="1663CD5A"/>
    <w:rsid w:val="180A424B"/>
    <w:rsid w:val="2290DE9C"/>
    <w:rsid w:val="23DA63FB"/>
    <w:rsid w:val="273C9BD1"/>
    <w:rsid w:val="303E50BD"/>
    <w:rsid w:val="34FE76C2"/>
    <w:rsid w:val="4D0ECF14"/>
    <w:rsid w:val="4DA5BD42"/>
    <w:rsid w:val="4F2EAA05"/>
    <w:rsid w:val="4F89DFF0"/>
    <w:rsid w:val="52A78513"/>
    <w:rsid w:val="5622DC4D"/>
    <w:rsid w:val="5B7576FC"/>
    <w:rsid w:val="5EAD54BB"/>
    <w:rsid w:val="6B79F9CA"/>
    <w:rsid w:val="7DEEE0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0E82E"/>
  <w15:chartTrackingRefBased/>
  <w15:docId w15:val="{ED585E3E-D3FE-4557-A56F-81EC596C0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8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8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8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8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8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8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8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8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8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8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8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8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8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8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8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8E3"/>
    <w:rPr>
      <w:rFonts w:eastAsiaTheme="majorEastAsia" w:cstheme="majorBidi"/>
      <w:color w:val="272727" w:themeColor="text1" w:themeTint="D8"/>
    </w:rPr>
  </w:style>
  <w:style w:type="paragraph" w:styleId="Title">
    <w:name w:val="Title"/>
    <w:basedOn w:val="Normal"/>
    <w:next w:val="Normal"/>
    <w:link w:val="TitleChar"/>
    <w:uiPriority w:val="10"/>
    <w:qFormat/>
    <w:rsid w:val="00CB7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8E3"/>
    <w:pPr>
      <w:spacing w:before="160"/>
      <w:jc w:val="center"/>
    </w:pPr>
    <w:rPr>
      <w:i/>
      <w:iCs/>
      <w:color w:val="404040" w:themeColor="text1" w:themeTint="BF"/>
    </w:rPr>
  </w:style>
  <w:style w:type="character" w:customStyle="1" w:styleId="QuoteChar">
    <w:name w:val="Quote Char"/>
    <w:basedOn w:val="DefaultParagraphFont"/>
    <w:link w:val="Quote"/>
    <w:uiPriority w:val="29"/>
    <w:rsid w:val="00CB78E3"/>
    <w:rPr>
      <w:i/>
      <w:iCs/>
      <w:color w:val="404040" w:themeColor="text1" w:themeTint="BF"/>
    </w:rPr>
  </w:style>
  <w:style w:type="paragraph" w:styleId="ListParagraph">
    <w:name w:val="List Paragraph"/>
    <w:basedOn w:val="Normal"/>
    <w:uiPriority w:val="34"/>
    <w:qFormat/>
    <w:rsid w:val="00CB78E3"/>
    <w:pPr>
      <w:ind w:left="720"/>
      <w:contextualSpacing/>
    </w:pPr>
  </w:style>
  <w:style w:type="character" w:styleId="IntenseEmphasis">
    <w:name w:val="Intense Emphasis"/>
    <w:basedOn w:val="DefaultParagraphFont"/>
    <w:uiPriority w:val="21"/>
    <w:qFormat/>
    <w:rsid w:val="00CB78E3"/>
    <w:rPr>
      <w:i/>
      <w:iCs/>
      <w:color w:val="0F4761" w:themeColor="accent1" w:themeShade="BF"/>
    </w:rPr>
  </w:style>
  <w:style w:type="paragraph" w:styleId="IntenseQuote">
    <w:name w:val="Intense Quote"/>
    <w:basedOn w:val="Normal"/>
    <w:next w:val="Normal"/>
    <w:link w:val="IntenseQuoteChar"/>
    <w:uiPriority w:val="30"/>
    <w:qFormat/>
    <w:rsid w:val="00CB7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8E3"/>
    <w:rPr>
      <w:i/>
      <w:iCs/>
      <w:color w:val="0F4761" w:themeColor="accent1" w:themeShade="BF"/>
    </w:rPr>
  </w:style>
  <w:style w:type="character" w:styleId="IntenseReference">
    <w:name w:val="Intense Reference"/>
    <w:basedOn w:val="DefaultParagraphFont"/>
    <w:uiPriority w:val="32"/>
    <w:qFormat/>
    <w:rsid w:val="00CB78E3"/>
    <w:rPr>
      <w:b/>
      <w:bCs/>
      <w:smallCaps/>
      <w:color w:val="0F4761" w:themeColor="accent1" w:themeShade="BF"/>
      <w:spacing w:val="5"/>
    </w:rPr>
  </w:style>
  <w:style w:type="character" w:styleId="Hyperlink">
    <w:name w:val="Hyperlink"/>
    <w:basedOn w:val="DefaultParagraphFont"/>
    <w:uiPriority w:val="99"/>
    <w:unhideWhenUsed/>
    <w:rsid w:val="00182E5A"/>
    <w:rPr>
      <w:color w:val="467886" w:themeColor="hyperlink"/>
      <w:u w:val="single"/>
    </w:rPr>
  </w:style>
  <w:style w:type="character" w:styleId="UnresolvedMention">
    <w:name w:val="Unresolved Mention"/>
    <w:basedOn w:val="DefaultParagraphFont"/>
    <w:uiPriority w:val="99"/>
    <w:semiHidden/>
    <w:unhideWhenUsed/>
    <w:rsid w:val="00182E5A"/>
    <w:rPr>
      <w:color w:val="605E5C"/>
      <w:shd w:val="clear" w:color="auto" w:fill="E1DFDD"/>
    </w:rPr>
  </w:style>
  <w:style w:type="paragraph" w:styleId="Revision">
    <w:name w:val="Revision"/>
    <w:hidden/>
    <w:uiPriority w:val="99"/>
    <w:semiHidden/>
    <w:rsid w:val="009028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F0C7D625A92F418E1438D618289E8B" ma:contentTypeVersion="17" ma:contentTypeDescription="Create a new document." ma:contentTypeScope="" ma:versionID="288561882799f78d141688ce3d0a6c30">
  <xsd:schema xmlns:xsd="http://www.w3.org/2001/XMLSchema" xmlns:xs="http://www.w3.org/2001/XMLSchema" xmlns:p="http://schemas.microsoft.com/office/2006/metadata/properties" xmlns:ns2="1ee69dd0-41bf-45e7-ac12-cc904e69ce9e" xmlns:ns3="5c892464-5523-47e9-98e6-fc2660ade71f" targetNamespace="http://schemas.microsoft.com/office/2006/metadata/properties" ma:root="true" ma:fieldsID="0bd73013d855e9d288a5606f0df31dd9" ns2:_="" ns3:_="">
    <xsd:import namespace="1ee69dd0-41bf-45e7-ac12-cc904e69ce9e"/>
    <xsd:import namespace="5c892464-5523-47e9-98e6-fc2660ade7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69dd0-41bf-45e7-ac12-cc904e69ce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3c6995-3e3f-4c40-9418-52743d0c8e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892464-5523-47e9-98e6-fc2660ade7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04ec54-5ec4-4510-bdfb-df9213d78850}" ma:internalName="TaxCatchAll" ma:showField="CatchAllData" ma:web="5c892464-5523-47e9-98e6-fc2660ade71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c892464-5523-47e9-98e6-fc2660ade71f" xsi:nil="true"/>
    <lcf76f155ced4ddcb4097134ff3c332f xmlns="1ee69dd0-41bf-45e7-ac12-cc904e69ce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87A4BE-E776-42A0-A38E-FB14003A7844}">
  <ds:schemaRefs>
    <ds:schemaRef ds:uri="http://schemas.microsoft.com/sharepoint/v3/contenttype/forms"/>
  </ds:schemaRefs>
</ds:datastoreItem>
</file>

<file path=customXml/itemProps2.xml><?xml version="1.0" encoding="utf-8"?>
<ds:datastoreItem xmlns:ds="http://schemas.openxmlformats.org/officeDocument/2006/customXml" ds:itemID="{AFB5FF51-BDA0-471E-8DE3-D039876E0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69dd0-41bf-45e7-ac12-cc904e69ce9e"/>
    <ds:schemaRef ds:uri="5c892464-5523-47e9-98e6-fc2660ade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88F263-F2AF-4C1F-BF38-DA81CB943092}">
  <ds:schemaRefs>
    <ds:schemaRef ds:uri="1ee69dd0-41bf-45e7-ac12-cc904e69ce9e"/>
    <ds:schemaRef ds:uri="http://purl.org/dc/dcmitype/"/>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schemas.microsoft.com/office/2006/metadata/properties"/>
    <ds:schemaRef ds:uri="5c892464-5523-47e9-98e6-fc2660ade71f"/>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3</Pages>
  <Words>748</Words>
  <Characters>4609</Characters>
  <Application>Microsoft Office Word</Application>
  <DocSecurity>0</DocSecurity>
  <Lines>73</Lines>
  <Paragraphs>25</Paragraphs>
  <ScaleCrop>false</ScaleCrop>
  <Company>University of Otago</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Mazzocco</dc:creator>
  <cp:keywords/>
  <dc:description/>
  <cp:lastModifiedBy>Patrick Mazzocco</cp:lastModifiedBy>
  <cp:revision>322</cp:revision>
  <dcterms:created xsi:type="dcterms:W3CDTF">2026-02-02T20:28:00Z</dcterms:created>
  <dcterms:modified xsi:type="dcterms:W3CDTF">2026-04-07T05:34:00Z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0x0101006BF0C7D625A92F418E1438D618289E8B</vt:lpwstr>
  </property>
  <property fmtid="{D5CDD505-2E9C-101B-9397-08002B2CF9AE}" pid="3" name="MediaServiceImageTags">
    <vt:lpwstr/>
  </property>
  <property fmtid="{D5CDD505-2E9C-101B-9397-08002B2CF9AE}" pid="4" name="MSIP_Label_c210257a-e422-4b1b-96d5-c518800de48f_Enabled">
    <vt:lpwstr>true</vt:lpwstr>
  </property>
  <property fmtid="{D5CDD505-2E9C-101B-9397-08002B2CF9AE}" pid="5" name="MSIP_Label_c210257a-e422-4b1b-96d5-c518800de48f_SetDate">
    <vt:lpwstr>2026-02-18T20:21:40Z</vt:lpwstr>
  </property>
  <property fmtid="{D5CDD505-2E9C-101B-9397-08002B2CF9AE}" pid="6" name="MSIP_Label_c210257a-e422-4b1b-96d5-c518800de48f_Method">
    <vt:lpwstr>Privileged</vt:lpwstr>
  </property>
  <property fmtid="{D5CDD505-2E9C-101B-9397-08002B2CF9AE}" pid="7" name="MSIP_Label_c210257a-e422-4b1b-96d5-c518800de48f_Name">
    <vt:lpwstr>Private Confidential</vt:lpwstr>
  </property>
  <property fmtid="{D5CDD505-2E9C-101B-9397-08002B2CF9AE}" pid="8" name="MSIP_Label_c210257a-e422-4b1b-96d5-c518800de48f_SiteId">
    <vt:lpwstr>0225efc5-78fe-4928-b157-9ef24809e9ba</vt:lpwstr>
  </property>
  <property fmtid="{D5CDD505-2E9C-101B-9397-08002B2CF9AE}" pid="9" name="MSIP_Label_c210257a-e422-4b1b-96d5-c518800de48f_ActionId">
    <vt:lpwstr>e056a2b5-ee18-4d97-906f-b7af8fbc8679</vt:lpwstr>
  </property>
  <property fmtid="{D5CDD505-2E9C-101B-9397-08002B2CF9AE}" pid="10" name="MSIP_Label_c210257a-e422-4b1b-96d5-c518800de48f_ContentBits">
    <vt:lpwstr>0</vt:lpwstr>
  </property>
  <property fmtid="{D5CDD505-2E9C-101B-9397-08002B2CF9AE}" pid="11" name="MSIP_Label_c210257a-e422-4b1b-96d5-c518800de48f_Tag">
    <vt:lpwstr>10, 0, 1, 1</vt:lpwstr>
  </property>
  <property fmtid="{D5CDD505-2E9C-101B-9397-08002B2CF9AE}" pid="12" name="docLang">
    <vt:lpwstr>en</vt:lpwstr>
  </property>
</Properties>
</file>