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Title: You can't navigate a future you don't understand </w:t>
      </w:r>
      <w:r w:rsidDel="00000000" w:rsidR="00000000" w:rsidRPr="00000000">
        <w:rPr>
          <w:rtl w:val="0"/>
        </w:rPr>
      </w:r>
    </w:p>
    <w:p w:rsidR="00000000" w:rsidDel="00000000" w:rsidP="00000000" w:rsidRDefault="00000000" w:rsidRPr="00000000" w14:paraId="00000002">
      <w:pPr>
        <w:spacing w:after="240" w:before="240"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Keywords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Behavioural profiling, Extended DISC, career decision-making, practitioner development, hauora</w:t>
      </w:r>
    </w:p>
    <w:p w:rsidR="00000000" w:rsidDel="00000000" w:rsidP="00000000" w:rsidRDefault="00000000" w:rsidRPr="00000000" w14:paraId="00000003">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Abstract</w:t>
      </w:r>
    </w:p>
    <w:p w:rsidR="00000000" w:rsidDel="00000000" w:rsidP="00000000" w:rsidRDefault="00000000" w:rsidRPr="00000000" w14:paraId="00000004">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Introduction</w:t>
      </w:r>
    </w:p>
    <w:p w:rsidR="00000000" w:rsidDel="00000000" w:rsidP="00000000" w:rsidRDefault="00000000" w:rsidRPr="00000000" w14:paraId="00000005">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Career indecision is rarely a knowledge problem, it is often an identity problem. When students and clients lack insight into their natural behavioural tendencies, motivators, and communication styles, even well-resourced guidance conversations can fall short. Career practitioners face a parallel challenge: without a shared language for understanding how individuals think, respond to change, and engage with the world, guidance risks becoming generic. Aotearoa New Zealand's bicultural context invites an expanded understanding of this challenge. Te Whare Tapa Whā, Mason Durie's foundational model of Māori wellbeing,  positions hauora (health and flourishing) as a function of four interconnected dimensions i.e. taha tinana, taha hinengaro, taha wairua, and taha whānau (Durie, 1998). This holistic framing reminds us that a person navigating career decisions brings their whole self, not merely their interests or qualifications, into that conversation. This workshop proposes that behavioural profiling, integrated ethically and intentionally into career education practice, can serve as a transformative bridge between who a person naturally is and the futures they choose to navigate.</w:t>
      </w:r>
    </w:p>
    <w:p w:rsidR="00000000" w:rsidDel="00000000" w:rsidP="00000000" w:rsidRDefault="00000000" w:rsidRPr="00000000" w14:paraId="00000006">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Objectives</w:t>
      </w:r>
    </w:p>
    <w:p w:rsidR="00000000" w:rsidDel="00000000" w:rsidP="00000000" w:rsidRDefault="00000000" w:rsidRPr="00000000" w14:paraId="00000007">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By the end of this workshop, participants will be able to:</w:t>
      </w:r>
    </w:p>
    <w:p w:rsidR="00000000" w:rsidDel="00000000" w:rsidP="00000000" w:rsidRDefault="00000000" w:rsidRPr="00000000" w14:paraId="00000008">
      <w:pPr>
        <w:numPr>
          <w:ilvl w:val="0"/>
          <w:numId w:val="1"/>
        </w:numPr>
        <w:spacing w:after="0" w:afterAutospacing="0" w:before="240"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Explain the core principles of Extended DISC as a behavioural profiling framework relevant to career guidance contexts</w:t>
      </w:r>
    </w:p>
    <w:p w:rsidR="00000000" w:rsidDel="00000000" w:rsidP="00000000" w:rsidRDefault="00000000" w:rsidRPr="00000000" w14:paraId="00000009">
      <w:pPr>
        <w:numPr>
          <w:ilvl w:val="0"/>
          <w:numId w:val="1"/>
        </w:numPr>
        <w:spacing w:after="0" w:afterAutospacing="0" w:before="0" w:beforeAutospacing="0"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Identify how a practitioner's profiling literacy can reduce bias and deepen personalisation in guidance conversations</w:t>
      </w:r>
    </w:p>
    <w:p w:rsidR="00000000" w:rsidDel="00000000" w:rsidP="00000000" w:rsidRDefault="00000000" w:rsidRPr="00000000" w14:paraId="0000000A">
      <w:pPr>
        <w:numPr>
          <w:ilvl w:val="0"/>
          <w:numId w:val="1"/>
        </w:numPr>
        <w:spacing w:after="0" w:afterAutospacing="0" w:before="0" w:beforeAutospacing="0"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Apply a basic profiling lens to a career conversation scenario</w:t>
      </w:r>
    </w:p>
    <w:p w:rsidR="00000000" w:rsidDel="00000000" w:rsidP="00000000" w:rsidRDefault="00000000" w:rsidRPr="00000000" w14:paraId="0000000B">
      <w:pPr>
        <w:numPr>
          <w:ilvl w:val="0"/>
          <w:numId w:val="1"/>
        </w:numPr>
        <w:spacing w:after="0" w:afterAutospacing="0" w:before="0" w:beforeAutospacing="0"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Evaluate the ethical considerations of introducing profiling tools with students and clients</w:t>
      </w:r>
    </w:p>
    <w:p w:rsidR="00000000" w:rsidDel="00000000" w:rsidP="00000000" w:rsidRDefault="00000000" w:rsidRPr="00000000" w14:paraId="0000000C">
      <w:pPr>
        <w:numPr>
          <w:ilvl w:val="0"/>
          <w:numId w:val="1"/>
        </w:numPr>
        <w:spacing w:after="240" w:before="0" w:beforeAutospacing="0"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Recognise emerging developments in profiling methodology and their potential application in career education</w:t>
      </w:r>
    </w:p>
    <w:p w:rsidR="00000000" w:rsidDel="00000000" w:rsidP="00000000" w:rsidRDefault="00000000" w:rsidRPr="00000000" w14:paraId="0000000D">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Theoretical Basis</w:t>
      </w:r>
    </w:p>
    <w:p w:rsidR="00000000" w:rsidDel="00000000" w:rsidP="00000000" w:rsidRDefault="00000000" w:rsidRPr="00000000" w14:paraId="0000000E">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This workshop is grounded in the intersection of behavioural psychology and career development theory. Extended DISC, built on William Marston's original DISC model, provides a validated framework for mapping natural and adapted behavioural styles across four dimensions i.e. Dominance, Influence, Steadiness, and Compliance (Marston, 1928; Extended DISC International, 2020). These dimensions offer practitioners a practical language for understanding how clients engage with challenge, change, and decision-making. This is contextualised within Savickas's Career Construction Theory (2005), which positions career development as a process of meaning-making rooted in personal narrative and identity, and Super's Life-Span, Life-Space Theory (1980), which recognises that self-concept is central to occupational choice. Together with Durie's (1998) holistic model of hauora, these frameworks support the argument that behavioural self-awareness is not supplementary to career guidance, it is foundational to it. The workshop will also introduce Drawmetrics, at the time of writing this abstract this tool has not yet been introduced in NZ, but has been used in other parts of the world. This tool offers a complementary lens for surfacing unconscious behavioural patterns. While pre-market, early applications suggest promising relevance for career development contexts.</w:t>
      </w:r>
    </w:p>
    <w:p w:rsidR="00000000" w:rsidDel="00000000" w:rsidP="00000000" w:rsidRDefault="00000000" w:rsidRPr="00000000" w14:paraId="0000000F">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Methodology</w:t>
      </w:r>
    </w:p>
    <w:p w:rsidR="00000000" w:rsidDel="00000000" w:rsidP="00000000" w:rsidRDefault="00000000" w:rsidRPr="00000000" w14:paraId="00000010">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This is an experiential workshop designed for active participation. The session will combine brief facilitated input, small group exploration, and paired practice. Participants will engage with a simplified Extended DISC profile overview, apply a profiling lens to a realistic guidance conversation case study, and reflect on how this framework could integrate into their own practice. The Drawmetrics methodology will be introduced through a participatory demonstration, inviting attendees to experience it firsthand.</w:t>
      </w:r>
    </w:p>
    <w:p w:rsidR="00000000" w:rsidDel="00000000" w:rsidP="00000000" w:rsidRDefault="00000000" w:rsidRPr="00000000" w14:paraId="00000011">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Results</w:t>
      </w:r>
    </w:p>
    <w:p w:rsidR="00000000" w:rsidDel="00000000" w:rsidP="00000000" w:rsidRDefault="00000000" w:rsidRPr="00000000" w14:paraId="00000012">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Drawing on the facilitator's applied experience across individual coaching and group facilitation with career practitioners, educators, and emerging professionals in Aotearoa New Zealand, this workshop presents real-world evidence that profiling literacy shifts guidance conversations from advice-giving to personalised exploration, increasing both practitioner confidence and client or student self-clarity.</w:t>
      </w:r>
    </w:p>
    <w:p w:rsidR="00000000" w:rsidDel="00000000" w:rsidP="00000000" w:rsidRDefault="00000000" w:rsidRPr="00000000" w14:paraId="00000013">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Conclusions</w:t>
      </w:r>
    </w:p>
    <w:p w:rsidR="00000000" w:rsidDel="00000000" w:rsidP="00000000" w:rsidRDefault="00000000" w:rsidRPr="00000000" w14:paraId="00000014">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Behavioural profiling, used ethically and skillfully, is a whole-system intervention, it sharpens the practitioner, deepens the conversation, and strengthens the student's capacity to make choices that align with their natural style. Seen through a te ao Māori lens, this approach honours the whole person, not just their vocational interests, but the full dimensions of who they are. As career guidance continues to evolve in complexity, tools that illuminate identity, not just interest or aptitude, will be essential to navigating the future.</w:t>
      </w:r>
    </w:p>
    <w:p w:rsidR="00000000" w:rsidDel="00000000" w:rsidP="00000000" w:rsidRDefault="00000000" w:rsidRPr="00000000" w14:paraId="00000015">
      <w:pPr>
        <w:spacing w:after="240" w:before="240"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Target Audience:</w:t>
      </w:r>
      <w:r w:rsidDel="00000000" w:rsidR="00000000" w:rsidRPr="00000000">
        <w:rPr>
          <w:rFonts w:ascii="Calibri" w:cs="Calibri" w:eastAsia="Calibri" w:hAnsi="Calibri"/>
          <w:rtl w:val="0"/>
        </w:rPr>
        <w:t xml:space="preserve"> Career practitioners, guidance counsellors, and career educators</w:t>
      </w:r>
    </w:p>
    <w:p w:rsidR="00000000" w:rsidDel="00000000" w:rsidP="00000000" w:rsidRDefault="00000000" w:rsidRPr="00000000" w14:paraId="00000016">
      <w:pPr>
        <w:spacing w:after="240" w:before="240"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Format:</w:t>
      </w:r>
      <w:r w:rsidDel="00000000" w:rsidR="00000000" w:rsidRPr="00000000">
        <w:rPr>
          <w:rFonts w:ascii="Calibri" w:cs="Calibri" w:eastAsia="Calibri" w:hAnsi="Calibri"/>
          <w:rtl w:val="0"/>
        </w:rPr>
        <w:t xml:space="preserve"> Experiential, facilitated input, case study exploration, paired practice, live demonstration</w:t>
      </w:r>
    </w:p>
    <w:p w:rsidR="00000000" w:rsidDel="00000000" w:rsidP="00000000" w:rsidRDefault="00000000" w:rsidRPr="00000000" w14:paraId="00000017">
      <w:pPr>
        <w:spacing w:after="240" w:before="240" w:line="36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8">
      <w:pPr>
        <w:spacing w:after="240" w:before="240"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References</w:t>
      </w:r>
    </w:p>
    <w:p w:rsidR="00000000" w:rsidDel="00000000" w:rsidP="00000000" w:rsidRDefault="00000000" w:rsidRPr="00000000" w14:paraId="00000019">
      <w:pPr>
        <w:spacing w:after="240" w:before="240" w:line="360" w:lineRule="auto"/>
        <w:jc w:val="both"/>
        <w:rPr>
          <w:rFonts w:ascii="Calibri" w:cs="Calibri" w:eastAsia="Calibri" w:hAnsi="Calibri"/>
          <w:color w:val="1155cc"/>
          <w:u w:val="single"/>
        </w:rPr>
      </w:pPr>
      <w:r w:rsidDel="00000000" w:rsidR="00000000" w:rsidRPr="00000000">
        <w:rPr>
          <w:rFonts w:ascii="Calibri" w:cs="Calibri" w:eastAsia="Calibri" w:hAnsi="Calibri"/>
          <w:rtl w:val="0"/>
        </w:rPr>
        <w:t xml:space="preserve">Durie, M. (1998). </w:t>
      </w:r>
      <w:r w:rsidDel="00000000" w:rsidR="00000000" w:rsidRPr="00000000">
        <w:rPr>
          <w:rFonts w:ascii="Calibri" w:cs="Calibri" w:eastAsia="Calibri" w:hAnsi="Calibri"/>
          <w:i w:val="1"/>
          <w:iCs w:val="1"/>
          <w:rtl w:val="0"/>
        </w:rPr>
        <w:t xml:space="preserve">Whaiora: Māori health development</w:t>
      </w:r>
      <w:r w:rsidDel="00000000" w:rsidR="00000000" w:rsidRPr="00000000">
        <w:rPr>
          <w:rFonts w:ascii="Calibri" w:cs="Calibri" w:eastAsia="Calibri" w:hAnsi="Calibri"/>
          <w:rtl w:val="0"/>
        </w:rPr>
        <w:t xml:space="preserve"> (2nd ed.). Oxford University Press. 🔗</w:t>
      </w:r>
      <w:hyperlink r:id="rId6">
        <w:r w:rsidDel="00000000" w:rsidR="00000000" w:rsidRPr="00000000">
          <w:rPr>
            <w:rFonts w:ascii="Calibri" w:cs="Calibri" w:eastAsia="Calibri" w:hAnsi="Calibri"/>
            <w:rtl w:val="0"/>
          </w:rPr>
          <w:t xml:space="preserve"> </w:t>
        </w:r>
      </w:hyperlink>
      <w:hyperlink r:id="rId7">
        <w:r w:rsidDel="00000000" w:rsidR="00000000" w:rsidRPr="00000000">
          <w:rPr>
            <w:rFonts w:ascii="Calibri" w:cs="Calibri" w:eastAsia="Calibri" w:hAnsi="Calibri"/>
            <w:color w:val="1155cc"/>
            <w:u w:val="single"/>
            <w:rtl w:val="0"/>
          </w:rPr>
          <w:t xml:space="preserve">https://www.health.govt.nz/maori-health/maori-health-models/te-whare-tapa-wha</w:t>
        </w:r>
      </w:hyperlink>
      <w:r w:rsidDel="00000000" w:rsidR="00000000" w:rsidRPr="00000000">
        <w:rPr>
          <w:rtl w:val="0"/>
        </w:rPr>
      </w:r>
    </w:p>
    <w:p w:rsidR="00000000" w:rsidDel="00000000" w:rsidP="00000000" w:rsidRDefault="00000000" w:rsidRPr="00000000" w14:paraId="0000001A">
      <w:pPr>
        <w:spacing w:after="240" w:before="240" w:line="360" w:lineRule="auto"/>
        <w:jc w:val="both"/>
        <w:rPr>
          <w:rFonts w:ascii="Calibri" w:cs="Calibri" w:eastAsia="Calibri" w:hAnsi="Calibri"/>
          <w:color w:val="1155cc"/>
          <w:u w:val="single"/>
        </w:rPr>
      </w:pPr>
      <w:r w:rsidDel="00000000" w:rsidR="00000000" w:rsidRPr="00000000">
        <w:rPr>
          <w:rFonts w:ascii="Calibri" w:cs="Calibri" w:eastAsia="Calibri" w:hAnsi="Calibri"/>
          <w:rtl w:val="0"/>
        </w:rPr>
        <w:t xml:space="preserve">Extended DISC International. (2020). </w:t>
      </w:r>
      <w:r w:rsidDel="00000000" w:rsidR="00000000" w:rsidRPr="00000000">
        <w:rPr>
          <w:rFonts w:ascii="Calibri" w:cs="Calibri" w:eastAsia="Calibri" w:hAnsi="Calibri"/>
          <w:i w:val="1"/>
          <w:iCs w:val="1"/>
          <w:rtl w:val="0"/>
        </w:rPr>
        <w:t xml:space="preserve">Extended DISC system: Theory and application</w:t>
      </w:r>
      <w:r w:rsidDel="00000000" w:rsidR="00000000" w:rsidRPr="00000000">
        <w:rPr>
          <w:rFonts w:ascii="Calibri" w:cs="Calibri" w:eastAsia="Calibri" w:hAnsi="Calibri"/>
          <w:rtl w:val="0"/>
        </w:rPr>
        <w:t xml:space="preserve">. Extended DISC International. 🔗</w:t>
      </w:r>
      <w:hyperlink r:id="rId8">
        <w:r w:rsidDel="00000000" w:rsidR="00000000" w:rsidRPr="00000000">
          <w:rPr>
            <w:rFonts w:ascii="Calibri" w:cs="Calibri" w:eastAsia="Calibri" w:hAnsi="Calibri"/>
            <w:rtl w:val="0"/>
          </w:rPr>
          <w:t xml:space="preserve"> </w:t>
        </w:r>
      </w:hyperlink>
      <w:hyperlink r:id="rId9">
        <w:r w:rsidDel="00000000" w:rsidR="00000000" w:rsidRPr="00000000">
          <w:rPr>
            <w:rFonts w:ascii="Calibri" w:cs="Calibri" w:eastAsia="Calibri" w:hAnsi="Calibri"/>
            <w:color w:val="1155cc"/>
            <w:u w:val="single"/>
            <w:rtl w:val="0"/>
          </w:rPr>
          <w:t xml:space="preserve">https://www.extendeddisc.org</w:t>
        </w:r>
      </w:hyperlink>
      <w:r w:rsidDel="00000000" w:rsidR="00000000" w:rsidRPr="00000000">
        <w:rPr>
          <w:rtl w:val="0"/>
        </w:rPr>
      </w:r>
    </w:p>
    <w:p w:rsidR="00000000" w:rsidDel="00000000" w:rsidP="00000000" w:rsidRDefault="00000000" w:rsidRPr="00000000" w14:paraId="0000001B">
      <w:pPr>
        <w:spacing w:after="240" w:before="240" w:line="360" w:lineRule="auto"/>
        <w:jc w:val="both"/>
        <w:rPr>
          <w:rFonts w:ascii="Calibri" w:cs="Calibri" w:eastAsia="Calibri" w:hAnsi="Calibri"/>
          <w:color w:val="1155cc"/>
          <w:u w:val="single"/>
        </w:rPr>
      </w:pPr>
      <w:r w:rsidDel="00000000" w:rsidR="00000000" w:rsidRPr="00000000">
        <w:rPr>
          <w:rFonts w:ascii="Calibri" w:cs="Calibri" w:eastAsia="Calibri" w:hAnsi="Calibri"/>
          <w:rtl w:val="0"/>
        </w:rPr>
        <w:t xml:space="preserve">Marston, W. M. (1928). </w:t>
      </w:r>
      <w:r w:rsidDel="00000000" w:rsidR="00000000" w:rsidRPr="00000000">
        <w:rPr>
          <w:rFonts w:ascii="Calibri" w:cs="Calibri" w:eastAsia="Calibri" w:hAnsi="Calibri"/>
          <w:i w:val="1"/>
          <w:iCs w:val="1"/>
          <w:rtl w:val="0"/>
        </w:rPr>
        <w:t xml:space="preserve">Emotions of normal people</w:t>
      </w:r>
      <w:r w:rsidDel="00000000" w:rsidR="00000000" w:rsidRPr="00000000">
        <w:rPr>
          <w:rFonts w:ascii="Calibri" w:cs="Calibri" w:eastAsia="Calibri" w:hAnsi="Calibri"/>
          <w:rtl w:val="0"/>
        </w:rPr>
        <w:t xml:space="preserve">. Kegan Paul, Trench, Trubner &amp; Co. 🔗</w:t>
      </w:r>
      <w:hyperlink r:id="rId10">
        <w:r w:rsidDel="00000000" w:rsidR="00000000" w:rsidRPr="00000000">
          <w:rPr>
            <w:rFonts w:ascii="Calibri" w:cs="Calibri" w:eastAsia="Calibri" w:hAnsi="Calibri"/>
            <w:rtl w:val="0"/>
          </w:rPr>
          <w:t xml:space="preserve"> </w:t>
        </w:r>
      </w:hyperlink>
      <w:hyperlink r:id="rId11">
        <w:r w:rsidDel="00000000" w:rsidR="00000000" w:rsidRPr="00000000">
          <w:rPr>
            <w:rFonts w:ascii="Calibri" w:cs="Calibri" w:eastAsia="Calibri" w:hAnsi="Calibri"/>
            <w:color w:val="1155cc"/>
            <w:u w:val="single"/>
            <w:rtl w:val="0"/>
          </w:rPr>
          <w:t xml:space="preserve">https://archive.org/details/emotionsofnormal0000mars</w:t>
        </w:r>
      </w:hyperlink>
      <w:r w:rsidDel="00000000" w:rsidR="00000000" w:rsidRPr="00000000">
        <w:rPr>
          <w:rtl w:val="0"/>
        </w:rPr>
      </w:r>
    </w:p>
    <w:p w:rsidR="00000000" w:rsidDel="00000000" w:rsidP="00000000" w:rsidRDefault="00000000" w:rsidRPr="00000000" w14:paraId="0000001C">
      <w:pPr>
        <w:spacing w:after="240" w:before="240" w:line="360" w:lineRule="auto"/>
        <w:jc w:val="both"/>
        <w:rPr>
          <w:rFonts w:ascii="Calibri" w:cs="Calibri" w:eastAsia="Calibri" w:hAnsi="Calibri"/>
          <w:color w:val="1155cc"/>
          <w:u w:val="single"/>
        </w:rPr>
      </w:pPr>
      <w:r w:rsidDel="00000000" w:rsidR="00000000" w:rsidRPr="00000000">
        <w:rPr>
          <w:rFonts w:ascii="Calibri" w:cs="Calibri" w:eastAsia="Calibri" w:hAnsi="Calibri"/>
          <w:rtl w:val="0"/>
        </w:rPr>
        <w:t xml:space="preserve">Savickas, M. L. (2005). The theory and practice of career construction. In S. D. Brown &amp; R. W. Lent (Eds.), </w:t>
      </w:r>
      <w:r w:rsidDel="00000000" w:rsidR="00000000" w:rsidRPr="00000000">
        <w:rPr>
          <w:rFonts w:ascii="Calibri" w:cs="Calibri" w:eastAsia="Calibri" w:hAnsi="Calibri"/>
          <w:i w:val="1"/>
          <w:iCs w:val="1"/>
          <w:rtl w:val="0"/>
        </w:rPr>
        <w:t xml:space="preserve">Career development and counseling: Putting theory and research to work</w:t>
      </w:r>
      <w:r w:rsidDel="00000000" w:rsidR="00000000" w:rsidRPr="00000000">
        <w:rPr>
          <w:rFonts w:ascii="Calibri" w:cs="Calibri" w:eastAsia="Calibri" w:hAnsi="Calibri"/>
          <w:rtl w:val="0"/>
        </w:rPr>
        <w:t xml:space="preserve"> (pp. 42–70). Wiley. 🔗</w:t>
      </w:r>
      <w:hyperlink r:id="rId12">
        <w:r w:rsidDel="00000000" w:rsidR="00000000" w:rsidRPr="00000000">
          <w:rPr>
            <w:rFonts w:ascii="Calibri" w:cs="Calibri" w:eastAsia="Calibri" w:hAnsi="Calibri"/>
            <w:rtl w:val="0"/>
          </w:rPr>
          <w:t xml:space="preserve"> </w:t>
        </w:r>
      </w:hyperlink>
      <w:hyperlink r:id="rId13">
        <w:r w:rsidDel="00000000" w:rsidR="00000000" w:rsidRPr="00000000">
          <w:rPr>
            <w:rFonts w:ascii="Calibri" w:cs="Calibri" w:eastAsia="Calibri" w:hAnsi="Calibri"/>
            <w:color w:val="1155cc"/>
            <w:u w:val="single"/>
            <w:rtl w:val="0"/>
          </w:rPr>
          <w:t xml:space="preserve">https://www.marksavickas.com/files/1_Savickas_bio/Interviews/Savickas%20Publications/Book%20Chapters/Theory_and_Practice_of_Career_Construction.pdf</w:t>
        </w:r>
      </w:hyperlink>
      <w:r w:rsidDel="00000000" w:rsidR="00000000" w:rsidRPr="00000000">
        <w:rPr>
          <w:rtl w:val="0"/>
        </w:rPr>
      </w:r>
    </w:p>
    <w:p w:rsidR="00000000" w:rsidDel="00000000" w:rsidP="00000000" w:rsidRDefault="00000000" w:rsidRPr="00000000" w14:paraId="0000001D">
      <w:pPr>
        <w:spacing w:after="240" w:before="240" w:line="360" w:lineRule="auto"/>
        <w:jc w:val="both"/>
        <w:rPr>
          <w:rFonts w:ascii="Calibri" w:cs="Calibri" w:eastAsia="Calibri" w:hAnsi="Calibri"/>
          <w:color w:val="1155cc"/>
          <w:u w:val="single"/>
        </w:rPr>
      </w:pPr>
      <w:r w:rsidDel="00000000" w:rsidR="00000000" w:rsidRPr="00000000">
        <w:rPr>
          <w:rFonts w:ascii="Calibri" w:cs="Calibri" w:eastAsia="Calibri" w:hAnsi="Calibri"/>
          <w:rtl w:val="0"/>
        </w:rPr>
        <w:t xml:space="preserve">Super, D. E. (1980). A life-span, life-space approach to career development. </w:t>
      </w:r>
      <w:r w:rsidDel="00000000" w:rsidR="00000000" w:rsidRPr="00000000">
        <w:rPr>
          <w:rFonts w:ascii="Calibri" w:cs="Calibri" w:eastAsia="Calibri" w:hAnsi="Calibri"/>
          <w:i w:val="1"/>
          <w:iCs w:val="1"/>
          <w:rtl w:val="0"/>
        </w:rPr>
        <w:t xml:space="preserve">Journal of Vocational Behavior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16</w:t>
      </w:r>
      <w:r w:rsidDel="00000000" w:rsidR="00000000" w:rsidRPr="00000000">
        <w:rPr>
          <w:rFonts w:ascii="Calibri" w:cs="Calibri" w:eastAsia="Calibri" w:hAnsi="Calibri"/>
          <w:rtl w:val="0"/>
        </w:rPr>
        <w:t xml:space="preserve">(3), 282–298.</w:t>
      </w:r>
      <w:hyperlink r:id="rId14">
        <w:r w:rsidDel="00000000" w:rsidR="00000000" w:rsidRPr="00000000">
          <w:rPr>
            <w:rFonts w:ascii="Calibri" w:cs="Calibri" w:eastAsia="Calibri" w:hAnsi="Calibri"/>
            <w:rtl w:val="0"/>
          </w:rPr>
          <w:t xml:space="preserve"> </w:t>
        </w:r>
      </w:hyperlink>
      <w:hyperlink r:id="rId15">
        <w:r w:rsidDel="00000000" w:rsidR="00000000" w:rsidRPr="00000000">
          <w:rPr>
            <w:rFonts w:ascii="Calibri" w:cs="Calibri" w:eastAsia="Calibri" w:hAnsi="Calibri"/>
            <w:color w:val="1155cc"/>
            <w:u w:val="single"/>
            <w:rtl w:val="0"/>
          </w:rPr>
          <w:t xml:space="preserve">https://doi.org/10.1016/0001-8791(80)90056-1</w:t>
        </w:r>
      </w:hyperlink>
      <w:r w:rsidDel="00000000" w:rsidR="00000000" w:rsidRPr="00000000">
        <w:rPr>
          <w:rFonts w:ascii="Calibri" w:cs="Calibri" w:eastAsia="Calibri" w:hAnsi="Calibri"/>
          <w:rtl w:val="0"/>
        </w:rPr>
        <w:t xml:space="preserve"> 🔗</w:t>
      </w:r>
      <w:hyperlink r:id="rId16">
        <w:r w:rsidDel="00000000" w:rsidR="00000000" w:rsidRPr="00000000">
          <w:rPr>
            <w:rFonts w:ascii="Calibri" w:cs="Calibri" w:eastAsia="Calibri" w:hAnsi="Calibri"/>
            <w:rtl w:val="0"/>
          </w:rPr>
          <w:t xml:space="preserve"> </w:t>
        </w:r>
      </w:hyperlink>
      <w:hyperlink r:id="rId17">
        <w:r w:rsidDel="00000000" w:rsidR="00000000" w:rsidRPr="00000000">
          <w:rPr>
            <w:rFonts w:ascii="Calibri" w:cs="Calibri" w:eastAsia="Calibri" w:hAnsi="Calibri"/>
            <w:color w:val="1155cc"/>
            <w:u w:val="single"/>
            <w:rtl w:val="0"/>
          </w:rPr>
          <w:t xml:space="preserve">https://www.scienceopen.com/document?vid=f40b8d0b-99be-4a4d-9ba0-7f929435a6aa</w:t>
        </w:r>
      </w:hyperlink>
      <w:r w:rsidDel="00000000" w:rsidR="00000000" w:rsidRPr="00000000">
        <w:rPr>
          <w:rtl w:val="0"/>
        </w:rPr>
      </w:r>
    </w:p>
    <w:p w:rsidR="00000000" w:rsidDel="00000000" w:rsidP="00000000" w:rsidRDefault="00000000" w:rsidRPr="00000000" w14:paraId="0000001E">
      <w:pPr>
        <w:spacing w:line="360" w:lineRule="auto"/>
        <w:jc w:val="both"/>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rchive.org/details/emotionsofnormal0000mars" TargetMode="External"/><Relationship Id="rId10" Type="http://schemas.openxmlformats.org/officeDocument/2006/relationships/hyperlink" Target="https://archive.org/details/emotionsofnormal0000mars" TargetMode="External"/><Relationship Id="rId13" Type="http://schemas.openxmlformats.org/officeDocument/2006/relationships/hyperlink" Target="https://www.marksavickas.com/files/1_Savickas_bio/Interviews/Savickas%20Publications/Book%20Chapters/Theory_and_Practice_of_Career_Construction.pdf" TargetMode="External"/><Relationship Id="rId12" Type="http://schemas.openxmlformats.org/officeDocument/2006/relationships/hyperlink" Target="https://www.marksavickas.com/files/1_Savickas_bio/Interviews/Savickas%20Publications/Book%20Chapters/Theory_and_Practice_of_Career_Construction.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xtendeddisc.org" TargetMode="External"/><Relationship Id="rId15" Type="http://schemas.openxmlformats.org/officeDocument/2006/relationships/hyperlink" Target="https://doi.org/10.1016/0001-8791(80)90056-1" TargetMode="External"/><Relationship Id="rId14" Type="http://schemas.openxmlformats.org/officeDocument/2006/relationships/hyperlink" Target="https://doi.org/10.1016/0001-8791(80)90056-1" TargetMode="External"/><Relationship Id="rId17" Type="http://schemas.openxmlformats.org/officeDocument/2006/relationships/hyperlink" Target="https://www.scienceopen.com/document?vid=f40b8d0b-99be-4a4d-9ba0-7f929435a6aa" TargetMode="External"/><Relationship Id="rId16" Type="http://schemas.openxmlformats.org/officeDocument/2006/relationships/hyperlink" Target="https://www.scienceopen.com/document?vid=f40b8d0b-99be-4a4d-9ba0-7f929435a6aa" TargetMode="External"/><Relationship Id="rId5" Type="http://schemas.openxmlformats.org/officeDocument/2006/relationships/styles" Target="styles.xml"/><Relationship Id="rId6" Type="http://schemas.openxmlformats.org/officeDocument/2006/relationships/hyperlink" Target="https://www.health.govt.nz/maori-health/maori-health-models/te-whare-tapa-wha" TargetMode="External"/><Relationship Id="rId7" Type="http://schemas.openxmlformats.org/officeDocument/2006/relationships/hyperlink" Target="https://www.health.govt.nz/maori-health/maori-health-models/te-whare-tapa-wha" TargetMode="External"/><Relationship Id="rId8" Type="http://schemas.openxmlformats.org/officeDocument/2006/relationships/hyperlink" Target="https://www.extendeddis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