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7FB33" w14:textId="77777777" w:rsidR="00017AF1" w:rsidRPr="00F13971" w:rsidRDefault="00017AF1" w:rsidP="00017AF1">
      <w:pPr>
        <w:spacing w:after="0" w:line="360" w:lineRule="auto"/>
        <w:jc w:val="center"/>
        <w:rPr>
          <w:b/>
          <w:bCs/>
          <w:i/>
          <w:iCs/>
          <w:lang w:val="en-US"/>
        </w:rPr>
      </w:pPr>
      <w:r w:rsidRPr="00F13971">
        <w:rPr>
          <w:b/>
          <w:bCs/>
          <w:i/>
          <w:iCs/>
          <w:lang w:val="en-US"/>
        </w:rPr>
        <w:t>Paper session proposal</w:t>
      </w:r>
    </w:p>
    <w:p w14:paraId="73FCBA53" w14:textId="77777777" w:rsidR="00017AF1" w:rsidRPr="00760D7F" w:rsidRDefault="00017AF1" w:rsidP="00017AF1">
      <w:pPr>
        <w:spacing w:after="360" w:line="360" w:lineRule="auto"/>
        <w:jc w:val="center"/>
        <w:rPr>
          <w:b/>
          <w:bCs/>
          <w:i/>
          <w:iCs/>
          <w:lang w:val="en-US"/>
        </w:rPr>
      </w:pPr>
      <w:r w:rsidRPr="00033B31">
        <w:rPr>
          <w:b/>
          <w:bCs/>
          <w:i/>
          <w:iCs/>
          <w:lang w:val="en-US"/>
        </w:rPr>
        <w:t>IAEVG International Conference 202</w:t>
      </w:r>
      <w:r>
        <w:rPr>
          <w:b/>
          <w:bCs/>
          <w:i/>
          <w:iCs/>
          <w:lang w:val="en-US"/>
        </w:rPr>
        <w:t>6</w:t>
      </w:r>
      <w:r w:rsidRPr="00033B31">
        <w:rPr>
          <w:b/>
          <w:bCs/>
          <w:i/>
          <w:iCs/>
          <w:lang w:val="en-US"/>
        </w:rPr>
        <w:t xml:space="preserve">: </w:t>
      </w:r>
      <w:r>
        <w:rPr>
          <w:b/>
          <w:bCs/>
          <w:i/>
          <w:iCs/>
          <w:lang w:val="en-US"/>
        </w:rPr>
        <w:t>Navigating the Future</w:t>
      </w:r>
    </w:p>
    <w:p w14:paraId="37D26962" w14:textId="77777777" w:rsidR="00017AF1" w:rsidRDefault="00017AF1" w:rsidP="009E653C">
      <w:pPr>
        <w:jc w:val="both"/>
        <w:rPr>
          <w:rFonts w:ascii="Times New Roman" w:hAnsi="Times New Roman" w:cs="Times New Roman"/>
          <w:sz w:val="24"/>
          <w:szCs w:val="24"/>
          <w:lang w:val="en-CA"/>
        </w:rPr>
      </w:pPr>
    </w:p>
    <w:p w14:paraId="02F1548A" w14:textId="6566E7AB" w:rsidR="006B26F8" w:rsidRPr="00E579D4" w:rsidRDefault="006B26F8" w:rsidP="009E653C">
      <w:pPr>
        <w:jc w:val="both"/>
        <w:rPr>
          <w:rFonts w:ascii="Times New Roman" w:hAnsi="Times New Roman" w:cs="Times New Roman"/>
          <w:sz w:val="24"/>
          <w:szCs w:val="24"/>
          <w:lang w:val="en-CA"/>
        </w:rPr>
      </w:pPr>
      <w:r w:rsidRPr="00E579D4">
        <w:rPr>
          <w:rFonts w:ascii="Times New Roman" w:hAnsi="Times New Roman" w:cs="Times New Roman"/>
          <w:sz w:val="24"/>
          <w:szCs w:val="24"/>
          <w:lang w:val="en-CA"/>
        </w:rPr>
        <w:t xml:space="preserve">Fist author: Patricia Dionne, Titular (full) Professor in the Département d’orientation </w:t>
      </w:r>
      <w:proofErr w:type="spellStart"/>
      <w:r w:rsidRPr="00E579D4">
        <w:rPr>
          <w:rFonts w:ascii="Times New Roman" w:hAnsi="Times New Roman" w:cs="Times New Roman"/>
          <w:sz w:val="24"/>
          <w:szCs w:val="24"/>
          <w:lang w:val="en-CA"/>
        </w:rPr>
        <w:t>professionnelle</w:t>
      </w:r>
      <w:proofErr w:type="spellEnd"/>
      <w:r w:rsidRPr="00E579D4">
        <w:rPr>
          <w:rFonts w:ascii="Times New Roman" w:hAnsi="Times New Roman" w:cs="Times New Roman"/>
          <w:sz w:val="24"/>
          <w:szCs w:val="24"/>
          <w:lang w:val="en-CA"/>
        </w:rPr>
        <w:t xml:space="preserve"> at Université de Sherbrooke, </w:t>
      </w:r>
      <w:r w:rsidR="00E579D4" w:rsidRPr="00E579D4">
        <w:rPr>
          <w:rFonts w:ascii="Times New Roman" w:hAnsi="Times New Roman" w:cs="Times New Roman"/>
          <w:sz w:val="24"/>
          <w:szCs w:val="24"/>
          <w:lang w:val="en-CA"/>
        </w:rPr>
        <w:t>Sherbrooke</w:t>
      </w:r>
      <w:r w:rsidRPr="00E579D4">
        <w:rPr>
          <w:rFonts w:ascii="Times New Roman" w:hAnsi="Times New Roman" w:cs="Times New Roman"/>
          <w:sz w:val="24"/>
          <w:szCs w:val="24"/>
          <w:lang w:val="en-CA"/>
        </w:rPr>
        <w:t xml:space="preserve"> (Canada)</w:t>
      </w:r>
    </w:p>
    <w:p w14:paraId="582241D6" w14:textId="38032FA9" w:rsidR="006B26F8" w:rsidRPr="00E579D4" w:rsidRDefault="006B26F8" w:rsidP="009E653C">
      <w:pPr>
        <w:jc w:val="both"/>
        <w:rPr>
          <w:rFonts w:ascii="Times New Roman" w:hAnsi="Times New Roman" w:cs="Times New Roman"/>
          <w:sz w:val="24"/>
          <w:szCs w:val="24"/>
          <w:lang w:val="en-CA"/>
        </w:rPr>
      </w:pPr>
      <w:hyperlink r:id="rId8" w:history="1">
        <w:r w:rsidRPr="00E579D4">
          <w:rPr>
            <w:rStyle w:val="Hyperlink"/>
            <w:rFonts w:ascii="Times New Roman" w:hAnsi="Times New Roman" w:cs="Times New Roman"/>
            <w:sz w:val="24"/>
            <w:szCs w:val="24"/>
            <w:lang w:val="en-CA"/>
          </w:rPr>
          <w:t>patricia.dionne@usherbrooke.ca</w:t>
        </w:r>
      </w:hyperlink>
    </w:p>
    <w:p w14:paraId="695A7913" w14:textId="45C277DA" w:rsidR="006B26F8" w:rsidRPr="00E579D4" w:rsidRDefault="00E579D4" w:rsidP="009E653C">
      <w:pPr>
        <w:jc w:val="both"/>
        <w:rPr>
          <w:rFonts w:ascii="Times New Roman" w:hAnsi="Times New Roman" w:cs="Times New Roman"/>
          <w:sz w:val="24"/>
          <w:szCs w:val="24"/>
          <w:lang w:val="en-CA"/>
        </w:rPr>
      </w:pPr>
      <w:r w:rsidRPr="00E579D4">
        <w:rPr>
          <w:rFonts w:ascii="Times New Roman" w:hAnsi="Times New Roman" w:cs="Times New Roman"/>
          <w:sz w:val="24"/>
          <w:szCs w:val="24"/>
          <w:lang w:val="en-CA"/>
        </w:rPr>
        <w:t xml:space="preserve">Second author: </w:t>
      </w:r>
      <w:r w:rsidR="006B26F8" w:rsidRPr="00E579D4">
        <w:rPr>
          <w:rFonts w:ascii="Times New Roman" w:hAnsi="Times New Roman" w:cs="Times New Roman"/>
          <w:sz w:val="24"/>
          <w:szCs w:val="24"/>
          <w:lang w:val="en-CA"/>
        </w:rPr>
        <w:t xml:space="preserve">Julie Chabot, </w:t>
      </w:r>
      <w:r w:rsidRPr="00E579D4">
        <w:rPr>
          <w:rFonts w:ascii="Times New Roman" w:hAnsi="Times New Roman" w:cs="Times New Roman"/>
          <w:sz w:val="24"/>
          <w:szCs w:val="24"/>
          <w:lang w:val="en-CA"/>
        </w:rPr>
        <w:t>doctoral student, Université de Sherbrooke, Sherbrooke (Canada)</w:t>
      </w:r>
    </w:p>
    <w:p w14:paraId="16642C45" w14:textId="7034D5CE" w:rsidR="00E579D4" w:rsidRPr="00E579D4" w:rsidRDefault="00E579D4" w:rsidP="00E579D4">
      <w:pPr>
        <w:jc w:val="both"/>
        <w:rPr>
          <w:rFonts w:ascii="Times New Roman" w:hAnsi="Times New Roman" w:cs="Times New Roman"/>
          <w:sz w:val="24"/>
          <w:szCs w:val="24"/>
          <w:lang w:val="en-CA"/>
        </w:rPr>
      </w:pPr>
      <w:r w:rsidRPr="00E579D4">
        <w:rPr>
          <w:rFonts w:ascii="Times New Roman" w:hAnsi="Times New Roman" w:cs="Times New Roman"/>
          <w:sz w:val="24"/>
          <w:szCs w:val="24"/>
          <w:lang w:val="en-CA"/>
        </w:rPr>
        <w:t xml:space="preserve">Third author: Eddy Supeno, Titular (full) Professor in the Département d’orientation </w:t>
      </w:r>
      <w:proofErr w:type="spellStart"/>
      <w:r w:rsidRPr="00E579D4">
        <w:rPr>
          <w:rFonts w:ascii="Times New Roman" w:hAnsi="Times New Roman" w:cs="Times New Roman"/>
          <w:sz w:val="24"/>
          <w:szCs w:val="24"/>
          <w:lang w:val="en-CA"/>
        </w:rPr>
        <w:t>professionnelle</w:t>
      </w:r>
      <w:proofErr w:type="spellEnd"/>
      <w:r w:rsidRPr="00E579D4">
        <w:rPr>
          <w:rFonts w:ascii="Times New Roman" w:hAnsi="Times New Roman" w:cs="Times New Roman"/>
          <w:sz w:val="24"/>
          <w:szCs w:val="24"/>
          <w:lang w:val="en-CA"/>
        </w:rPr>
        <w:t xml:space="preserve"> at Université de Sherbrooke, Sherbrooke (Canada)</w:t>
      </w:r>
    </w:p>
    <w:p w14:paraId="418FD922" w14:textId="1C030E6A" w:rsidR="00E579D4" w:rsidRPr="00E579D4" w:rsidRDefault="00E579D4" w:rsidP="009E653C">
      <w:pPr>
        <w:jc w:val="both"/>
        <w:rPr>
          <w:rFonts w:ascii="Times New Roman" w:hAnsi="Times New Roman" w:cs="Times New Roman"/>
          <w:b/>
          <w:bCs/>
          <w:sz w:val="24"/>
          <w:szCs w:val="24"/>
          <w:lang w:val="en-CA"/>
        </w:rPr>
      </w:pPr>
    </w:p>
    <w:p w14:paraId="1E46FE29" w14:textId="1302865A" w:rsidR="009E653C" w:rsidRDefault="00E579D4" w:rsidP="009E653C">
      <w:pPr>
        <w:jc w:val="both"/>
        <w:rPr>
          <w:rFonts w:ascii="Times New Roman" w:hAnsi="Times New Roman" w:cs="Times New Roman"/>
          <w:b/>
          <w:bCs/>
          <w:sz w:val="24"/>
          <w:szCs w:val="24"/>
          <w:lang w:val="en-CA"/>
        </w:rPr>
      </w:pPr>
      <w:r>
        <w:rPr>
          <w:rFonts w:ascii="Times New Roman" w:hAnsi="Times New Roman" w:cs="Times New Roman"/>
          <w:b/>
          <w:bCs/>
          <w:sz w:val="24"/>
          <w:szCs w:val="24"/>
          <w:lang w:val="en-CA"/>
        </w:rPr>
        <w:t>Title: C</w:t>
      </w:r>
      <w:r w:rsidR="009E653C" w:rsidRPr="000F0696">
        <w:rPr>
          <w:rFonts w:ascii="Times New Roman" w:hAnsi="Times New Roman" w:cs="Times New Roman"/>
          <w:b/>
          <w:bCs/>
          <w:sz w:val="24"/>
          <w:szCs w:val="24"/>
          <w:lang w:val="en-CA"/>
        </w:rPr>
        <w:t xml:space="preserve">ollective Guidance Projects to Address Long-Term Unemployment: Toward a Sustainable </w:t>
      </w:r>
      <w:r w:rsidR="00A4601A" w:rsidRPr="000F0696">
        <w:rPr>
          <w:rFonts w:ascii="Times New Roman" w:hAnsi="Times New Roman" w:cs="Times New Roman"/>
          <w:b/>
          <w:bCs/>
          <w:sz w:val="24"/>
          <w:szCs w:val="24"/>
          <w:lang w:val="en-CA"/>
        </w:rPr>
        <w:t>intervention</w:t>
      </w:r>
      <w:r w:rsidR="009E653C" w:rsidRPr="000F0696">
        <w:rPr>
          <w:rFonts w:ascii="Times New Roman" w:hAnsi="Times New Roman" w:cs="Times New Roman"/>
          <w:b/>
          <w:bCs/>
          <w:sz w:val="24"/>
          <w:szCs w:val="24"/>
          <w:lang w:val="en-CA"/>
        </w:rPr>
        <w:t>?</w:t>
      </w:r>
    </w:p>
    <w:p w14:paraId="7AB2A0E2" w14:textId="21DB683A" w:rsidR="006B26F8" w:rsidRDefault="006B26F8" w:rsidP="009E653C">
      <w:pPr>
        <w:jc w:val="both"/>
        <w:rPr>
          <w:rFonts w:ascii="Times New Roman" w:hAnsi="Times New Roman" w:cs="Times New Roman"/>
          <w:b/>
          <w:bCs/>
          <w:sz w:val="24"/>
          <w:szCs w:val="24"/>
          <w:lang w:val="en-CA"/>
        </w:rPr>
      </w:pPr>
      <w:r>
        <w:rPr>
          <w:rFonts w:ascii="Times New Roman" w:hAnsi="Times New Roman" w:cs="Times New Roman"/>
          <w:b/>
          <w:bCs/>
          <w:sz w:val="24"/>
          <w:szCs w:val="24"/>
          <w:lang w:val="en-CA"/>
        </w:rPr>
        <w:t>Theme: Best practice</w:t>
      </w:r>
    </w:p>
    <w:p w14:paraId="483EC35C" w14:textId="4012886C" w:rsidR="006B26F8" w:rsidRDefault="006B26F8" w:rsidP="009E653C">
      <w:pPr>
        <w:jc w:val="both"/>
        <w:rPr>
          <w:rFonts w:ascii="Times New Roman" w:hAnsi="Times New Roman" w:cs="Times New Roman"/>
          <w:b/>
          <w:bCs/>
          <w:sz w:val="24"/>
          <w:szCs w:val="24"/>
          <w:lang w:val="en-CA"/>
        </w:rPr>
      </w:pPr>
      <w:r>
        <w:rPr>
          <w:rFonts w:ascii="Times New Roman" w:hAnsi="Times New Roman" w:cs="Times New Roman"/>
          <w:b/>
          <w:bCs/>
          <w:sz w:val="24"/>
          <w:szCs w:val="24"/>
          <w:lang w:val="en-CA"/>
        </w:rPr>
        <w:t>Presentation language: English</w:t>
      </w:r>
    </w:p>
    <w:p w14:paraId="378D3AB8" w14:textId="581A8D08" w:rsidR="006B26F8" w:rsidRPr="006B26F8" w:rsidRDefault="006B26F8" w:rsidP="009E653C">
      <w:pPr>
        <w:jc w:val="both"/>
        <w:rPr>
          <w:rFonts w:ascii="Times New Roman" w:hAnsi="Times New Roman" w:cs="Times New Roman"/>
          <w:b/>
          <w:bCs/>
          <w:sz w:val="24"/>
          <w:szCs w:val="24"/>
          <w:lang w:val="en-CA"/>
        </w:rPr>
      </w:pPr>
      <w:r w:rsidRPr="006B26F8">
        <w:rPr>
          <w:rFonts w:ascii="Times New Roman" w:hAnsi="Times New Roman" w:cs="Times New Roman"/>
          <w:b/>
          <w:bCs/>
          <w:sz w:val="24"/>
          <w:szCs w:val="24"/>
          <w:lang w:val="en-CA"/>
        </w:rPr>
        <w:t xml:space="preserve">Keywords: </w:t>
      </w:r>
    </w:p>
    <w:p w14:paraId="1254E306" w14:textId="1E8CD1A2" w:rsidR="003E4C04" w:rsidRPr="000F0696" w:rsidRDefault="003E4C04" w:rsidP="00A4601A">
      <w:pPr>
        <w:jc w:val="both"/>
        <w:rPr>
          <w:rFonts w:ascii="Times New Roman" w:hAnsi="Times New Roman" w:cs="Times New Roman"/>
          <w:sz w:val="24"/>
          <w:szCs w:val="24"/>
          <w:lang w:val="en-CA"/>
        </w:rPr>
      </w:pPr>
      <w:r w:rsidRPr="000F0696">
        <w:rPr>
          <w:rFonts w:ascii="Times New Roman" w:hAnsi="Times New Roman" w:cs="Times New Roman"/>
          <w:b/>
          <w:bCs/>
          <w:sz w:val="24"/>
          <w:szCs w:val="24"/>
          <w:lang w:val="en-CA"/>
        </w:rPr>
        <w:t>Introduction:</w:t>
      </w:r>
      <w:r w:rsidRPr="000F0696">
        <w:rPr>
          <w:rFonts w:ascii="Times New Roman" w:hAnsi="Times New Roman" w:cs="Times New Roman"/>
          <w:sz w:val="24"/>
          <w:szCs w:val="24"/>
          <w:lang w:val="en-CA"/>
        </w:rPr>
        <w:t xml:space="preserve">  </w:t>
      </w:r>
      <w:r w:rsidR="00A4601A" w:rsidRPr="00A4601A">
        <w:rPr>
          <w:rFonts w:ascii="Times New Roman" w:hAnsi="Times New Roman" w:cs="Times New Roman"/>
          <w:sz w:val="24"/>
          <w:szCs w:val="24"/>
          <w:lang w:val="en-CA"/>
        </w:rPr>
        <w:t>Despite favorable labor market conditions in Quebec (Canada), persistent challenges in employment integration continue to generate situations of vulnerability across multiple life domains (Longo et al., 2023) and to exacerbate poverty among adults and their families. Such circumstances may lead to precarious relationships to work, which can undermine individuals’ dignity (Blustein &amp; Allan, 2024) by limiting access to employment that they perceive as meaningful. The introduction of mandatory participation in employment assistance programs for first-time applicants for social assistance in Quebec (Binet, 20</w:t>
      </w:r>
      <w:r w:rsidR="000F0696" w:rsidRPr="000F0696">
        <w:rPr>
          <w:rFonts w:ascii="Times New Roman" w:hAnsi="Times New Roman" w:cs="Times New Roman"/>
          <w:sz w:val="24"/>
          <w:szCs w:val="24"/>
          <w:lang w:val="en-CA"/>
        </w:rPr>
        <w:t>24</w:t>
      </w:r>
      <w:r w:rsidR="00A4601A" w:rsidRPr="00A4601A">
        <w:rPr>
          <w:rFonts w:ascii="Times New Roman" w:hAnsi="Times New Roman" w:cs="Times New Roman"/>
          <w:sz w:val="24"/>
          <w:szCs w:val="24"/>
          <w:lang w:val="en-CA"/>
        </w:rPr>
        <w:t>) may further shift responsibility for unemployment and poverty onto individuals experiencing long-term unemployment. However, these individuals often face significant barriers</w:t>
      </w:r>
      <w:r w:rsidR="00A4601A" w:rsidRPr="000F0696">
        <w:rPr>
          <w:rFonts w:ascii="Times New Roman" w:hAnsi="Times New Roman" w:cs="Times New Roman"/>
          <w:sz w:val="24"/>
          <w:szCs w:val="24"/>
          <w:lang w:val="en-CA"/>
        </w:rPr>
        <w:t xml:space="preserve"> – </w:t>
      </w:r>
      <w:r w:rsidR="00A4601A" w:rsidRPr="00A4601A">
        <w:rPr>
          <w:rFonts w:ascii="Times New Roman" w:hAnsi="Times New Roman" w:cs="Times New Roman"/>
          <w:sz w:val="24"/>
          <w:szCs w:val="24"/>
          <w:lang w:val="en-CA"/>
        </w:rPr>
        <w:t>such as housing instability, intimate partner violence, and mental health difficulties</w:t>
      </w:r>
      <w:r w:rsidR="00A4601A" w:rsidRPr="000F0696">
        <w:rPr>
          <w:rFonts w:ascii="Times New Roman" w:hAnsi="Times New Roman" w:cs="Times New Roman"/>
          <w:sz w:val="24"/>
          <w:szCs w:val="24"/>
          <w:lang w:val="en-CA"/>
        </w:rPr>
        <w:t xml:space="preserve"> – </w:t>
      </w:r>
      <w:r w:rsidR="00A4601A" w:rsidRPr="00A4601A">
        <w:rPr>
          <w:rFonts w:ascii="Times New Roman" w:hAnsi="Times New Roman" w:cs="Times New Roman"/>
          <w:sz w:val="24"/>
          <w:szCs w:val="24"/>
          <w:lang w:val="en-CA"/>
        </w:rPr>
        <w:t>across several spheres of their lives (Supeno</w:t>
      </w:r>
      <w:r w:rsidR="006B26F8">
        <w:rPr>
          <w:rFonts w:ascii="Times New Roman" w:hAnsi="Times New Roman" w:cs="Times New Roman"/>
          <w:sz w:val="24"/>
          <w:szCs w:val="24"/>
          <w:lang w:val="en-CA"/>
        </w:rPr>
        <w:t xml:space="preserve"> et al. 2026</w:t>
      </w:r>
      <w:r w:rsidR="00A4601A" w:rsidRPr="00A4601A">
        <w:rPr>
          <w:rFonts w:ascii="Times New Roman" w:hAnsi="Times New Roman" w:cs="Times New Roman"/>
          <w:sz w:val="24"/>
          <w:szCs w:val="24"/>
          <w:lang w:val="en-CA"/>
        </w:rPr>
        <w:t xml:space="preserve">), which can compromise their sustained engagement in employment programs. </w:t>
      </w:r>
    </w:p>
    <w:p w14:paraId="4EEB20FE" w14:textId="35EC785D" w:rsidR="00A4601A" w:rsidRPr="00A4601A" w:rsidRDefault="003E4C04" w:rsidP="00A4601A">
      <w:pPr>
        <w:jc w:val="both"/>
        <w:rPr>
          <w:rFonts w:ascii="Times New Roman" w:hAnsi="Times New Roman" w:cs="Times New Roman"/>
          <w:sz w:val="24"/>
          <w:szCs w:val="24"/>
          <w:lang w:val="en-CA"/>
        </w:rPr>
      </w:pPr>
      <w:r w:rsidRPr="000F0696">
        <w:rPr>
          <w:rFonts w:ascii="Times New Roman" w:hAnsi="Times New Roman" w:cs="Times New Roman"/>
          <w:b/>
          <w:bCs/>
          <w:sz w:val="24"/>
          <w:szCs w:val="24"/>
          <w:lang w:val="en-CA"/>
        </w:rPr>
        <w:t>Objectives</w:t>
      </w:r>
      <w:r w:rsidRPr="000F0696">
        <w:rPr>
          <w:rFonts w:ascii="Times New Roman" w:hAnsi="Times New Roman" w:cs="Times New Roman"/>
          <w:sz w:val="24"/>
          <w:szCs w:val="24"/>
          <w:lang w:val="en-CA"/>
        </w:rPr>
        <w:t xml:space="preserve">: </w:t>
      </w:r>
      <w:proofErr w:type="gramStart"/>
      <w:r w:rsidR="000C0434" w:rsidRPr="000F0696">
        <w:rPr>
          <w:rFonts w:ascii="Times New Roman" w:hAnsi="Times New Roman" w:cs="Times New Roman"/>
          <w:sz w:val="24"/>
          <w:szCs w:val="24"/>
          <w:lang w:val="en-CA"/>
        </w:rPr>
        <w:t>I</w:t>
      </w:r>
      <w:r w:rsidR="00A4601A" w:rsidRPr="00A4601A">
        <w:rPr>
          <w:rFonts w:ascii="Times New Roman" w:hAnsi="Times New Roman" w:cs="Times New Roman"/>
          <w:sz w:val="24"/>
          <w:szCs w:val="24"/>
          <w:lang w:val="en-CA"/>
        </w:rPr>
        <w:t>n light of</w:t>
      </w:r>
      <w:proofErr w:type="gramEnd"/>
      <w:r w:rsidR="00A4601A" w:rsidRPr="00A4601A">
        <w:rPr>
          <w:rFonts w:ascii="Times New Roman" w:hAnsi="Times New Roman" w:cs="Times New Roman"/>
          <w:sz w:val="24"/>
          <w:szCs w:val="24"/>
          <w:lang w:val="en-CA"/>
        </w:rPr>
        <w:t xml:space="preserve"> the United Nations </w:t>
      </w:r>
      <w:r w:rsidRPr="000F0696">
        <w:rPr>
          <w:rFonts w:ascii="Times New Roman" w:hAnsi="Times New Roman" w:cs="Times New Roman"/>
          <w:sz w:val="24"/>
          <w:szCs w:val="24"/>
          <w:lang w:val="en-CA"/>
        </w:rPr>
        <w:t>s</w:t>
      </w:r>
      <w:r w:rsidR="00A4601A" w:rsidRPr="00A4601A">
        <w:rPr>
          <w:rFonts w:ascii="Times New Roman" w:hAnsi="Times New Roman" w:cs="Times New Roman"/>
          <w:sz w:val="24"/>
          <w:szCs w:val="24"/>
          <w:lang w:val="en-CA"/>
        </w:rPr>
        <w:t xml:space="preserve">ustainable </w:t>
      </w:r>
      <w:r w:rsidRPr="000F0696">
        <w:rPr>
          <w:rFonts w:ascii="Times New Roman" w:hAnsi="Times New Roman" w:cs="Times New Roman"/>
          <w:sz w:val="24"/>
          <w:szCs w:val="24"/>
          <w:lang w:val="en-CA"/>
        </w:rPr>
        <w:t>d</w:t>
      </w:r>
      <w:r w:rsidR="00A4601A" w:rsidRPr="00A4601A">
        <w:rPr>
          <w:rFonts w:ascii="Times New Roman" w:hAnsi="Times New Roman" w:cs="Times New Roman"/>
          <w:sz w:val="24"/>
          <w:szCs w:val="24"/>
          <w:lang w:val="en-CA"/>
        </w:rPr>
        <w:t xml:space="preserve">evelopment </w:t>
      </w:r>
      <w:r w:rsidRPr="000F0696">
        <w:rPr>
          <w:rFonts w:ascii="Times New Roman" w:hAnsi="Times New Roman" w:cs="Times New Roman"/>
          <w:sz w:val="24"/>
          <w:szCs w:val="24"/>
          <w:lang w:val="en-CA"/>
        </w:rPr>
        <w:t>g</w:t>
      </w:r>
      <w:r w:rsidR="00A4601A" w:rsidRPr="00A4601A">
        <w:rPr>
          <w:rFonts w:ascii="Times New Roman" w:hAnsi="Times New Roman" w:cs="Times New Roman"/>
          <w:sz w:val="24"/>
          <w:szCs w:val="24"/>
          <w:lang w:val="en-CA"/>
        </w:rPr>
        <w:t>oals (U</w:t>
      </w:r>
      <w:r w:rsidR="00E44B06">
        <w:rPr>
          <w:rFonts w:ascii="Times New Roman" w:hAnsi="Times New Roman" w:cs="Times New Roman"/>
          <w:sz w:val="24"/>
          <w:szCs w:val="24"/>
          <w:lang w:val="en-CA"/>
        </w:rPr>
        <w:t>nited Nations</w:t>
      </w:r>
      <w:r w:rsidR="00A4601A" w:rsidRPr="00A4601A">
        <w:rPr>
          <w:rFonts w:ascii="Times New Roman" w:hAnsi="Times New Roman" w:cs="Times New Roman"/>
          <w:sz w:val="24"/>
          <w:szCs w:val="24"/>
          <w:lang w:val="en-CA"/>
        </w:rPr>
        <w:t xml:space="preserve">, </w:t>
      </w:r>
      <w:r w:rsidR="00E44B06">
        <w:rPr>
          <w:rFonts w:ascii="Times New Roman" w:hAnsi="Times New Roman" w:cs="Times New Roman"/>
          <w:sz w:val="24"/>
          <w:szCs w:val="24"/>
          <w:lang w:val="en-CA"/>
        </w:rPr>
        <w:t>2026</w:t>
      </w:r>
      <w:r w:rsidR="00A4601A" w:rsidRPr="00A4601A">
        <w:rPr>
          <w:rFonts w:ascii="Times New Roman" w:hAnsi="Times New Roman" w:cs="Times New Roman"/>
          <w:sz w:val="24"/>
          <w:szCs w:val="24"/>
          <w:lang w:val="en-CA"/>
        </w:rPr>
        <w:t>), particularly Goal 1 (ending poverty) and Goal 10 (reducing inequalities), this study addresses the following research question: Can a group-based intervention incorporating a Collective Guidance Project constitute a sustainable guidance practice? If so, what critical levers for action emerge within group settings?</w:t>
      </w:r>
    </w:p>
    <w:p w14:paraId="2D5DA2EA" w14:textId="5CF95CB8" w:rsidR="00A4601A" w:rsidRPr="00A4601A" w:rsidRDefault="003E4C04" w:rsidP="00A4601A">
      <w:pPr>
        <w:jc w:val="both"/>
        <w:rPr>
          <w:rFonts w:ascii="Times New Roman" w:hAnsi="Times New Roman" w:cs="Times New Roman"/>
          <w:sz w:val="24"/>
          <w:szCs w:val="24"/>
          <w:lang w:val="en-CA"/>
        </w:rPr>
      </w:pPr>
      <w:r w:rsidRPr="000F0696">
        <w:rPr>
          <w:rFonts w:ascii="Times New Roman" w:hAnsi="Times New Roman" w:cs="Times New Roman"/>
          <w:b/>
          <w:bCs/>
          <w:sz w:val="24"/>
          <w:szCs w:val="24"/>
          <w:lang w:val="en-CA"/>
        </w:rPr>
        <w:t xml:space="preserve">Theoretical </w:t>
      </w:r>
      <w:r w:rsidR="000C0434" w:rsidRPr="000F0696">
        <w:rPr>
          <w:rFonts w:ascii="Times New Roman" w:hAnsi="Times New Roman" w:cs="Times New Roman"/>
          <w:b/>
          <w:bCs/>
          <w:sz w:val="24"/>
          <w:szCs w:val="24"/>
          <w:lang w:val="en-CA"/>
        </w:rPr>
        <w:t>F</w:t>
      </w:r>
      <w:r w:rsidRPr="000F0696">
        <w:rPr>
          <w:rFonts w:ascii="Times New Roman" w:hAnsi="Times New Roman" w:cs="Times New Roman"/>
          <w:b/>
          <w:bCs/>
          <w:sz w:val="24"/>
          <w:szCs w:val="24"/>
          <w:lang w:val="en-CA"/>
        </w:rPr>
        <w:t>ramework:</w:t>
      </w:r>
      <w:r w:rsidRPr="000F0696">
        <w:rPr>
          <w:rFonts w:ascii="Times New Roman" w:hAnsi="Times New Roman" w:cs="Times New Roman"/>
          <w:sz w:val="24"/>
          <w:szCs w:val="24"/>
          <w:lang w:val="en-CA"/>
        </w:rPr>
        <w:t xml:space="preserve"> </w:t>
      </w:r>
      <w:r w:rsidR="00A4601A" w:rsidRPr="00A4601A">
        <w:rPr>
          <w:rFonts w:ascii="Times New Roman" w:hAnsi="Times New Roman" w:cs="Times New Roman"/>
          <w:sz w:val="24"/>
          <w:szCs w:val="24"/>
          <w:lang w:val="en-CA"/>
        </w:rPr>
        <w:t xml:space="preserve">This presentation draws on a partnership-based research project conducted with four employability organizations involved in the </w:t>
      </w:r>
      <w:r w:rsidR="00A4601A" w:rsidRPr="00A4601A">
        <w:rPr>
          <w:rFonts w:ascii="Times New Roman" w:hAnsi="Times New Roman" w:cs="Times New Roman"/>
          <w:i/>
          <w:iCs/>
          <w:sz w:val="24"/>
          <w:szCs w:val="24"/>
          <w:lang w:val="en-CA"/>
        </w:rPr>
        <w:t xml:space="preserve">Ensemble, visons </w:t>
      </w:r>
      <w:proofErr w:type="spellStart"/>
      <w:r w:rsidR="00A4601A" w:rsidRPr="00A4601A">
        <w:rPr>
          <w:rFonts w:ascii="Times New Roman" w:hAnsi="Times New Roman" w:cs="Times New Roman"/>
          <w:i/>
          <w:iCs/>
          <w:sz w:val="24"/>
          <w:szCs w:val="24"/>
          <w:lang w:val="en-CA"/>
        </w:rPr>
        <w:t>l’emploi</w:t>
      </w:r>
      <w:proofErr w:type="spellEnd"/>
      <w:r w:rsidR="00A4601A" w:rsidRPr="00A4601A">
        <w:rPr>
          <w:rFonts w:ascii="Times New Roman" w:hAnsi="Times New Roman" w:cs="Times New Roman"/>
          <w:sz w:val="24"/>
          <w:szCs w:val="24"/>
          <w:lang w:val="en-CA"/>
        </w:rPr>
        <w:t xml:space="preserve"> </w:t>
      </w:r>
      <w:r w:rsidR="00A4601A" w:rsidRPr="00A4601A">
        <w:rPr>
          <w:rFonts w:ascii="Times New Roman" w:hAnsi="Times New Roman" w:cs="Times New Roman"/>
          <w:sz w:val="24"/>
          <w:szCs w:val="24"/>
          <w:lang w:val="en-CA"/>
        </w:rPr>
        <w:lastRenderedPageBreak/>
        <w:t>(EVE) program (</w:t>
      </w:r>
      <w:r w:rsidR="00327606">
        <w:rPr>
          <w:rFonts w:ascii="Times New Roman" w:hAnsi="Times New Roman" w:cs="Times New Roman"/>
          <w:sz w:val="24"/>
          <w:szCs w:val="24"/>
          <w:lang w:val="en-CA"/>
        </w:rPr>
        <w:t xml:space="preserve">evaluated by </w:t>
      </w:r>
      <w:r w:rsidR="00A4601A" w:rsidRPr="00A4601A">
        <w:rPr>
          <w:rFonts w:ascii="Times New Roman" w:hAnsi="Times New Roman" w:cs="Times New Roman"/>
          <w:sz w:val="24"/>
          <w:szCs w:val="24"/>
          <w:lang w:val="en-CA"/>
        </w:rPr>
        <w:t xml:space="preserve">Supeno et al., 2026), which was developed and implemented across ten sites and involved 212 participants. This </w:t>
      </w:r>
      <w:r w:rsidRPr="000F0696">
        <w:rPr>
          <w:rFonts w:ascii="Times New Roman" w:hAnsi="Times New Roman" w:cs="Times New Roman"/>
          <w:sz w:val="24"/>
          <w:szCs w:val="24"/>
          <w:lang w:val="en-CA"/>
        </w:rPr>
        <w:t>community g</w:t>
      </w:r>
      <w:r w:rsidR="00A4601A" w:rsidRPr="00A4601A">
        <w:rPr>
          <w:rFonts w:ascii="Times New Roman" w:hAnsi="Times New Roman" w:cs="Times New Roman"/>
          <w:sz w:val="24"/>
          <w:szCs w:val="24"/>
          <w:lang w:val="en-CA"/>
        </w:rPr>
        <w:t>roup-based program offers a continuum of interventions spanning an 18-month period and is structured around an intervention framework that includes a Collective Guidance Project (CGP) (Dionne &amp; Bélisle, 2021), grounded in an empowerment-oriented approach. Drawing on cultural-historical activity theory (Stetsenko, 2023) and a social justice framework</w:t>
      </w:r>
      <w:r w:rsidR="00FE1E6D">
        <w:rPr>
          <w:rFonts w:ascii="Times New Roman" w:hAnsi="Times New Roman" w:cs="Times New Roman"/>
          <w:sz w:val="24"/>
          <w:szCs w:val="24"/>
          <w:lang w:val="en-CA"/>
        </w:rPr>
        <w:t xml:space="preserve"> (Arthur, 2019)</w:t>
      </w:r>
      <w:r w:rsidR="00A4601A" w:rsidRPr="00A4601A">
        <w:rPr>
          <w:rFonts w:ascii="Times New Roman" w:hAnsi="Times New Roman" w:cs="Times New Roman"/>
          <w:sz w:val="24"/>
          <w:szCs w:val="24"/>
          <w:lang w:val="en-CA"/>
        </w:rPr>
        <w:t>, the CGP is conceptualized as a process organized around meaningful action, learning, and recognition. It is understood as a mediated activity through which participants engage in concrete collective action, develop competencies, and gain social visibility within their communities.</w:t>
      </w:r>
      <w:r w:rsidRPr="000F0696">
        <w:rPr>
          <w:rFonts w:ascii="Times New Roman" w:hAnsi="Times New Roman" w:cs="Times New Roman"/>
          <w:sz w:val="24"/>
          <w:szCs w:val="24"/>
          <w:lang w:val="en-CA"/>
        </w:rPr>
        <w:t xml:space="preserve"> After the CGP, participants are gradually supported with a</w:t>
      </w:r>
      <w:r w:rsidR="004073C4">
        <w:rPr>
          <w:rFonts w:ascii="Times New Roman" w:hAnsi="Times New Roman" w:cs="Times New Roman"/>
          <w:sz w:val="24"/>
          <w:szCs w:val="24"/>
          <w:lang w:val="en-CA"/>
        </w:rPr>
        <w:t>n</w:t>
      </w:r>
      <w:r w:rsidRPr="000F0696">
        <w:rPr>
          <w:rFonts w:ascii="Times New Roman" w:hAnsi="Times New Roman" w:cs="Times New Roman"/>
          <w:sz w:val="24"/>
          <w:szCs w:val="24"/>
          <w:lang w:val="en-CA"/>
        </w:rPr>
        <w:t xml:space="preserve"> aim to integration into employment or training.</w:t>
      </w:r>
    </w:p>
    <w:p w14:paraId="7C3FC166" w14:textId="6F863696" w:rsidR="00A4601A" w:rsidRPr="00A4601A" w:rsidRDefault="003E4C04" w:rsidP="00A4601A">
      <w:pPr>
        <w:jc w:val="both"/>
        <w:rPr>
          <w:rFonts w:ascii="Times New Roman" w:hAnsi="Times New Roman" w:cs="Times New Roman"/>
          <w:sz w:val="24"/>
          <w:szCs w:val="24"/>
          <w:lang w:val="en-CA"/>
        </w:rPr>
      </w:pPr>
      <w:r w:rsidRPr="000F0696">
        <w:rPr>
          <w:rFonts w:ascii="Times New Roman" w:hAnsi="Times New Roman" w:cs="Times New Roman"/>
          <w:b/>
          <w:bCs/>
          <w:sz w:val="24"/>
          <w:szCs w:val="24"/>
          <w:lang w:val="en-CA"/>
        </w:rPr>
        <w:t>Methodology:</w:t>
      </w:r>
      <w:r w:rsidRPr="000F0696">
        <w:rPr>
          <w:rFonts w:ascii="Times New Roman" w:hAnsi="Times New Roman" w:cs="Times New Roman"/>
          <w:sz w:val="24"/>
          <w:szCs w:val="24"/>
          <w:lang w:val="en-CA"/>
        </w:rPr>
        <w:t xml:space="preserve"> </w:t>
      </w:r>
      <w:r w:rsidR="00A4601A" w:rsidRPr="00A4601A">
        <w:rPr>
          <w:rFonts w:ascii="Times New Roman" w:hAnsi="Times New Roman" w:cs="Times New Roman"/>
          <w:sz w:val="24"/>
          <w:szCs w:val="24"/>
          <w:lang w:val="en-CA"/>
        </w:rPr>
        <w:t>th</w:t>
      </w:r>
      <w:r w:rsidR="00A4601A" w:rsidRPr="000F0696">
        <w:rPr>
          <w:rFonts w:ascii="Times New Roman" w:hAnsi="Times New Roman" w:cs="Times New Roman"/>
          <w:sz w:val="24"/>
          <w:szCs w:val="24"/>
          <w:lang w:val="en-CA"/>
        </w:rPr>
        <w:t>is presentation</w:t>
      </w:r>
      <w:r w:rsidR="00A4601A" w:rsidRPr="00A4601A">
        <w:rPr>
          <w:rFonts w:ascii="Times New Roman" w:hAnsi="Times New Roman" w:cs="Times New Roman"/>
          <w:sz w:val="24"/>
          <w:szCs w:val="24"/>
          <w:lang w:val="en-CA"/>
        </w:rPr>
        <w:t xml:space="preserve"> is based on direct observations of the CGP conducted with two groups (18 observation journals), as well as longitudinal individual interviews with nine participants. Each interview retrospectively documents the participant’s job search process over the previous year, along with the resources mobilized and perceived obstacles to soci</w:t>
      </w:r>
      <w:r w:rsidR="00475904" w:rsidRPr="000F0696">
        <w:rPr>
          <w:rFonts w:ascii="Times New Roman" w:hAnsi="Times New Roman" w:cs="Times New Roman"/>
          <w:sz w:val="24"/>
          <w:szCs w:val="24"/>
          <w:lang w:val="en-CA"/>
        </w:rPr>
        <w:t xml:space="preserve">al and </w:t>
      </w:r>
      <w:r w:rsidR="00A4601A" w:rsidRPr="00A4601A">
        <w:rPr>
          <w:rFonts w:ascii="Times New Roman" w:hAnsi="Times New Roman" w:cs="Times New Roman"/>
          <w:sz w:val="24"/>
          <w:szCs w:val="24"/>
          <w:lang w:val="en-CA"/>
        </w:rPr>
        <w:t>professional integration. In addition, a life-course calendar was used to document states and events across five trajectories—health, employment, training, residential, and relational (</w:t>
      </w:r>
      <w:r w:rsidR="00716EFA">
        <w:rPr>
          <w:rFonts w:ascii="Times New Roman" w:hAnsi="Times New Roman" w:cs="Times New Roman"/>
          <w:sz w:val="24"/>
          <w:szCs w:val="24"/>
          <w:lang w:val="en-CA"/>
        </w:rPr>
        <w:t>Bourdon et al. 2008</w:t>
      </w:r>
      <w:r w:rsidR="00A4601A" w:rsidRPr="00A4601A">
        <w:rPr>
          <w:rFonts w:ascii="Times New Roman" w:hAnsi="Times New Roman" w:cs="Times New Roman"/>
          <w:sz w:val="24"/>
          <w:szCs w:val="24"/>
          <w:lang w:val="en-CA"/>
        </w:rPr>
        <w:t xml:space="preserve">). For each trajectory, participants reported their status </w:t>
      </w:r>
      <w:proofErr w:type="gramStart"/>
      <w:r w:rsidR="00A4601A" w:rsidRPr="00A4601A">
        <w:rPr>
          <w:rFonts w:ascii="Times New Roman" w:hAnsi="Times New Roman" w:cs="Times New Roman"/>
          <w:sz w:val="24"/>
          <w:szCs w:val="24"/>
          <w:lang w:val="en-CA"/>
        </w:rPr>
        <w:t>on a monthly basis</w:t>
      </w:r>
      <w:proofErr w:type="gramEnd"/>
      <w:r w:rsidR="00A4601A" w:rsidRPr="00A4601A">
        <w:rPr>
          <w:rFonts w:ascii="Times New Roman" w:hAnsi="Times New Roman" w:cs="Times New Roman"/>
          <w:sz w:val="24"/>
          <w:szCs w:val="24"/>
          <w:lang w:val="en-CA"/>
        </w:rPr>
        <w:t>. When an event occurred, it was recorded in the corresponding month and could involve a change in status.</w:t>
      </w:r>
    </w:p>
    <w:p w14:paraId="34EB5074" w14:textId="4A437155" w:rsidR="00A4601A" w:rsidRPr="000F0696" w:rsidRDefault="000C0434" w:rsidP="00A4601A">
      <w:pPr>
        <w:jc w:val="both"/>
        <w:rPr>
          <w:rFonts w:ascii="Times New Roman" w:hAnsi="Times New Roman" w:cs="Times New Roman"/>
          <w:sz w:val="24"/>
          <w:szCs w:val="24"/>
          <w:lang w:val="en-CA"/>
        </w:rPr>
      </w:pPr>
      <w:r w:rsidRPr="000F0696">
        <w:rPr>
          <w:rFonts w:ascii="Times New Roman" w:hAnsi="Times New Roman" w:cs="Times New Roman"/>
          <w:b/>
          <w:bCs/>
          <w:sz w:val="24"/>
          <w:szCs w:val="24"/>
          <w:lang w:val="en-CA"/>
        </w:rPr>
        <w:t xml:space="preserve">Conclusions: </w:t>
      </w:r>
      <w:r w:rsidR="00A4601A" w:rsidRPr="00A4601A">
        <w:rPr>
          <w:rFonts w:ascii="Times New Roman" w:hAnsi="Times New Roman" w:cs="Times New Roman"/>
          <w:sz w:val="24"/>
          <w:szCs w:val="24"/>
          <w:lang w:val="en-CA"/>
        </w:rPr>
        <w:t xml:space="preserve">Findings from both observations and individual interviews suggest that participation in a Collective Guidance Project, and more broadly in the EVE program, may contribute to employment reintegration and job retention among adults experiencing long-term unemployment. The results also indicate that proximal guidance and peer support provided throughout the program contribute to the restoration of social ties, foster a more positive perception of participants’ capacity to contribute to their community and society, and support gradual engagement in concrete </w:t>
      </w:r>
      <w:r w:rsidR="00475904" w:rsidRPr="000F0696">
        <w:rPr>
          <w:rFonts w:ascii="Times New Roman" w:hAnsi="Times New Roman" w:cs="Times New Roman"/>
          <w:sz w:val="24"/>
          <w:szCs w:val="24"/>
          <w:lang w:val="en-CA"/>
        </w:rPr>
        <w:t xml:space="preserve">collective et subjective </w:t>
      </w:r>
      <w:r w:rsidR="00A4601A" w:rsidRPr="00A4601A">
        <w:rPr>
          <w:rFonts w:ascii="Times New Roman" w:hAnsi="Times New Roman" w:cs="Times New Roman"/>
          <w:sz w:val="24"/>
          <w:szCs w:val="24"/>
          <w:lang w:val="en-CA"/>
        </w:rPr>
        <w:t>actions toward employment or training. The conclusion will propose a critical perspective on sustainable career guidance interventions</w:t>
      </w:r>
      <w:r w:rsidR="00475904" w:rsidRPr="000F0696">
        <w:rPr>
          <w:rFonts w:ascii="Times New Roman" w:hAnsi="Times New Roman" w:cs="Times New Roman"/>
          <w:sz w:val="24"/>
          <w:szCs w:val="24"/>
          <w:lang w:val="en-CA"/>
        </w:rPr>
        <w:t>.</w:t>
      </w:r>
    </w:p>
    <w:p w14:paraId="7DD1DB32" w14:textId="541A9218" w:rsidR="003E4C04" w:rsidRPr="000F0696" w:rsidRDefault="000C0434" w:rsidP="00A4601A">
      <w:pPr>
        <w:jc w:val="both"/>
        <w:rPr>
          <w:rFonts w:ascii="Times New Roman" w:hAnsi="Times New Roman" w:cs="Times New Roman"/>
          <w:b/>
          <w:bCs/>
          <w:sz w:val="24"/>
          <w:szCs w:val="24"/>
          <w:lang w:val="en-CA"/>
        </w:rPr>
      </w:pPr>
      <w:bookmarkStart w:id="0" w:name="_Hlk216770575"/>
      <w:r w:rsidRPr="000F0696">
        <w:rPr>
          <w:rFonts w:ascii="Times New Roman" w:hAnsi="Times New Roman" w:cs="Times New Roman"/>
          <w:b/>
          <w:bCs/>
          <w:sz w:val="24"/>
          <w:szCs w:val="24"/>
          <w:lang w:val="en-CA"/>
        </w:rPr>
        <w:t>B</w:t>
      </w:r>
      <w:r w:rsidR="003E4C04" w:rsidRPr="000F0696">
        <w:rPr>
          <w:rFonts w:ascii="Times New Roman" w:hAnsi="Times New Roman" w:cs="Times New Roman"/>
          <w:b/>
          <w:bCs/>
          <w:sz w:val="24"/>
          <w:szCs w:val="24"/>
          <w:lang w:val="en-CA"/>
        </w:rPr>
        <w:t xml:space="preserve">ibliographical </w:t>
      </w:r>
      <w:r w:rsidRPr="000F0696">
        <w:rPr>
          <w:rFonts w:ascii="Times New Roman" w:hAnsi="Times New Roman" w:cs="Times New Roman"/>
          <w:b/>
          <w:bCs/>
          <w:sz w:val="24"/>
          <w:szCs w:val="24"/>
          <w:lang w:val="en-CA"/>
        </w:rPr>
        <w:t>R</w:t>
      </w:r>
      <w:r w:rsidR="003E4C04" w:rsidRPr="000F0696">
        <w:rPr>
          <w:rFonts w:ascii="Times New Roman" w:hAnsi="Times New Roman" w:cs="Times New Roman"/>
          <w:b/>
          <w:bCs/>
          <w:sz w:val="24"/>
          <w:szCs w:val="24"/>
          <w:lang w:val="en-CA"/>
        </w:rPr>
        <w:t>eferences</w:t>
      </w:r>
      <w:bookmarkEnd w:id="0"/>
      <w:r w:rsidRPr="000F0696">
        <w:rPr>
          <w:rFonts w:ascii="Times New Roman" w:hAnsi="Times New Roman" w:cs="Times New Roman"/>
          <w:b/>
          <w:bCs/>
          <w:sz w:val="24"/>
          <w:szCs w:val="24"/>
          <w:lang w:val="en-CA"/>
        </w:rPr>
        <w:t xml:space="preserve">: </w:t>
      </w:r>
    </w:p>
    <w:p w14:paraId="719966B3" w14:textId="545241FE" w:rsidR="00091B46" w:rsidRPr="005819D0" w:rsidRDefault="00091B46" w:rsidP="00041E51">
      <w:pPr>
        <w:spacing w:after="0" w:line="240" w:lineRule="auto"/>
        <w:ind w:left="567" w:hanging="567"/>
        <w:jc w:val="both"/>
        <w:rPr>
          <w:rFonts w:ascii="Times New Roman" w:hAnsi="Times New Roman" w:cs="Times New Roman"/>
          <w:sz w:val="24"/>
          <w:szCs w:val="24"/>
          <w:lang w:val="en-CA"/>
        </w:rPr>
      </w:pPr>
      <w:r w:rsidRPr="00091B46">
        <w:rPr>
          <w:rFonts w:ascii="Times New Roman" w:hAnsi="Times New Roman" w:cs="Times New Roman"/>
          <w:sz w:val="24"/>
          <w:szCs w:val="24"/>
          <w:lang w:val="en-CA"/>
        </w:rPr>
        <w:t xml:space="preserve">Arthur, N. (2019). Culture-infused career counselling: Connecting culture and social justice in career practices. In N. Arthur, R. Neault, &amp; M. McMahon (Eds.), Career theories and models at work: Ideas for Practice (pp. 21-30). </w:t>
      </w:r>
      <w:r w:rsidRPr="005819D0">
        <w:rPr>
          <w:rFonts w:ascii="Times New Roman" w:hAnsi="Times New Roman" w:cs="Times New Roman"/>
          <w:sz w:val="24"/>
          <w:szCs w:val="24"/>
          <w:lang w:val="en-CA"/>
        </w:rPr>
        <w:t>CERIC.</w:t>
      </w:r>
    </w:p>
    <w:p w14:paraId="6DB141AC" w14:textId="77777777" w:rsidR="00091B46" w:rsidRDefault="00091B46" w:rsidP="00041E51">
      <w:pPr>
        <w:spacing w:after="0" w:line="240" w:lineRule="auto"/>
        <w:ind w:left="567" w:hanging="567"/>
        <w:jc w:val="both"/>
        <w:rPr>
          <w:rFonts w:ascii="Times New Roman" w:hAnsi="Times New Roman" w:cs="Times New Roman"/>
          <w:sz w:val="24"/>
          <w:szCs w:val="24"/>
          <w:lang w:val="en-CA"/>
        </w:rPr>
      </w:pPr>
    </w:p>
    <w:p w14:paraId="050D2251" w14:textId="7B045E0F" w:rsidR="00CA0DFE" w:rsidRDefault="00CA0DFE" w:rsidP="00041E51">
      <w:pPr>
        <w:spacing w:after="0" w:line="240" w:lineRule="auto"/>
        <w:ind w:left="567" w:hanging="567"/>
        <w:jc w:val="both"/>
        <w:rPr>
          <w:rFonts w:ascii="Times New Roman" w:hAnsi="Times New Roman" w:cs="Times New Roman"/>
          <w:sz w:val="24"/>
          <w:szCs w:val="24"/>
          <w:lang w:val="en-CA"/>
        </w:rPr>
      </w:pPr>
      <w:r w:rsidRPr="00CA0DFE">
        <w:rPr>
          <w:rFonts w:ascii="Times New Roman" w:hAnsi="Times New Roman" w:cs="Times New Roman"/>
          <w:sz w:val="24"/>
          <w:szCs w:val="24"/>
          <w:lang w:val="en-CA"/>
        </w:rPr>
        <w:t>Blustein, D. &amp; Allan, B.A.</w:t>
      </w:r>
      <w:r w:rsidR="00E44B06">
        <w:rPr>
          <w:rFonts w:ascii="Times New Roman" w:hAnsi="Times New Roman" w:cs="Times New Roman"/>
          <w:sz w:val="24"/>
          <w:szCs w:val="24"/>
          <w:lang w:val="en-CA"/>
        </w:rPr>
        <w:t xml:space="preserve"> </w:t>
      </w:r>
      <w:r w:rsidRPr="00CA0DFE">
        <w:rPr>
          <w:rFonts w:ascii="Times New Roman" w:hAnsi="Times New Roman" w:cs="Times New Roman"/>
          <w:sz w:val="24"/>
          <w:szCs w:val="24"/>
          <w:lang w:val="en-CA"/>
        </w:rPr>
        <w:t>(2024)</w:t>
      </w:r>
      <w:r>
        <w:rPr>
          <w:rFonts w:ascii="Times New Roman" w:hAnsi="Times New Roman" w:cs="Times New Roman"/>
          <w:sz w:val="24"/>
          <w:szCs w:val="24"/>
          <w:lang w:val="en-CA"/>
        </w:rPr>
        <w:t>.</w:t>
      </w:r>
      <w:r w:rsidRPr="00CA0DFE">
        <w:rPr>
          <w:rFonts w:ascii="Times New Roman" w:hAnsi="Times New Roman" w:cs="Times New Roman"/>
          <w:sz w:val="24"/>
          <w:szCs w:val="24"/>
          <w:lang w:val="en-CA"/>
        </w:rPr>
        <w:t xml:space="preserve"> Dignity at Work: A Critical</w:t>
      </w:r>
      <w:r>
        <w:rPr>
          <w:rFonts w:ascii="Times New Roman" w:hAnsi="Times New Roman" w:cs="Times New Roman"/>
          <w:sz w:val="24"/>
          <w:szCs w:val="24"/>
          <w:lang w:val="en-CA"/>
        </w:rPr>
        <w:t xml:space="preserve"> </w:t>
      </w:r>
      <w:r w:rsidRPr="00CA0DFE">
        <w:rPr>
          <w:rFonts w:ascii="Times New Roman" w:hAnsi="Times New Roman" w:cs="Times New Roman"/>
          <w:sz w:val="24"/>
          <w:szCs w:val="24"/>
          <w:lang w:val="en-CA"/>
        </w:rPr>
        <w:t>Conceptual Framework and</w:t>
      </w:r>
      <w:r w:rsidR="00041E51">
        <w:rPr>
          <w:rFonts w:ascii="Times New Roman" w:hAnsi="Times New Roman" w:cs="Times New Roman"/>
          <w:sz w:val="24"/>
          <w:szCs w:val="24"/>
          <w:lang w:val="en-CA"/>
        </w:rPr>
        <w:t xml:space="preserve"> </w:t>
      </w:r>
      <w:r w:rsidRPr="00CA0DFE">
        <w:rPr>
          <w:rFonts w:ascii="Times New Roman" w:hAnsi="Times New Roman" w:cs="Times New Roman"/>
          <w:sz w:val="24"/>
          <w:szCs w:val="24"/>
          <w:lang w:val="en-CA"/>
        </w:rPr>
        <w:t>Research Agenda</w:t>
      </w:r>
      <w:r>
        <w:rPr>
          <w:rFonts w:ascii="Times New Roman" w:hAnsi="Times New Roman" w:cs="Times New Roman"/>
          <w:sz w:val="24"/>
          <w:szCs w:val="24"/>
          <w:lang w:val="en-CA"/>
        </w:rPr>
        <w:t xml:space="preserve">, </w:t>
      </w:r>
      <w:r w:rsidRPr="00041E51">
        <w:rPr>
          <w:rFonts w:ascii="Times New Roman" w:hAnsi="Times New Roman" w:cs="Times New Roman"/>
          <w:i/>
          <w:iCs/>
          <w:sz w:val="24"/>
          <w:szCs w:val="24"/>
          <w:lang w:val="en-CA"/>
        </w:rPr>
        <w:t xml:space="preserve">Journal of Career Assessment, </w:t>
      </w:r>
      <w:r w:rsidR="00041E51" w:rsidRPr="00041E51">
        <w:rPr>
          <w:rFonts w:ascii="Times New Roman" w:hAnsi="Times New Roman" w:cs="Times New Roman"/>
          <w:i/>
          <w:iCs/>
          <w:sz w:val="24"/>
          <w:szCs w:val="24"/>
          <w:lang w:val="en-CA"/>
        </w:rPr>
        <w:t>33</w:t>
      </w:r>
      <w:r>
        <w:rPr>
          <w:rFonts w:ascii="Times New Roman" w:hAnsi="Times New Roman" w:cs="Times New Roman"/>
          <w:sz w:val="24"/>
          <w:szCs w:val="24"/>
          <w:lang w:val="en-CA"/>
        </w:rPr>
        <w:t>(</w:t>
      </w:r>
      <w:r w:rsidR="00041E51">
        <w:rPr>
          <w:rFonts w:ascii="Times New Roman" w:hAnsi="Times New Roman" w:cs="Times New Roman"/>
          <w:sz w:val="24"/>
          <w:szCs w:val="24"/>
          <w:lang w:val="en-CA"/>
        </w:rPr>
        <w:t>3</w:t>
      </w:r>
      <w:r>
        <w:rPr>
          <w:rFonts w:ascii="Times New Roman" w:hAnsi="Times New Roman" w:cs="Times New Roman"/>
          <w:sz w:val="24"/>
          <w:szCs w:val="24"/>
          <w:lang w:val="en-CA"/>
        </w:rPr>
        <w:t>)</w:t>
      </w:r>
      <w:r w:rsidRPr="00CA0DFE">
        <w:rPr>
          <w:rFonts w:ascii="AdvOT64994a16" w:hAnsi="AdvOT64994a16" w:cs="AdvOT64994a16"/>
          <w:kern w:val="0"/>
          <w:sz w:val="14"/>
          <w:szCs w:val="14"/>
          <w:lang w:val="en-CA"/>
        </w:rPr>
        <w:t xml:space="preserve"> </w:t>
      </w:r>
      <w:r w:rsidR="00041E51">
        <w:rPr>
          <w:rFonts w:ascii="Times New Roman" w:hAnsi="Times New Roman" w:cs="Times New Roman"/>
          <w:sz w:val="24"/>
          <w:szCs w:val="24"/>
          <w:lang w:val="en-CA"/>
        </w:rPr>
        <w:t>489-509</w:t>
      </w:r>
      <w:r w:rsidR="00041E51" w:rsidRPr="00041E51">
        <w:rPr>
          <w:lang w:val="en-CA"/>
        </w:rPr>
        <w:t xml:space="preserve"> </w:t>
      </w:r>
      <w:hyperlink r:id="rId9" w:history="1">
        <w:r w:rsidR="00041E51" w:rsidRPr="001963CA">
          <w:rPr>
            <w:rStyle w:val="Hyperlink"/>
            <w:rFonts w:ascii="Times New Roman" w:hAnsi="Times New Roman" w:cs="Times New Roman"/>
            <w:sz w:val="24"/>
            <w:szCs w:val="24"/>
            <w:lang w:val="en-CA"/>
          </w:rPr>
          <w:t>https://doi.org/10.1177/10690727241283685</w:t>
        </w:r>
      </w:hyperlink>
    </w:p>
    <w:p w14:paraId="67877AFB" w14:textId="77777777" w:rsidR="00041E51" w:rsidRPr="00CA0DFE" w:rsidRDefault="00041E51" w:rsidP="00041E51">
      <w:pPr>
        <w:spacing w:after="0" w:line="240" w:lineRule="auto"/>
        <w:ind w:left="567" w:hanging="567"/>
        <w:jc w:val="both"/>
        <w:rPr>
          <w:rFonts w:ascii="Times New Roman" w:hAnsi="Times New Roman" w:cs="Times New Roman"/>
          <w:sz w:val="24"/>
          <w:szCs w:val="24"/>
          <w:lang w:val="en-CA"/>
        </w:rPr>
      </w:pPr>
    </w:p>
    <w:p w14:paraId="15DC7965" w14:textId="740F2BB8" w:rsidR="000F0696" w:rsidRDefault="000F0696" w:rsidP="000F0696">
      <w:pPr>
        <w:ind w:left="567" w:hanging="567"/>
        <w:jc w:val="both"/>
      </w:pPr>
      <w:r w:rsidRPr="000F0696">
        <w:rPr>
          <w:rFonts w:ascii="Times New Roman" w:hAnsi="Times New Roman" w:cs="Times New Roman"/>
          <w:sz w:val="24"/>
          <w:szCs w:val="24"/>
        </w:rPr>
        <w:t>Binet, J. Lambert, S.</w:t>
      </w:r>
      <w:r>
        <w:rPr>
          <w:rFonts w:ascii="Times New Roman" w:hAnsi="Times New Roman" w:cs="Times New Roman"/>
          <w:sz w:val="24"/>
          <w:szCs w:val="24"/>
        </w:rPr>
        <w:t>,</w:t>
      </w:r>
      <w:r w:rsidRPr="000F0696">
        <w:rPr>
          <w:rFonts w:ascii="Times New Roman" w:hAnsi="Times New Roman" w:cs="Times New Roman"/>
          <w:sz w:val="24"/>
          <w:szCs w:val="24"/>
        </w:rPr>
        <w:t xml:space="preserve"> &amp; </w:t>
      </w:r>
      <w:proofErr w:type="spellStart"/>
      <w:r w:rsidRPr="000F0696">
        <w:rPr>
          <w:rFonts w:ascii="Times New Roman" w:hAnsi="Times New Roman" w:cs="Times New Roman"/>
          <w:sz w:val="24"/>
          <w:szCs w:val="24"/>
        </w:rPr>
        <w:t>Molgat</w:t>
      </w:r>
      <w:proofErr w:type="spellEnd"/>
      <w:r w:rsidRPr="000F0696">
        <w:rPr>
          <w:rFonts w:ascii="Times New Roman" w:hAnsi="Times New Roman" w:cs="Times New Roman"/>
          <w:sz w:val="24"/>
          <w:szCs w:val="24"/>
        </w:rPr>
        <w:t xml:space="preserve">, M (2024). Les relations sociales des jeunes face aux discours d’activation des politiques de la jeunesse : analyse croisée des parcours </w:t>
      </w:r>
      <w:r w:rsidRPr="000F0696">
        <w:rPr>
          <w:rFonts w:ascii="Times New Roman" w:hAnsi="Times New Roman" w:cs="Times New Roman"/>
          <w:sz w:val="24"/>
          <w:szCs w:val="24"/>
        </w:rPr>
        <w:lastRenderedPageBreak/>
        <w:t xml:space="preserve">atypiques de jeunes adultes vulnérables sur trois terrains de recherche au Québec, </w:t>
      </w:r>
      <w:r w:rsidRPr="000F0696">
        <w:rPr>
          <w:rFonts w:ascii="Times New Roman" w:hAnsi="Times New Roman" w:cs="Times New Roman"/>
          <w:i/>
          <w:iCs/>
          <w:sz w:val="24"/>
          <w:szCs w:val="24"/>
        </w:rPr>
        <w:t>Sociétés et jeunesses en difficulté</w:t>
      </w:r>
      <w:r>
        <w:rPr>
          <w:rFonts w:ascii="Times New Roman" w:hAnsi="Times New Roman" w:cs="Times New Roman"/>
          <w:i/>
          <w:iCs/>
          <w:sz w:val="24"/>
          <w:szCs w:val="24"/>
        </w:rPr>
        <w:t>, 30.</w:t>
      </w:r>
      <w:r w:rsidRPr="000F0696">
        <w:t xml:space="preserve"> </w:t>
      </w:r>
      <w:hyperlink r:id="rId10" w:history="1">
        <w:r w:rsidRPr="001963CA">
          <w:rPr>
            <w:rStyle w:val="Hyperlink"/>
          </w:rPr>
          <w:t>h</w:t>
        </w:r>
        <w:r w:rsidRPr="001963CA">
          <w:rPr>
            <w:rStyle w:val="Hyperlink"/>
            <w:rFonts w:ascii="Times New Roman" w:hAnsi="Times New Roman" w:cs="Times New Roman"/>
            <w:sz w:val="24"/>
            <w:szCs w:val="24"/>
          </w:rPr>
          <w:t>ttp://journals.openedition.org/sejed/12448</w:t>
        </w:r>
      </w:hyperlink>
    </w:p>
    <w:p w14:paraId="53E6069D" w14:textId="4FFD80EF" w:rsidR="00FC72E7" w:rsidRPr="004073C4" w:rsidRDefault="00FC72E7" w:rsidP="000F0696">
      <w:pPr>
        <w:ind w:left="567" w:hanging="567"/>
        <w:jc w:val="both"/>
        <w:rPr>
          <w:rFonts w:ascii="Times New Roman" w:hAnsi="Times New Roman" w:cs="Times New Roman"/>
          <w:sz w:val="24"/>
          <w:szCs w:val="24"/>
        </w:rPr>
      </w:pPr>
      <w:r w:rsidRPr="004073C4">
        <w:rPr>
          <w:rFonts w:ascii="Times New Roman" w:hAnsi="Times New Roman" w:cs="Times New Roman"/>
          <w:sz w:val="24"/>
          <w:szCs w:val="24"/>
        </w:rPr>
        <w:t>Bourd</w:t>
      </w:r>
      <w:r w:rsidR="004073C4" w:rsidRPr="004073C4">
        <w:rPr>
          <w:rFonts w:ascii="Times New Roman" w:hAnsi="Times New Roman" w:cs="Times New Roman"/>
          <w:sz w:val="24"/>
          <w:szCs w:val="24"/>
        </w:rPr>
        <w:t xml:space="preserve">on, S., Bélisle, R., Garon, S., Michaud, G., van Caloen, B., Gosselin, M. et Yergeau, É. (2008). </w:t>
      </w:r>
      <w:r w:rsidR="004073C4" w:rsidRPr="004073C4">
        <w:rPr>
          <w:rFonts w:ascii="Times New Roman" w:hAnsi="Times New Roman" w:cs="Times New Roman"/>
          <w:i/>
          <w:iCs/>
          <w:sz w:val="24"/>
          <w:szCs w:val="24"/>
        </w:rPr>
        <w:t xml:space="preserve">Note méthodologique pour une enquête longitudinale sur les transitions </w:t>
      </w:r>
      <w:proofErr w:type="gramStart"/>
      <w:r w:rsidR="004073C4" w:rsidRPr="004073C4">
        <w:rPr>
          <w:rFonts w:ascii="Times New Roman" w:hAnsi="Times New Roman" w:cs="Times New Roman"/>
          <w:i/>
          <w:iCs/>
          <w:sz w:val="24"/>
          <w:szCs w:val="24"/>
        </w:rPr>
        <w:t>et</w:t>
      </w:r>
      <w:proofErr w:type="gramEnd"/>
      <w:r w:rsidR="004073C4" w:rsidRPr="004073C4">
        <w:rPr>
          <w:rFonts w:ascii="Times New Roman" w:hAnsi="Times New Roman" w:cs="Times New Roman"/>
          <w:i/>
          <w:iCs/>
          <w:sz w:val="24"/>
          <w:szCs w:val="24"/>
        </w:rPr>
        <w:t xml:space="preserve"> l’apprentissage de jeunes adultes en situation de précarité</w:t>
      </w:r>
      <w:r w:rsidR="004073C4" w:rsidRPr="004073C4">
        <w:rPr>
          <w:rFonts w:ascii="Times New Roman" w:hAnsi="Times New Roman" w:cs="Times New Roman"/>
          <w:sz w:val="24"/>
          <w:szCs w:val="24"/>
        </w:rPr>
        <w:t xml:space="preserve">. </w:t>
      </w:r>
      <w:r w:rsidR="004073C4" w:rsidRPr="004073C4">
        <w:rPr>
          <w:rFonts w:ascii="Times New Roman" w:hAnsi="Times New Roman" w:cs="Times New Roman"/>
          <w:sz w:val="24"/>
          <w:szCs w:val="24"/>
        </w:rPr>
        <w:t>Centre d’études et de recherches sur les transitions et l’apprentissage (CERTA).</w:t>
      </w:r>
    </w:p>
    <w:p w14:paraId="1EF9D339" w14:textId="5D13991E" w:rsidR="00E44B06" w:rsidRPr="00E44B06" w:rsidRDefault="00E44B06" w:rsidP="00E44B06">
      <w:pPr>
        <w:ind w:left="567" w:hanging="567"/>
        <w:jc w:val="both"/>
        <w:rPr>
          <w:rFonts w:ascii="Times New Roman" w:hAnsi="Times New Roman" w:cs="Times New Roman"/>
          <w:sz w:val="24"/>
          <w:szCs w:val="24"/>
        </w:rPr>
      </w:pPr>
      <w:r w:rsidRPr="00E44B06">
        <w:rPr>
          <w:rFonts w:ascii="Times New Roman" w:hAnsi="Times New Roman" w:cs="Times New Roman"/>
          <w:sz w:val="24"/>
          <w:szCs w:val="24"/>
        </w:rPr>
        <w:t>Dionne, P., &amp; Bélisle, R. (2021). Le projet collectif d’orientation comme modalité d’intervention pour l’insertion sociale et professionnelle. </w:t>
      </w:r>
      <w:r w:rsidRPr="00E44B06">
        <w:rPr>
          <w:rFonts w:ascii="Times New Roman" w:hAnsi="Times New Roman" w:cs="Times New Roman"/>
          <w:i/>
          <w:iCs/>
          <w:sz w:val="24"/>
          <w:szCs w:val="24"/>
        </w:rPr>
        <w:t>Nouvelles pratiques sociales,</w:t>
      </w:r>
      <w:r w:rsidRPr="00E44B06">
        <w:rPr>
          <w:rFonts w:ascii="Times New Roman" w:hAnsi="Times New Roman" w:cs="Times New Roman"/>
          <w:sz w:val="24"/>
          <w:szCs w:val="24"/>
        </w:rPr>
        <w:t> </w:t>
      </w:r>
      <w:r w:rsidRPr="00E44B06">
        <w:rPr>
          <w:rFonts w:ascii="Times New Roman" w:hAnsi="Times New Roman" w:cs="Times New Roman"/>
          <w:i/>
          <w:iCs/>
          <w:sz w:val="24"/>
          <w:szCs w:val="24"/>
        </w:rPr>
        <w:t>32</w:t>
      </w:r>
      <w:r w:rsidRPr="00E44B06">
        <w:rPr>
          <w:rFonts w:ascii="Times New Roman" w:hAnsi="Times New Roman" w:cs="Times New Roman"/>
          <w:sz w:val="24"/>
          <w:szCs w:val="24"/>
        </w:rPr>
        <w:t xml:space="preserve">(1), 335–354. </w:t>
      </w:r>
      <w:hyperlink r:id="rId11" w:history="1">
        <w:r w:rsidRPr="00E44B06">
          <w:rPr>
            <w:rStyle w:val="Hyperlink"/>
            <w:rFonts w:ascii="Times New Roman" w:hAnsi="Times New Roman" w:cs="Times New Roman"/>
            <w:sz w:val="24"/>
            <w:szCs w:val="24"/>
          </w:rPr>
          <w:t>https://doi.org/10.7202/1080884ar</w:t>
        </w:r>
      </w:hyperlink>
      <w:r w:rsidRPr="00E44B06">
        <w:rPr>
          <w:rFonts w:ascii="Times New Roman" w:hAnsi="Times New Roman" w:cs="Times New Roman"/>
          <w:sz w:val="24"/>
          <w:szCs w:val="24"/>
        </w:rPr>
        <w:t xml:space="preserve">. </w:t>
      </w:r>
    </w:p>
    <w:p w14:paraId="2ED80E75" w14:textId="7E560479" w:rsidR="000F0696" w:rsidRDefault="000F0696" w:rsidP="00E579D4">
      <w:pPr>
        <w:keepLines/>
        <w:ind w:left="567" w:hanging="567"/>
        <w:jc w:val="both"/>
        <w:rPr>
          <w:rFonts w:ascii="Times New Roman" w:hAnsi="Times New Roman" w:cs="Times New Roman"/>
          <w:sz w:val="24"/>
          <w:szCs w:val="24"/>
        </w:rPr>
      </w:pPr>
      <w:r w:rsidRPr="000F0696">
        <w:rPr>
          <w:rFonts w:ascii="Times New Roman" w:hAnsi="Times New Roman" w:cs="Times New Roman"/>
          <w:sz w:val="24"/>
          <w:szCs w:val="24"/>
        </w:rPr>
        <w:t xml:space="preserve">Longo, M.-E., Lachaume, A., Supeno, E., </w:t>
      </w:r>
      <w:r>
        <w:rPr>
          <w:rFonts w:ascii="Times New Roman" w:hAnsi="Times New Roman" w:cs="Times New Roman"/>
          <w:sz w:val="24"/>
          <w:szCs w:val="24"/>
        </w:rPr>
        <w:t>&amp;</w:t>
      </w:r>
      <w:r w:rsidRPr="000F0696">
        <w:rPr>
          <w:rFonts w:ascii="Times New Roman" w:hAnsi="Times New Roman" w:cs="Times New Roman"/>
          <w:sz w:val="24"/>
          <w:szCs w:val="24"/>
        </w:rPr>
        <w:t xml:space="preserve"> Noël, M. (2023</w:t>
      </w:r>
      <w:r w:rsidRPr="000F0696">
        <w:rPr>
          <w:rFonts w:ascii="Times New Roman" w:hAnsi="Times New Roman" w:cs="Times New Roman"/>
          <w:i/>
          <w:sz w:val="24"/>
          <w:szCs w:val="24"/>
        </w:rPr>
        <w:t>). Les récits des jeunes ni en emploi, ni aux études, ni en formation (NEEF) au Québec : Réalités, parcours et points tournants.</w:t>
      </w:r>
      <w:r w:rsidRPr="000F0696">
        <w:rPr>
          <w:rFonts w:ascii="Times New Roman" w:hAnsi="Times New Roman" w:cs="Times New Roman"/>
          <w:sz w:val="24"/>
          <w:szCs w:val="24"/>
        </w:rPr>
        <w:t xml:space="preserve"> Institut national de la recherche scientifique. </w:t>
      </w:r>
      <w:hyperlink r:id="rId12">
        <w:r w:rsidRPr="000F0696">
          <w:rPr>
            <w:rStyle w:val="Hyperlink"/>
            <w:rFonts w:ascii="Times New Roman" w:hAnsi="Times New Roman" w:cs="Times New Roman"/>
            <w:sz w:val="24"/>
            <w:szCs w:val="24"/>
          </w:rPr>
          <w:t>Rapport-NEEF-Quali_Version-finale-2024-01-15.pdf</w:t>
        </w:r>
      </w:hyperlink>
    </w:p>
    <w:p w14:paraId="53EBD875" w14:textId="77777777" w:rsidR="00E44B06" w:rsidRPr="00E44B06" w:rsidRDefault="00E44B06" w:rsidP="00E44B06">
      <w:pPr>
        <w:ind w:left="567" w:hanging="567"/>
        <w:jc w:val="both"/>
        <w:rPr>
          <w:rFonts w:ascii="Times New Roman" w:hAnsi="Times New Roman" w:cs="Times New Roman"/>
          <w:sz w:val="24"/>
          <w:szCs w:val="24"/>
        </w:rPr>
      </w:pPr>
      <w:r w:rsidRPr="00E44B06">
        <w:rPr>
          <w:rFonts w:ascii="Times New Roman" w:hAnsi="Times New Roman" w:cs="Times New Roman"/>
          <w:sz w:val="24"/>
          <w:szCs w:val="24"/>
          <w:lang w:val="en-US"/>
        </w:rPr>
        <w:t>Stetsenko, A. (2023).</w:t>
      </w:r>
      <w:r w:rsidRPr="00E44B06">
        <w:rPr>
          <w:rFonts w:ascii="Times New Roman" w:hAnsi="Times New Roman" w:cs="Times New Roman"/>
          <w:sz w:val="24"/>
          <w:szCs w:val="24"/>
          <w:lang w:val="en-CA"/>
        </w:rPr>
        <w:t> </w:t>
      </w:r>
      <w:r w:rsidRPr="00E44B06">
        <w:rPr>
          <w:rFonts w:ascii="Times New Roman" w:hAnsi="Times New Roman" w:cs="Times New Roman"/>
          <w:sz w:val="24"/>
          <w:szCs w:val="24"/>
          <w:lang w:val="en-US"/>
        </w:rPr>
        <w:t>Knowledge production as a process of making mis/takes at the edge of uncertainty: Research as an activist, risky and personal quest. In</w:t>
      </w:r>
      <w:r w:rsidRPr="00E44B06">
        <w:rPr>
          <w:rFonts w:ascii="Times New Roman" w:hAnsi="Times New Roman" w:cs="Times New Roman"/>
          <w:sz w:val="24"/>
          <w:szCs w:val="24"/>
          <w:lang w:val="en-CA"/>
        </w:rPr>
        <w:t xml:space="preserve"> </w:t>
      </w:r>
      <w:r w:rsidRPr="00E44B06">
        <w:rPr>
          <w:rFonts w:ascii="Times New Roman" w:hAnsi="Times New Roman" w:cs="Times New Roman"/>
          <w:sz w:val="24"/>
          <w:szCs w:val="24"/>
          <w:lang w:val="en-US"/>
        </w:rPr>
        <w:t xml:space="preserve">P. Dionne &amp; A. Jornet. (Eds.), </w:t>
      </w:r>
      <w:r w:rsidRPr="00E44B06">
        <w:rPr>
          <w:rFonts w:ascii="Times New Roman" w:hAnsi="Times New Roman" w:cs="Times New Roman"/>
          <w:i/>
          <w:iCs/>
          <w:sz w:val="24"/>
          <w:szCs w:val="24"/>
          <w:lang w:val="en-US"/>
        </w:rPr>
        <w:t xml:space="preserve">Doing CHAT in the wild: From-the-field challenges of a non-dualist methodology </w:t>
      </w:r>
      <w:r w:rsidRPr="00E44B06">
        <w:rPr>
          <w:rFonts w:ascii="Times New Roman" w:hAnsi="Times New Roman" w:cs="Times New Roman"/>
          <w:sz w:val="24"/>
          <w:szCs w:val="24"/>
          <w:lang w:val="en-US"/>
        </w:rPr>
        <w:t>(pp. 15–45)</w:t>
      </w:r>
      <w:r w:rsidRPr="00E44B06">
        <w:rPr>
          <w:rFonts w:ascii="Times New Roman" w:hAnsi="Times New Roman" w:cs="Times New Roman"/>
          <w:i/>
          <w:iCs/>
          <w:sz w:val="24"/>
          <w:szCs w:val="24"/>
          <w:lang w:val="en-US"/>
        </w:rPr>
        <w:t xml:space="preserve">. </w:t>
      </w:r>
      <w:r w:rsidRPr="00E44B06">
        <w:rPr>
          <w:rFonts w:ascii="Times New Roman" w:hAnsi="Times New Roman" w:cs="Times New Roman"/>
          <w:sz w:val="24"/>
          <w:szCs w:val="24"/>
        </w:rPr>
        <w:t>Brill.</w:t>
      </w:r>
    </w:p>
    <w:p w14:paraId="107A6E7C" w14:textId="3F20894F" w:rsidR="00E44B06" w:rsidRDefault="00E44B06" w:rsidP="00E44B06">
      <w:pPr>
        <w:ind w:left="567" w:hanging="567"/>
        <w:jc w:val="both"/>
        <w:rPr>
          <w:rFonts w:ascii="Times New Roman" w:hAnsi="Times New Roman" w:cs="Times New Roman"/>
          <w:sz w:val="24"/>
          <w:szCs w:val="24"/>
        </w:rPr>
      </w:pPr>
      <w:r w:rsidRPr="00E44B06">
        <w:rPr>
          <w:rFonts w:ascii="Times New Roman" w:hAnsi="Times New Roman" w:cs="Times New Roman"/>
          <w:sz w:val="24"/>
          <w:szCs w:val="24"/>
        </w:rPr>
        <w:t xml:space="preserve">Supeno, E., Dionne, P., Chabot, J. et Sow, M.M. (2026). </w:t>
      </w:r>
      <w:r w:rsidRPr="00E44B06">
        <w:rPr>
          <w:rFonts w:ascii="Times New Roman" w:hAnsi="Times New Roman" w:cs="Times New Roman"/>
          <w:i/>
          <w:iCs/>
          <w:sz w:val="24"/>
          <w:szCs w:val="24"/>
        </w:rPr>
        <w:t>Suivi de l’accompagnement, l’insertion et le maintien en emploi des personnes participantes au projet « Ensemble, visons l’emploi ! ».</w:t>
      </w:r>
      <w:r w:rsidRPr="00E44B06">
        <w:rPr>
          <w:rFonts w:ascii="Times New Roman" w:hAnsi="Times New Roman" w:cs="Times New Roman"/>
          <w:sz w:val="24"/>
          <w:szCs w:val="24"/>
        </w:rPr>
        <w:t xml:space="preserve"> [</w:t>
      </w:r>
      <w:proofErr w:type="gramStart"/>
      <w:r w:rsidRPr="00E44B06">
        <w:rPr>
          <w:rFonts w:ascii="Times New Roman" w:hAnsi="Times New Roman" w:cs="Times New Roman"/>
          <w:sz w:val="24"/>
          <w:szCs w:val="24"/>
        </w:rPr>
        <w:t>rapport</w:t>
      </w:r>
      <w:proofErr w:type="gramEnd"/>
      <w:r w:rsidRPr="00E44B06">
        <w:rPr>
          <w:rFonts w:ascii="Times New Roman" w:hAnsi="Times New Roman" w:cs="Times New Roman"/>
          <w:sz w:val="24"/>
          <w:szCs w:val="24"/>
        </w:rPr>
        <w:t xml:space="preserve"> de recherche adressé à Services Québec]. Centre d’études et de recherches sur les transitions et l’apprentissage (CERTA).</w:t>
      </w:r>
    </w:p>
    <w:p w14:paraId="5F03DF4C" w14:textId="753C953C" w:rsidR="00E44B06" w:rsidRPr="00E44B06" w:rsidRDefault="00E44B06" w:rsidP="00E44B06">
      <w:pPr>
        <w:ind w:left="567" w:hanging="567"/>
        <w:jc w:val="both"/>
        <w:rPr>
          <w:rFonts w:ascii="Times New Roman" w:hAnsi="Times New Roman" w:cs="Times New Roman"/>
          <w:sz w:val="24"/>
          <w:szCs w:val="24"/>
          <w:lang w:val="en-CA"/>
        </w:rPr>
      </w:pPr>
      <w:r w:rsidRPr="00E44B06">
        <w:rPr>
          <w:rFonts w:ascii="Times New Roman" w:hAnsi="Times New Roman" w:cs="Times New Roman"/>
          <w:sz w:val="24"/>
          <w:szCs w:val="24"/>
          <w:lang w:val="en-CA"/>
        </w:rPr>
        <w:t xml:space="preserve">United Nations (2026). </w:t>
      </w:r>
      <w:r w:rsidRPr="00E44B06">
        <w:rPr>
          <w:rFonts w:ascii="Times New Roman" w:hAnsi="Times New Roman" w:cs="Times New Roman"/>
          <w:i/>
          <w:iCs/>
          <w:sz w:val="24"/>
          <w:szCs w:val="24"/>
          <w:lang w:val="en-CA"/>
        </w:rPr>
        <w:t>Sustainable development goals.</w:t>
      </w:r>
      <w:r w:rsidRPr="00E44B06">
        <w:rPr>
          <w:rFonts w:ascii="Times New Roman" w:hAnsi="Times New Roman" w:cs="Times New Roman"/>
          <w:sz w:val="24"/>
          <w:szCs w:val="24"/>
          <w:lang w:val="en-CA"/>
        </w:rPr>
        <w:t xml:space="preserve"> https://www.un.org/sustainabledevelopment/</w:t>
      </w:r>
    </w:p>
    <w:p w14:paraId="3CA5CBDD" w14:textId="77777777" w:rsidR="00E44B06" w:rsidRPr="000F0696" w:rsidRDefault="00E44B06" w:rsidP="000F0696">
      <w:pPr>
        <w:ind w:left="567" w:hanging="567"/>
        <w:jc w:val="both"/>
        <w:rPr>
          <w:rFonts w:ascii="Times New Roman" w:hAnsi="Times New Roman" w:cs="Times New Roman"/>
          <w:sz w:val="24"/>
          <w:szCs w:val="24"/>
          <w:lang w:val="en-CA"/>
        </w:rPr>
      </w:pPr>
    </w:p>
    <w:p w14:paraId="66679550" w14:textId="77777777" w:rsidR="000F0696" w:rsidRPr="00E44B06" w:rsidRDefault="000F0696" w:rsidP="000F0696">
      <w:pPr>
        <w:ind w:left="567" w:hanging="567"/>
        <w:jc w:val="both"/>
        <w:rPr>
          <w:rFonts w:ascii="Times New Roman" w:hAnsi="Times New Roman" w:cs="Times New Roman"/>
          <w:sz w:val="24"/>
          <w:szCs w:val="24"/>
          <w:lang w:val="en-CA"/>
        </w:rPr>
      </w:pPr>
    </w:p>
    <w:sectPr w:rsidR="000F0696" w:rsidRPr="00E44B0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vOT64994a16">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54DFE"/>
    <w:multiLevelType w:val="multilevel"/>
    <w:tmpl w:val="B744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7A1FBA"/>
    <w:multiLevelType w:val="multilevel"/>
    <w:tmpl w:val="9080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5422435">
    <w:abstractNumId w:val="1"/>
  </w:num>
  <w:num w:numId="2" w16cid:durableId="73943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3ED"/>
    <w:rsid w:val="00017AF1"/>
    <w:rsid w:val="00041E51"/>
    <w:rsid w:val="00075D9E"/>
    <w:rsid w:val="00091B46"/>
    <w:rsid w:val="000C0434"/>
    <w:rsid w:val="000F0696"/>
    <w:rsid w:val="00112238"/>
    <w:rsid w:val="001403F3"/>
    <w:rsid w:val="0025710B"/>
    <w:rsid w:val="002748B6"/>
    <w:rsid w:val="00295E98"/>
    <w:rsid w:val="002D1FA5"/>
    <w:rsid w:val="002F05D8"/>
    <w:rsid w:val="00322359"/>
    <w:rsid w:val="00327606"/>
    <w:rsid w:val="003E3E66"/>
    <w:rsid w:val="003E4C04"/>
    <w:rsid w:val="003E74D2"/>
    <w:rsid w:val="004073C4"/>
    <w:rsid w:val="00472F18"/>
    <w:rsid w:val="00475904"/>
    <w:rsid w:val="004C532F"/>
    <w:rsid w:val="005819D0"/>
    <w:rsid w:val="00611F01"/>
    <w:rsid w:val="006473ED"/>
    <w:rsid w:val="006654B3"/>
    <w:rsid w:val="006B26F8"/>
    <w:rsid w:val="006D24F8"/>
    <w:rsid w:val="006D7200"/>
    <w:rsid w:val="006F5CC4"/>
    <w:rsid w:val="00716EFA"/>
    <w:rsid w:val="00770B89"/>
    <w:rsid w:val="00881708"/>
    <w:rsid w:val="0094496A"/>
    <w:rsid w:val="00972A10"/>
    <w:rsid w:val="00996817"/>
    <w:rsid w:val="009B27B1"/>
    <w:rsid w:val="009E653C"/>
    <w:rsid w:val="00A36742"/>
    <w:rsid w:val="00A4601A"/>
    <w:rsid w:val="00A63490"/>
    <w:rsid w:val="00A66CB8"/>
    <w:rsid w:val="00AE326D"/>
    <w:rsid w:val="00B02022"/>
    <w:rsid w:val="00B040B5"/>
    <w:rsid w:val="00B64118"/>
    <w:rsid w:val="00BE0DFE"/>
    <w:rsid w:val="00C31D78"/>
    <w:rsid w:val="00C33411"/>
    <w:rsid w:val="00C33D34"/>
    <w:rsid w:val="00CA0DFE"/>
    <w:rsid w:val="00CC5ABF"/>
    <w:rsid w:val="00D26BEA"/>
    <w:rsid w:val="00D5612B"/>
    <w:rsid w:val="00E44B06"/>
    <w:rsid w:val="00E579D4"/>
    <w:rsid w:val="00EB4710"/>
    <w:rsid w:val="00EB7EFC"/>
    <w:rsid w:val="00EC213D"/>
    <w:rsid w:val="00EE646B"/>
    <w:rsid w:val="00F11064"/>
    <w:rsid w:val="00F15B72"/>
    <w:rsid w:val="00F43204"/>
    <w:rsid w:val="00F64103"/>
    <w:rsid w:val="00FB7794"/>
    <w:rsid w:val="00FC72E7"/>
    <w:rsid w:val="00FE1E6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C9736"/>
  <w15:chartTrackingRefBased/>
  <w15:docId w15:val="{34EB20D0-B315-49BA-BF46-FEC43D2C0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9D4"/>
  </w:style>
  <w:style w:type="paragraph" w:styleId="Heading1">
    <w:name w:val="Heading 1"/>
    <w:basedOn w:val="Normal"/>
    <w:next w:val="Normal"/>
    <w:uiPriority w:val="9"/>
    <w:qFormat/>
    <w:rsid w:val="00295E98"/>
    <w:pPr>
      <w:keepNext/>
      <w:keepLines/>
      <w:spacing w:after="0" w:line="480" w:lineRule="auto"/>
      <w:outlineLvl w:val="0"/>
    </w:pPr>
    <w:rPr>
      <w:rFonts w:ascii="Times New Roman" w:eastAsiaTheme="majorEastAsia" w:hAnsi="Times New Roman" w:cstheme="majorBidi"/>
      <w:caps/>
      <w:sz w:val="24"/>
      <w:szCs w:val="32"/>
    </w:rPr>
  </w:style>
  <w:style w:type="paragraph" w:styleId="Heading2">
    <w:name w:val="Heading 2"/>
    <w:basedOn w:val="Normal"/>
    <w:next w:val="Normal"/>
    <w:uiPriority w:val="9"/>
    <w:unhideWhenUsed/>
    <w:qFormat/>
    <w:rsid w:val="00A63490"/>
    <w:pPr>
      <w:keepNext/>
      <w:keepLines/>
      <w:spacing w:after="0" w:line="360" w:lineRule="auto"/>
      <w:outlineLvl w:val="1"/>
    </w:pPr>
    <w:rPr>
      <w:rFonts w:ascii="Times New Roman" w:eastAsiaTheme="majorEastAsia" w:hAnsi="Times New Roman" w:cstheme="majorBidi"/>
      <w:b/>
      <w:sz w:val="24"/>
      <w:szCs w:val="26"/>
    </w:rPr>
  </w:style>
  <w:style w:type="paragraph" w:styleId="Heading3">
    <w:name w:val="Heading 3"/>
    <w:basedOn w:val="Normal"/>
    <w:next w:val="Normal"/>
    <w:uiPriority w:val="9"/>
    <w:semiHidden/>
    <w:unhideWhenUsed/>
    <w:qFormat/>
    <w:rsid w:val="006473E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semiHidden/>
    <w:unhideWhenUsed/>
    <w:qFormat/>
    <w:rsid w:val="006473E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uiPriority w:val="9"/>
    <w:semiHidden/>
    <w:unhideWhenUsed/>
    <w:qFormat/>
    <w:rsid w:val="006473E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uiPriority w:val="9"/>
    <w:semiHidden/>
    <w:unhideWhenUsed/>
    <w:qFormat/>
    <w:rsid w:val="00647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647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647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647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73ED"/>
    <w:pPr>
      <w:ind w:left="720"/>
      <w:contextualSpacing/>
    </w:pPr>
  </w:style>
  <w:style w:type="character" w:styleId="IntenseEmphasis">
    <w:name w:val="Intense Emphasis"/>
    <w:basedOn w:val="DefaultParagraphFont"/>
    <w:uiPriority w:val="21"/>
    <w:qFormat/>
    <w:rsid w:val="006473ED"/>
    <w:rPr>
      <w:i/>
      <w:iCs/>
      <w:color w:val="2E74B5" w:themeColor="accent1" w:themeShade="BF"/>
    </w:rPr>
  </w:style>
  <w:style w:type="character" w:styleId="IntenseReference">
    <w:name w:val="Intense Reference"/>
    <w:basedOn w:val="DefaultParagraphFont"/>
    <w:uiPriority w:val="32"/>
    <w:qFormat/>
    <w:rsid w:val="006473ED"/>
    <w:rPr>
      <w:b/>
      <w:bCs/>
      <w:smallCaps/>
      <w:color w:val="2E74B5" w:themeColor="accent1" w:themeShade="BF"/>
      <w:spacing w:val="5"/>
    </w:rPr>
  </w:style>
  <w:style w:type="character" w:styleId="Hyperlink">
    <w:name w:val="Hyperlink"/>
    <w:basedOn w:val="DefaultParagraphFont"/>
    <w:uiPriority w:val="99"/>
    <w:unhideWhenUsed/>
    <w:rsid w:val="000F0696"/>
    <w:rPr>
      <w:color w:val="0563C1" w:themeColor="hyperlink"/>
      <w:u w:val="single"/>
    </w:rPr>
  </w:style>
  <w:style w:type="character" w:styleId="UnresolvedMention">
    <w:name w:val="Unresolved Mention"/>
    <w:basedOn w:val="DefaultParagraphFont"/>
    <w:uiPriority w:val="99"/>
    <w:semiHidden/>
    <w:unhideWhenUsed/>
    <w:rsid w:val="000F0696"/>
    <w:rPr>
      <w:color w:val="605E5C"/>
      <w:shd w:val="clear" w:color="auto" w:fill="E1DFDD"/>
    </w:rPr>
  </w:style>
  <w:style w:type="paragraph" w:styleId="Rvision">
    <w:name w:val="Revision"/>
    <w:hidden/>
    <w:uiPriority w:val="99"/>
    <w:semiHidden/>
    <w:rsid w:val="006D24F8"/>
    <w:pPr>
      <w:spacing w:after="0" w:line="240" w:lineRule="auto"/>
    </w:pPr>
  </w:style>
  <w:style w:type="character" w:styleId="Marquedecommentaire">
    <w:name w:val="annotation reference"/>
    <w:basedOn w:val="DefaultParagraphFont"/>
    <w:uiPriority w:val="99"/>
    <w:semiHidden/>
    <w:unhideWhenUsed/>
    <w:rsid w:val="006D24F8"/>
    <w:rPr>
      <w:sz w:val="16"/>
      <w:szCs w:val="16"/>
    </w:rPr>
  </w:style>
  <w:style w:type="paragraph" w:styleId="Commentaire">
    <w:name w:val="annotation text"/>
    <w:basedOn w:val="Normal"/>
    <w:link w:val="CommentaireCar"/>
    <w:uiPriority w:val="99"/>
    <w:unhideWhenUsed/>
    <w:rsid w:val="006D24F8"/>
    <w:pPr>
      <w:spacing w:line="240" w:lineRule="auto"/>
    </w:pPr>
    <w:rPr>
      <w:sz w:val="20"/>
      <w:szCs w:val="20"/>
    </w:rPr>
  </w:style>
  <w:style w:type="character" w:customStyle="1" w:styleId="CommentaireCar">
    <w:name w:val="Commentaire Car"/>
    <w:basedOn w:val="DefaultParagraphFont"/>
    <w:link w:val="Commentaire"/>
    <w:uiPriority w:val="99"/>
    <w:rsid w:val="006D24F8"/>
    <w:rPr>
      <w:sz w:val="20"/>
      <w:szCs w:val="20"/>
    </w:rPr>
  </w:style>
  <w:style w:type="paragraph" w:styleId="Objetducommentaire">
    <w:name w:val="annotation subject"/>
    <w:basedOn w:val="Commentaire"/>
    <w:next w:val="Commentaire"/>
    <w:link w:val="ObjetducommentaireCar"/>
    <w:uiPriority w:val="99"/>
    <w:semiHidden/>
    <w:unhideWhenUsed/>
    <w:rsid w:val="006D24F8"/>
    <w:rPr>
      <w:b/>
      <w:bCs/>
    </w:rPr>
  </w:style>
  <w:style w:type="character" w:customStyle="1" w:styleId="ObjetducommentaireCar">
    <w:name w:val="Objet du commentaire Car"/>
    <w:basedOn w:val="CommentaireCar"/>
    <w:link w:val="Objetducommentaire"/>
    <w:uiPriority w:val="99"/>
    <w:semiHidden/>
    <w:rsid w:val="006D24F8"/>
    <w:rPr>
      <w:b/>
      <w:bCs/>
      <w:sz w:val="20"/>
      <w:szCs w:val="20"/>
    </w:rPr>
  </w:style>
  <w:style w:type="character" w:customStyle="1" w:styleId="Titre1Car">
    <w:name w:val="Titre 1 Car"/>
    <w:basedOn w:val="DefaultParagraphFont"/>
    <w:uiPriority w:val="9"/>
    <w:rsid w:val="00C31D78"/>
    <w:rPr>
      <w:rFonts w:ascii="Times New Roman" w:eastAsiaTheme="majorEastAsia" w:hAnsi="Times New Roman" w:cstheme="majorBidi"/>
      <w:caps/>
      <w:sz w:val="24"/>
      <w:szCs w:val="32"/>
    </w:rPr>
  </w:style>
  <w:style w:type="character" w:customStyle="1" w:styleId="Titre2Car">
    <w:name w:val="Titre 2 Car"/>
    <w:basedOn w:val="DefaultParagraphFont"/>
    <w:uiPriority w:val="9"/>
    <w:rsid w:val="00C31D78"/>
    <w:rPr>
      <w:rFonts w:ascii="Times New Roman" w:eastAsiaTheme="majorEastAsia" w:hAnsi="Times New Roman" w:cstheme="majorBidi"/>
      <w:b/>
      <w:sz w:val="24"/>
      <w:szCs w:val="26"/>
    </w:rPr>
  </w:style>
  <w:style w:type="character" w:customStyle="1" w:styleId="Titre3Car">
    <w:name w:val="Titre 3 Car"/>
    <w:basedOn w:val="DefaultParagraphFont"/>
    <w:uiPriority w:val="9"/>
    <w:semiHidden/>
    <w:rsid w:val="00C31D78"/>
    <w:rPr>
      <w:rFonts w:eastAsiaTheme="majorEastAsia" w:cstheme="majorBidi"/>
      <w:color w:val="2E74B5" w:themeColor="accent1" w:themeShade="BF"/>
      <w:sz w:val="28"/>
      <w:szCs w:val="28"/>
    </w:rPr>
  </w:style>
  <w:style w:type="character" w:customStyle="1" w:styleId="Titre4Car">
    <w:name w:val="Titre 4 Car"/>
    <w:basedOn w:val="DefaultParagraphFont"/>
    <w:uiPriority w:val="9"/>
    <w:semiHidden/>
    <w:rsid w:val="00C31D78"/>
    <w:rPr>
      <w:rFonts w:eastAsiaTheme="majorEastAsia" w:cstheme="majorBidi"/>
      <w:i/>
      <w:iCs/>
      <w:color w:val="2E74B5" w:themeColor="accent1" w:themeShade="BF"/>
    </w:rPr>
  </w:style>
  <w:style w:type="character" w:customStyle="1" w:styleId="Titre5Car">
    <w:name w:val="Titre 5 Car"/>
    <w:basedOn w:val="DefaultParagraphFont"/>
    <w:uiPriority w:val="9"/>
    <w:semiHidden/>
    <w:rsid w:val="00C31D78"/>
    <w:rPr>
      <w:rFonts w:eastAsiaTheme="majorEastAsia" w:cstheme="majorBidi"/>
      <w:color w:val="2E74B5" w:themeColor="accent1" w:themeShade="BF"/>
    </w:rPr>
  </w:style>
  <w:style w:type="character" w:customStyle="1" w:styleId="Titre6Car">
    <w:name w:val="Titre 6 Car"/>
    <w:basedOn w:val="DefaultParagraphFont"/>
    <w:uiPriority w:val="9"/>
    <w:semiHidden/>
    <w:rsid w:val="00C31D78"/>
    <w:rPr>
      <w:rFonts w:eastAsiaTheme="majorEastAsia" w:cstheme="majorBidi"/>
      <w:i/>
      <w:iCs/>
      <w:color w:val="595959" w:themeColor="text1" w:themeTint="A6"/>
    </w:rPr>
  </w:style>
  <w:style w:type="character" w:customStyle="1" w:styleId="Titre7Car">
    <w:name w:val="Titre 7 Car"/>
    <w:basedOn w:val="DefaultParagraphFont"/>
    <w:uiPriority w:val="9"/>
    <w:semiHidden/>
    <w:rsid w:val="00C31D78"/>
    <w:rPr>
      <w:rFonts w:eastAsiaTheme="majorEastAsia" w:cstheme="majorBidi"/>
      <w:color w:val="595959" w:themeColor="text1" w:themeTint="A6"/>
    </w:rPr>
  </w:style>
  <w:style w:type="character" w:customStyle="1" w:styleId="Titre8Car">
    <w:name w:val="Titre 8 Car"/>
    <w:basedOn w:val="DefaultParagraphFont"/>
    <w:uiPriority w:val="9"/>
    <w:semiHidden/>
    <w:rsid w:val="00C31D78"/>
    <w:rPr>
      <w:rFonts w:eastAsiaTheme="majorEastAsia" w:cstheme="majorBidi"/>
      <w:i/>
      <w:iCs/>
      <w:color w:val="272727" w:themeColor="text1" w:themeTint="D8"/>
    </w:rPr>
  </w:style>
  <w:style w:type="character" w:customStyle="1" w:styleId="Titre9Car">
    <w:name w:val="Titre 9 Car"/>
    <w:basedOn w:val="DefaultParagraphFont"/>
    <w:uiPriority w:val="9"/>
    <w:semiHidden/>
    <w:rsid w:val="00C31D78"/>
    <w:rPr>
      <w:rFonts w:eastAsiaTheme="majorEastAsia" w:cstheme="majorBidi"/>
      <w:color w:val="272727" w:themeColor="text1" w:themeTint="D8"/>
    </w:rPr>
  </w:style>
  <w:style w:type="character" w:customStyle="1" w:styleId="TitreCar">
    <w:name w:val="Titre Car"/>
    <w:basedOn w:val="DefaultParagraphFont"/>
    <w:uiPriority w:val="10"/>
    <w:rsid w:val="00C31D78"/>
    <w:rPr>
      <w:rFonts w:asciiTheme="majorHAnsi" w:eastAsiaTheme="majorEastAsia" w:hAnsiTheme="majorHAnsi" w:cstheme="majorBidi"/>
      <w:spacing w:val="-10"/>
      <w:kern w:val="28"/>
      <w:sz w:val="56"/>
      <w:szCs w:val="56"/>
    </w:rPr>
  </w:style>
  <w:style w:type="character" w:customStyle="1" w:styleId="Sous-titreCar">
    <w:name w:val="Sous-titre Car"/>
    <w:basedOn w:val="DefaultParagraphFont"/>
    <w:uiPriority w:val="11"/>
    <w:rsid w:val="00C31D78"/>
    <w:rPr>
      <w:rFonts w:eastAsiaTheme="majorEastAsia" w:cstheme="majorBidi"/>
      <w:color w:val="595959" w:themeColor="text1" w:themeTint="A6"/>
      <w:spacing w:val="15"/>
      <w:sz w:val="28"/>
      <w:szCs w:val="28"/>
    </w:rPr>
  </w:style>
  <w:style w:type="character" w:customStyle="1" w:styleId="CitationCar">
    <w:name w:val="Citation Car"/>
    <w:basedOn w:val="DefaultParagraphFont"/>
    <w:uiPriority w:val="29"/>
    <w:rsid w:val="00C31D78"/>
    <w:rPr>
      <w:i/>
      <w:iCs/>
      <w:color w:val="404040" w:themeColor="text1" w:themeTint="BF"/>
    </w:rPr>
  </w:style>
  <w:style w:type="character" w:customStyle="1" w:styleId="CitationintenseCar">
    <w:name w:val="Citation intense Car"/>
    <w:basedOn w:val="DefaultParagraphFont"/>
    <w:uiPriority w:val="30"/>
    <w:rsid w:val="00C31D78"/>
    <w:rPr>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cia.dionne@usherbrooke.ca"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cjeunes.org/wp-content/uploads/2024/08/Rapport-NEEF-Quali_Version-finale-2024-01-15.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7202/1080884ar" TargetMode="External"/><Relationship Id="rId5" Type="http://schemas.openxmlformats.org/officeDocument/2006/relationships/styles" Target="styles.xml"/><Relationship Id="rId10" Type="http://schemas.openxmlformats.org/officeDocument/2006/relationships/hyperlink" Target="http://journals.openedition.org/sejed/12448" TargetMode="External"/><Relationship Id="rId4" Type="http://schemas.openxmlformats.org/officeDocument/2006/relationships/numbering" Target="numbering.xml"/><Relationship Id="rId9" Type="http://schemas.openxmlformats.org/officeDocument/2006/relationships/hyperlink" Target="https://doi.org/10.1177/10690727241283685"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1C8448CFF73D4888DF1699CCC24F52" ma:contentTypeVersion="18" ma:contentTypeDescription="Crée un document." ma:contentTypeScope="" ma:versionID="36a07124d3391f3c0aadfc79dfbe4f51">
  <xsd:schema xmlns:xsd="http://www.w3.org/2001/XMLSchema" xmlns:xs="http://www.w3.org/2001/XMLSchema" xmlns:p="http://schemas.microsoft.com/office/2006/metadata/properties" xmlns:ns3="3f0e68d4-c26e-4fb4-acd9-5c5424f33a40" xmlns:ns4="d4008b3c-1beb-49e8-9842-dd5435f47c7c" targetNamespace="http://schemas.microsoft.com/office/2006/metadata/properties" ma:root="true" ma:fieldsID="67b18db6902626551625e92098bd1597" ns3:_="" ns4:_="">
    <xsd:import namespace="3f0e68d4-c26e-4fb4-acd9-5c5424f33a40"/>
    <xsd:import namespace="d4008b3c-1beb-49e8-9842-dd5435f47c7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GenerationTime" minOccurs="0"/>
                <xsd:element ref="ns4:MediaServiceEventHashCode" minOccurs="0"/>
                <xsd:element ref="ns4:MediaServiceSystemTags" minOccurs="0"/>
                <xsd:element ref="ns4:MediaServiceSearchProperties"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e68d4-c26e-4fb4-acd9-5c5424f33a40"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008b3c-1beb-49e8-9842-dd5435f47c7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4008b3c-1beb-49e8-9842-dd5435f47c7c" xsi:nil="true"/>
  </documentManagement>
</p:properties>
</file>

<file path=customXml/itemProps1.xml><?xml version="1.0" encoding="utf-8"?>
<ds:datastoreItem xmlns:ds="http://schemas.openxmlformats.org/officeDocument/2006/customXml" ds:itemID="{07E03017-6E31-49AC-A396-13B485286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e68d4-c26e-4fb4-acd9-5c5424f33a40"/>
    <ds:schemaRef ds:uri="d4008b3c-1beb-49e8-9842-dd5435f4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53642A-26DE-4754-9587-07F6EF32AE95}">
  <ds:schemaRefs>
    <ds:schemaRef ds:uri="http://schemas.microsoft.com/sharepoint/v3/contenttype/forms"/>
  </ds:schemaRefs>
</ds:datastoreItem>
</file>

<file path=customXml/itemProps3.xml><?xml version="1.0" encoding="utf-8"?>
<ds:datastoreItem xmlns:ds="http://schemas.openxmlformats.org/officeDocument/2006/customXml" ds:itemID="{56FAEF59-EBB8-4712-B3E1-53AE7C5DD1E3}">
  <ds:schemaRefs>
    <ds:schemaRef ds:uri="http://schemas.microsoft.com/office/2006/metadata/properties"/>
    <ds:schemaRef ds:uri="http://schemas.microsoft.com/office/infopath/2007/PartnerControls"/>
    <ds:schemaRef ds:uri="d4008b3c-1beb-49e8-9842-dd5435f47c7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1003</Words>
  <Characters>6360</Characters>
  <Application>Microsoft Office Word</Application>
  <DocSecurity>0</DocSecurity>
  <Lines>135</Lines>
  <Paragraphs>41</Paragraphs>
  <ScaleCrop>false</ScaleCrop>
  <HeadingPairs>
    <vt:vector size="2" baseType="variant">
      <vt:variant>
        <vt:lpstr>Titre</vt:lpstr>
      </vt:variant>
      <vt:variant>
        <vt:i4>1</vt:i4>
      </vt:variant>
    </vt:vector>
  </HeadingPairs>
  <TitlesOfParts>
    <vt:vector size="1" baseType="lpstr">
      <vt:lpstr/>
    </vt:vector>
  </TitlesOfParts>
  <Company>Universite de Sherbrooke</Company>
  <LinksUpToDate>false</LinksUpToDate>
  <CharactersWithSpaces>7322</CharactersWithSpaces>
  <SharedDoc>false</SharedDoc>
  <HLinks>
    <vt:vector size="30" baseType="variant">
      <vt:variant>
        <vt:i4>589949</vt:i4>
      </vt:variant>
      <vt:variant>
        <vt:i4>12</vt:i4>
      </vt:variant>
      <vt:variant>
        <vt:i4>0</vt:i4>
      </vt:variant>
      <vt:variant>
        <vt:i4>5</vt:i4>
      </vt:variant>
      <vt:variant>
        <vt:lpwstr>https://ccjeunes.org/wp-content/uploads/2024/08/Rapport-NEEF-Quali_Version-finale-2024-01-15.pdf</vt:lpwstr>
      </vt:variant>
      <vt:variant>
        <vt:lpwstr/>
      </vt:variant>
      <vt:variant>
        <vt:i4>4980831</vt:i4>
      </vt:variant>
      <vt:variant>
        <vt:i4>9</vt:i4>
      </vt:variant>
      <vt:variant>
        <vt:i4>0</vt:i4>
      </vt:variant>
      <vt:variant>
        <vt:i4>5</vt:i4>
      </vt:variant>
      <vt:variant>
        <vt:lpwstr>https://doi.org/10.7202/1080884ar</vt:lpwstr>
      </vt:variant>
      <vt:variant>
        <vt:lpwstr/>
      </vt:variant>
      <vt:variant>
        <vt:i4>2293879</vt:i4>
      </vt:variant>
      <vt:variant>
        <vt:i4>6</vt:i4>
      </vt:variant>
      <vt:variant>
        <vt:i4>0</vt:i4>
      </vt:variant>
      <vt:variant>
        <vt:i4>5</vt:i4>
      </vt:variant>
      <vt:variant>
        <vt:lpwstr>http://journals.openedition.org/sejed/12448</vt:lpwstr>
      </vt:variant>
      <vt:variant>
        <vt:lpwstr/>
      </vt:variant>
      <vt:variant>
        <vt:i4>1048660</vt:i4>
      </vt:variant>
      <vt:variant>
        <vt:i4>3</vt:i4>
      </vt:variant>
      <vt:variant>
        <vt:i4>0</vt:i4>
      </vt:variant>
      <vt:variant>
        <vt:i4>5</vt:i4>
      </vt:variant>
      <vt:variant>
        <vt:lpwstr>https://doi.org/10.1177/10690727241283685</vt:lpwstr>
      </vt:variant>
      <vt:variant>
        <vt:lpwstr/>
      </vt:variant>
      <vt:variant>
        <vt:i4>6160416</vt:i4>
      </vt:variant>
      <vt:variant>
        <vt:i4>0</vt:i4>
      </vt:variant>
      <vt:variant>
        <vt:i4>0</vt:i4>
      </vt:variant>
      <vt:variant>
        <vt:i4>5</vt:i4>
      </vt:variant>
      <vt:variant>
        <vt:lpwstr>mailto:patricia.dionne@usherbrooke.ca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Dionne</dc:creator>
  <cp:keywords/>
  <dc:description/>
  <cp:lastModifiedBy>Patricia Dionne</cp:lastModifiedBy>
  <cp:revision>2</cp:revision>
  <dcterms:created xsi:type="dcterms:W3CDTF">2026-04-16T20:21:00Z</dcterms:created>
  <dcterms:modified xsi:type="dcterms:W3CDTF">2026-04-16T20:21:00Z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0x010100761C8448CFF73D4888DF1699CCC24F52</vt:lpwstr>
  </property>
</Properties>
</file>