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1848B" w14:textId="46C3EB5D" w:rsidR="00E233E3" w:rsidRPr="00E233E3" w:rsidRDefault="00E233E3" w:rsidP="00E233E3">
      <w:pPr>
        <w:spacing w:line="360" w:lineRule="auto"/>
        <w:rPr>
          <w:rFonts w:ascii="Calibri" w:hAnsi="Calibri" w:cs="Calibri"/>
          <w:b/>
          <w:bCs/>
          <w:sz w:val="22"/>
          <w:szCs w:val="22"/>
        </w:rPr>
      </w:pPr>
      <w:r w:rsidRPr="00E233E3">
        <w:rPr>
          <w:rFonts w:ascii="Calibri" w:hAnsi="Calibri" w:cs="Calibri"/>
          <w:b/>
          <w:bCs/>
          <w:sz w:val="22"/>
          <w:szCs w:val="22"/>
        </w:rPr>
        <w:t xml:space="preserve">Breaking or Building? Reimagining Public Employment Services Through </w:t>
      </w:r>
      <w:r>
        <w:rPr>
          <w:rFonts w:ascii="Calibri" w:hAnsi="Calibri" w:cs="Calibri"/>
          <w:b/>
          <w:bCs/>
          <w:sz w:val="22"/>
          <w:szCs w:val="22"/>
        </w:rPr>
        <w:t xml:space="preserve">a </w:t>
      </w:r>
      <w:r w:rsidRPr="00E233E3">
        <w:rPr>
          <w:rFonts w:ascii="Calibri" w:hAnsi="Calibri" w:cs="Calibri"/>
          <w:b/>
          <w:bCs/>
          <w:sz w:val="22"/>
          <w:szCs w:val="22"/>
        </w:rPr>
        <w:t xml:space="preserve">Career </w:t>
      </w:r>
      <w:r w:rsidR="008902CF">
        <w:rPr>
          <w:rFonts w:ascii="Calibri" w:hAnsi="Calibri" w:cs="Calibri"/>
          <w:b/>
          <w:bCs/>
          <w:sz w:val="22"/>
          <w:szCs w:val="22"/>
        </w:rPr>
        <w:t xml:space="preserve">Development </w:t>
      </w:r>
      <w:r>
        <w:rPr>
          <w:rFonts w:ascii="Calibri" w:hAnsi="Calibri" w:cs="Calibri"/>
          <w:b/>
          <w:bCs/>
          <w:sz w:val="22"/>
          <w:szCs w:val="22"/>
        </w:rPr>
        <w:t>Approach</w:t>
      </w:r>
    </w:p>
    <w:p w14:paraId="36B6AD20" w14:textId="7C1C9FB8" w:rsidR="00E233E3" w:rsidRPr="00E233E3" w:rsidRDefault="00E233E3" w:rsidP="00E233E3">
      <w:pPr>
        <w:spacing w:line="360" w:lineRule="auto"/>
        <w:rPr>
          <w:rFonts w:ascii="Calibri" w:hAnsi="Calibri" w:cs="Calibri"/>
          <w:sz w:val="22"/>
          <w:szCs w:val="22"/>
        </w:rPr>
      </w:pPr>
      <w:r w:rsidRPr="00E233E3">
        <w:rPr>
          <w:rFonts w:ascii="Calibri" w:hAnsi="Calibri" w:cs="Calibri"/>
          <w:b/>
          <w:bCs/>
          <w:sz w:val="22"/>
          <w:szCs w:val="22"/>
        </w:rPr>
        <w:t>Conference Theme Alignment</w:t>
      </w:r>
      <w:r w:rsidRPr="00E233E3">
        <w:rPr>
          <w:rFonts w:ascii="Calibri" w:hAnsi="Calibri" w:cs="Calibri"/>
          <w:sz w:val="22"/>
          <w:szCs w:val="22"/>
        </w:rPr>
        <w:br/>
        <w:t xml:space="preserve">This workshop aligns </w:t>
      </w:r>
      <w:r>
        <w:rPr>
          <w:rFonts w:ascii="Calibri" w:hAnsi="Calibri" w:cs="Calibri"/>
          <w:sz w:val="22"/>
          <w:szCs w:val="22"/>
        </w:rPr>
        <w:t xml:space="preserve">with </w:t>
      </w:r>
      <w:proofErr w:type="spellStart"/>
      <w:r w:rsidRPr="00E233E3">
        <w:rPr>
          <w:rFonts w:ascii="Calibri" w:hAnsi="Calibri" w:cs="Calibri"/>
          <w:b/>
          <w:bCs/>
          <w:sz w:val="22"/>
          <w:szCs w:val="22"/>
        </w:rPr>
        <w:t>Tupuānuku</w:t>
      </w:r>
      <w:proofErr w:type="spellEnd"/>
      <w:r w:rsidRPr="00E233E3">
        <w:rPr>
          <w:rFonts w:ascii="Calibri" w:hAnsi="Calibri" w:cs="Calibri"/>
          <w:b/>
          <w:bCs/>
          <w:sz w:val="22"/>
          <w:szCs w:val="22"/>
        </w:rPr>
        <w:t xml:space="preserve"> (Best Practice)</w:t>
      </w:r>
      <w:r w:rsidRPr="00E233E3">
        <w:rPr>
          <w:rFonts w:ascii="Calibri" w:hAnsi="Calibri" w:cs="Calibri"/>
          <w:sz w:val="22"/>
          <w:szCs w:val="22"/>
        </w:rPr>
        <w:t xml:space="preserve"> by presenting evidence-informed, practice-based approaches that strengthen public employment service systems</w:t>
      </w:r>
      <w:r>
        <w:rPr>
          <w:rFonts w:ascii="Calibri" w:hAnsi="Calibri" w:cs="Calibri"/>
          <w:sz w:val="22"/>
          <w:szCs w:val="22"/>
        </w:rPr>
        <w:t xml:space="preserve"> and </w:t>
      </w:r>
      <w:r w:rsidRPr="00E233E3">
        <w:rPr>
          <w:rFonts w:ascii="Calibri" w:hAnsi="Calibri" w:cs="Calibri"/>
          <w:sz w:val="22"/>
          <w:szCs w:val="22"/>
        </w:rPr>
        <w:t xml:space="preserve">with </w:t>
      </w:r>
      <w:proofErr w:type="spellStart"/>
      <w:r w:rsidRPr="00E233E3">
        <w:rPr>
          <w:rFonts w:ascii="Calibri" w:hAnsi="Calibri" w:cs="Calibri"/>
          <w:b/>
          <w:bCs/>
          <w:sz w:val="22"/>
          <w:szCs w:val="22"/>
        </w:rPr>
        <w:t>Matariki</w:t>
      </w:r>
      <w:proofErr w:type="spellEnd"/>
      <w:r w:rsidRPr="00E233E3">
        <w:rPr>
          <w:rFonts w:ascii="Calibri" w:hAnsi="Calibri" w:cs="Calibri"/>
          <w:b/>
          <w:bCs/>
          <w:sz w:val="22"/>
          <w:szCs w:val="22"/>
        </w:rPr>
        <w:t xml:space="preserve"> (Well-being)</w:t>
      </w:r>
      <w:r w:rsidRPr="00E233E3">
        <w:rPr>
          <w:rFonts w:ascii="Calibri" w:hAnsi="Calibri" w:cs="Calibri"/>
          <w:sz w:val="22"/>
          <w:szCs w:val="22"/>
        </w:rPr>
        <w:t xml:space="preserve"> through its focus on the relationship between career development, mental health, and resilience.</w:t>
      </w:r>
    </w:p>
    <w:p w14:paraId="191C7C5E" w14:textId="77777777" w:rsidR="00E233E3" w:rsidRPr="00E233E3" w:rsidRDefault="00E233E3" w:rsidP="00E233E3">
      <w:pPr>
        <w:spacing w:line="360" w:lineRule="auto"/>
        <w:rPr>
          <w:rFonts w:ascii="Calibri" w:hAnsi="Calibri" w:cs="Calibri"/>
          <w:sz w:val="22"/>
          <w:szCs w:val="22"/>
        </w:rPr>
      </w:pPr>
      <w:r w:rsidRPr="00E233E3">
        <w:rPr>
          <w:rFonts w:ascii="Calibri" w:hAnsi="Calibri" w:cs="Calibri"/>
          <w:b/>
          <w:bCs/>
          <w:sz w:val="22"/>
          <w:szCs w:val="22"/>
        </w:rPr>
        <w:t>Presentation Language</w:t>
      </w:r>
      <w:r w:rsidRPr="00E233E3">
        <w:rPr>
          <w:rFonts w:ascii="Calibri" w:hAnsi="Calibri" w:cs="Calibri"/>
          <w:sz w:val="22"/>
          <w:szCs w:val="22"/>
        </w:rPr>
        <w:br/>
        <w:t>English</w:t>
      </w:r>
    </w:p>
    <w:p w14:paraId="74DBF085" w14:textId="77777777" w:rsidR="00E233E3" w:rsidRPr="00E233E3" w:rsidRDefault="00E233E3" w:rsidP="00E233E3">
      <w:pPr>
        <w:spacing w:line="360" w:lineRule="auto"/>
        <w:rPr>
          <w:rFonts w:ascii="Calibri" w:hAnsi="Calibri" w:cs="Calibri"/>
          <w:sz w:val="22"/>
          <w:szCs w:val="22"/>
        </w:rPr>
      </w:pPr>
      <w:r w:rsidRPr="00E233E3">
        <w:rPr>
          <w:rFonts w:ascii="Calibri" w:hAnsi="Calibri" w:cs="Calibri"/>
          <w:b/>
          <w:bCs/>
          <w:sz w:val="22"/>
          <w:szCs w:val="22"/>
        </w:rPr>
        <w:t>Keywords</w:t>
      </w:r>
      <w:r w:rsidRPr="00E233E3">
        <w:rPr>
          <w:rFonts w:ascii="Calibri" w:hAnsi="Calibri" w:cs="Calibri"/>
          <w:sz w:val="22"/>
          <w:szCs w:val="22"/>
        </w:rPr>
        <w:br/>
        <w:t>public employment services; career development; wellbeing; systems change; equity</w:t>
      </w:r>
    </w:p>
    <w:p w14:paraId="34A71E5F" w14:textId="77777777" w:rsidR="00E233E3" w:rsidRPr="00E233E3" w:rsidRDefault="00000000" w:rsidP="00E233E3">
      <w:pPr>
        <w:spacing w:line="360" w:lineRule="auto"/>
        <w:rPr>
          <w:rFonts w:ascii="Calibri" w:hAnsi="Calibri" w:cs="Calibri"/>
          <w:sz w:val="22"/>
          <w:szCs w:val="22"/>
        </w:rPr>
      </w:pPr>
      <w:r>
        <w:rPr>
          <w:rFonts w:ascii="Calibri" w:hAnsi="Calibri" w:cs="Calibri"/>
          <w:sz w:val="22"/>
          <w:szCs w:val="22"/>
        </w:rPr>
        <w:pict w14:anchorId="3AE6ECEC">
          <v:rect id="_x0000_i1025" style="width:0;height:1.5pt" o:hralign="center" o:hrstd="t" o:hr="t" fillcolor="#a0a0a0" stroked="f"/>
        </w:pict>
      </w:r>
    </w:p>
    <w:p w14:paraId="0A44E653" w14:textId="77777777" w:rsidR="00E233E3" w:rsidRPr="00E233E3" w:rsidRDefault="00E233E3" w:rsidP="00E233E3">
      <w:pPr>
        <w:spacing w:line="360" w:lineRule="auto"/>
        <w:rPr>
          <w:rFonts w:ascii="Calibri" w:hAnsi="Calibri" w:cs="Calibri"/>
          <w:b/>
          <w:bCs/>
          <w:sz w:val="22"/>
          <w:szCs w:val="22"/>
        </w:rPr>
      </w:pPr>
      <w:r w:rsidRPr="00E233E3">
        <w:rPr>
          <w:rFonts w:ascii="Calibri" w:hAnsi="Calibri" w:cs="Calibri"/>
          <w:b/>
          <w:bCs/>
          <w:sz w:val="22"/>
          <w:szCs w:val="22"/>
        </w:rPr>
        <w:t>Abstract</w:t>
      </w:r>
    </w:p>
    <w:p w14:paraId="1044C064" w14:textId="77777777" w:rsidR="00E233E3" w:rsidRPr="00E233E3" w:rsidRDefault="00E233E3" w:rsidP="00E233E3">
      <w:pPr>
        <w:spacing w:line="360" w:lineRule="auto"/>
        <w:rPr>
          <w:rFonts w:ascii="Calibri" w:hAnsi="Calibri" w:cs="Calibri"/>
          <w:b/>
          <w:bCs/>
          <w:sz w:val="22"/>
          <w:szCs w:val="22"/>
        </w:rPr>
      </w:pPr>
      <w:r w:rsidRPr="00E233E3">
        <w:rPr>
          <w:rFonts w:ascii="Calibri" w:hAnsi="Calibri" w:cs="Calibri"/>
          <w:b/>
          <w:bCs/>
          <w:sz w:val="22"/>
          <w:szCs w:val="22"/>
        </w:rPr>
        <w:t>Introduction</w:t>
      </w:r>
    </w:p>
    <w:p w14:paraId="389585AF" w14:textId="650351A5" w:rsidR="00E233E3" w:rsidRPr="00E233E3" w:rsidRDefault="00E233E3" w:rsidP="00E233E3">
      <w:pPr>
        <w:spacing w:line="360" w:lineRule="auto"/>
        <w:rPr>
          <w:rFonts w:ascii="Calibri" w:hAnsi="Calibri" w:cs="Calibri"/>
          <w:sz w:val="22"/>
          <w:szCs w:val="22"/>
        </w:rPr>
      </w:pPr>
      <w:r w:rsidRPr="00E233E3">
        <w:rPr>
          <w:rFonts w:ascii="Calibri" w:hAnsi="Calibri" w:cs="Calibri"/>
          <w:sz w:val="22"/>
          <w:szCs w:val="22"/>
        </w:rPr>
        <w:t xml:space="preserve">Public employment services (PES) systems in many countries have increasingly adopted “jobs-first” approaches that prioritise rapid labour market attachment over </w:t>
      </w:r>
      <w:r>
        <w:rPr>
          <w:rFonts w:ascii="Calibri" w:hAnsi="Calibri" w:cs="Calibri"/>
          <w:sz w:val="22"/>
          <w:szCs w:val="22"/>
        </w:rPr>
        <w:t>sustainable solutions that addresses real readiness issues, breaks cycles of recidivism, and creates lasting solutions to labour market imbalances</w:t>
      </w:r>
      <w:r w:rsidRPr="00E233E3">
        <w:rPr>
          <w:rFonts w:ascii="Calibri" w:hAnsi="Calibri" w:cs="Calibri"/>
          <w:sz w:val="22"/>
          <w:szCs w:val="22"/>
        </w:rPr>
        <w:t xml:space="preserve">. While efficient in intent, </w:t>
      </w:r>
      <w:r>
        <w:rPr>
          <w:rFonts w:ascii="Calibri" w:hAnsi="Calibri" w:cs="Calibri"/>
          <w:sz w:val="22"/>
          <w:szCs w:val="22"/>
        </w:rPr>
        <w:t>jobs-first</w:t>
      </w:r>
      <w:r w:rsidRPr="00E233E3">
        <w:rPr>
          <w:rFonts w:ascii="Calibri" w:hAnsi="Calibri" w:cs="Calibri"/>
          <w:sz w:val="22"/>
          <w:szCs w:val="22"/>
        </w:rPr>
        <w:t xml:space="preserve"> approaches often fail to address the complex realities faced by individuals, particularly those experiencing multiple barriers to employment. Emerging evidence suggests that such models may inadvertently reinforce cycles of instability, inequity, and repeat service use. </w:t>
      </w:r>
      <w:r>
        <w:rPr>
          <w:rFonts w:ascii="Calibri" w:hAnsi="Calibri" w:cs="Calibri"/>
          <w:sz w:val="22"/>
          <w:szCs w:val="22"/>
        </w:rPr>
        <w:t xml:space="preserve">This session </w:t>
      </w:r>
      <w:r w:rsidRPr="00E233E3">
        <w:rPr>
          <w:rFonts w:ascii="Calibri" w:hAnsi="Calibri" w:cs="Calibri"/>
          <w:sz w:val="22"/>
          <w:szCs w:val="22"/>
        </w:rPr>
        <w:t>examines how decades of policy, economic thinking, and system design have shaped current PES models and explores how career</w:t>
      </w:r>
      <w:r w:rsidR="008902CF">
        <w:rPr>
          <w:rFonts w:ascii="Calibri" w:hAnsi="Calibri" w:cs="Calibri"/>
          <w:sz w:val="22"/>
          <w:szCs w:val="22"/>
        </w:rPr>
        <w:t xml:space="preserve"> development</w:t>
      </w:r>
      <w:r w:rsidRPr="00E233E3">
        <w:rPr>
          <w:rFonts w:ascii="Calibri" w:hAnsi="Calibri" w:cs="Calibri"/>
          <w:sz w:val="22"/>
          <w:szCs w:val="22"/>
        </w:rPr>
        <w:t xml:space="preserve"> can be a foundational </w:t>
      </w:r>
      <w:r>
        <w:rPr>
          <w:rFonts w:ascii="Calibri" w:hAnsi="Calibri" w:cs="Calibri"/>
          <w:sz w:val="22"/>
          <w:szCs w:val="22"/>
        </w:rPr>
        <w:t>for a</w:t>
      </w:r>
      <w:r w:rsidRPr="00E233E3">
        <w:rPr>
          <w:rFonts w:ascii="Calibri" w:hAnsi="Calibri" w:cs="Calibri"/>
          <w:sz w:val="22"/>
          <w:szCs w:val="22"/>
        </w:rPr>
        <w:t xml:space="preserve"> </w:t>
      </w:r>
      <w:r>
        <w:rPr>
          <w:rFonts w:ascii="Calibri" w:hAnsi="Calibri" w:cs="Calibri"/>
          <w:sz w:val="22"/>
          <w:szCs w:val="22"/>
        </w:rPr>
        <w:t>system that is both humane and outcomes driven</w:t>
      </w:r>
      <w:r w:rsidRPr="00E233E3">
        <w:rPr>
          <w:rFonts w:ascii="Calibri" w:hAnsi="Calibri" w:cs="Calibri"/>
          <w:sz w:val="22"/>
          <w:szCs w:val="22"/>
        </w:rPr>
        <w:t xml:space="preserve">. This work reflects a growing recognition that career development </w:t>
      </w:r>
      <w:r>
        <w:rPr>
          <w:rFonts w:ascii="Calibri" w:hAnsi="Calibri" w:cs="Calibri"/>
          <w:sz w:val="22"/>
          <w:szCs w:val="22"/>
        </w:rPr>
        <w:t xml:space="preserve">can produce both the </w:t>
      </w:r>
      <w:r w:rsidRPr="00E233E3">
        <w:rPr>
          <w:rFonts w:ascii="Calibri" w:hAnsi="Calibri" w:cs="Calibri"/>
          <w:sz w:val="22"/>
          <w:szCs w:val="22"/>
        </w:rPr>
        <w:t>employment outcomes</w:t>
      </w:r>
      <w:r>
        <w:rPr>
          <w:rFonts w:ascii="Calibri" w:hAnsi="Calibri" w:cs="Calibri"/>
          <w:sz w:val="22"/>
          <w:szCs w:val="22"/>
        </w:rPr>
        <w:t xml:space="preserve"> governments strive to achieve</w:t>
      </w:r>
      <w:r w:rsidRPr="00E233E3">
        <w:rPr>
          <w:rFonts w:ascii="Calibri" w:hAnsi="Calibri" w:cs="Calibri"/>
          <w:sz w:val="22"/>
          <w:szCs w:val="22"/>
        </w:rPr>
        <w:t xml:space="preserve">, but also </w:t>
      </w:r>
      <w:r>
        <w:rPr>
          <w:rFonts w:ascii="Calibri" w:hAnsi="Calibri" w:cs="Calibri"/>
          <w:sz w:val="22"/>
          <w:szCs w:val="22"/>
        </w:rPr>
        <w:t xml:space="preserve">attend to critical issues of </w:t>
      </w:r>
      <w:r w:rsidRPr="00E233E3">
        <w:rPr>
          <w:rFonts w:ascii="Calibri" w:hAnsi="Calibri" w:cs="Calibri"/>
          <w:sz w:val="22"/>
          <w:szCs w:val="22"/>
        </w:rPr>
        <w:t xml:space="preserve">wellbeing, identity, and access to opportunity. </w:t>
      </w:r>
    </w:p>
    <w:p w14:paraId="5B365DBE" w14:textId="77777777" w:rsidR="00E233E3" w:rsidRPr="00E233E3" w:rsidRDefault="00E233E3" w:rsidP="00E233E3">
      <w:pPr>
        <w:spacing w:line="360" w:lineRule="auto"/>
        <w:rPr>
          <w:rFonts w:ascii="Calibri" w:hAnsi="Calibri" w:cs="Calibri"/>
          <w:b/>
          <w:bCs/>
          <w:sz w:val="22"/>
          <w:szCs w:val="22"/>
        </w:rPr>
      </w:pPr>
      <w:r w:rsidRPr="00E233E3">
        <w:rPr>
          <w:rFonts w:ascii="Calibri" w:hAnsi="Calibri" w:cs="Calibri"/>
          <w:b/>
          <w:bCs/>
          <w:sz w:val="22"/>
          <w:szCs w:val="22"/>
        </w:rPr>
        <w:t>Objectives</w:t>
      </w:r>
    </w:p>
    <w:p w14:paraId="4FB733B0" w14:textId="77777777" w:rsidR="00E233E3" w:rsidRPr="00E233E3" w:rsidRDefault="00E233E3" w:rsidP="00E233E3">
      <w:pPr>
        <w:spacing w:line="360" w:lineRule="auto"/>
        <w:rPr>
          <w:rFonts w:ascii="Calibri" w:hAnsi="Calibri" w:cs="Calibri"/>
          <w:sz w:val="22"/>
          <w:szCs w:val="22"/>
        </w:rPr>
      </w:pPr>
      <w:r w:rsidRPr="00E233E3">
        <w:rPr>
          <w:rFonts w:ascii="Calibri" w:hAnsi="Calibri" w:cs="Calibri"/>
          <w:sz w:val="22"/>
          <w:szCs w:val="22"/>
        </w:rPr>
        <w:t>This workshop will enable participants to:</w:t>
      </w:r>
    </w:p>
    <w:p w14:paraId="4246D5D5" w14:textId="4645B2E9" w:rsidR="00E233E3" w:rsidRPr="00E233E3" w:rsidRDefault="00E233E3" w:rsidP="00E233E3">
      <w:pPr>
        <w:numPr>
          <w:ilvl w:val="0"/>
          <w:numId w:val="1"/>
        </w:numPr>
        <w:spacing w:line="360" w:lineRule="auto"/>
        <w:rPr>
          <w:rFonts w:ascii="Calibri" w:hAnsi="Calibri" w:cs="Calibri"/>
          <w:sz w:val="22"/>
          <w:szCs w:val="22"/>
        </w:rPr>
      </w:pPr>
      <w:r w:rsidRPr="00E233E3">
        <w:rPr>
          <w:rFonts w:ascii="Calibri" w:hAnsi="Calibri" w:cs="Calibri"/>
          <w:sz w:val="22"/>
          <w:szCs w:val="22"/>
        </w:rPr>
        <w:t xml:space="preserve">Critically examine how policy and system design shape </w:t>
      </w:r>
      <w:r>
        <w:rPr>
          <w:rFonts w:ascii="Calibri" w:hAnsi="Calibri" w:cs="Calibri"/>
          <w:sz w:val="22"/>
          <w:szCs w:val="22"/>
        </w:rPr>
        <w:t>the public employment system</w:t>
      </w:r>
      <w:r w:rsidRPr="00E233E3">
        <w:rPr>
          <w:rFonts w:ascii="Calibri" w:hAnsi="Calibri" w:cs="Calibri"/>
          <w:sz w:val="22"/>
          <w:szCs w:val="22"/>
        </w:rPr>
        <w:t xml:space="preserve"> </w:t>
      </w:r>
    </w:p>
    <w:p w14:paraId="32861FA0" w14:textId="77777777" w:rsidR="00E233E3" w:rsidRPr="00E233E3" w:rsidRDefault="00E233E3" w:rsidP="00E233E3">
      <w:pPr>
        <w:numPr>
          <w:ilvl w:val="0"/>
          <w:numId w:val="1"/>
        </w:numPr>
        <w:spacing w:line="360" w:lineRule="auto"/>
        <w:rPr>
          <w:rFonts w:ascii="Calibri" w:hAnsi="Calibri" w:cs="Calibri"/>
          <w:sz w:val="22"/>
          <w:szCs w:val="22"/>
        </w:rPr>
      </w:pPr>
      <w:r w:rsidRPr="00E233E3">
        <w:rPr>
          <w:rFonts w:ascii="Calibri" w:hAnsi="Calibri" w:cs="Calibri"/>
          <w:sz w:val="22"/>
          <w:szCs w:val="22"/>
        </w:rPr>
        <w:t xml:space="preserve">Explore evidence on the limitations of “jobs-first” employment service models </w:t>
      </w:r>
    </w:p>
    <w:p w14:paraId="5E780F65" w14:textId="399A41DA" w:rsidR="00E233E3" w:rsidRPr="00E233E3" w:rsidRDefault="00E233E3" w:rsidP="00E233E3">
      <w:pPr>
        <w:numPr>
          <w:ilvl w:val="0"/>
          <w:numId w:val="1"/>
        </w:numPr>
        <w:spacing w:line="360" w:lineRule="auto"/>
        <w:rPr>
          <w:rFonts w:ascii="Calibri" w:hAnsi="Calibri" w:cs="Calibri"/>
          <w:sz w:val="22"/>
          <w:szCs w:val="22"/>
        </w:rPr>
      </w:pPr>
      <w:r w:rsidRPr="00E233E3">
        <w:rPr>
          <w:rFonts w:ascii="Calibri" w:hAnsi="Calibri" w:cs="Calibri"/>
          <w:sz w:val="22"/>
          <w:szCs w:val="22"/>
        </w:rPr>
        <w:lastRenderedPageBreak/>
        <w:t>Understand the role of career</w:t>
      </w:r>
      <w:r w:rsidR="008902CF">
        <w:rPr>
          <w:rFonts w:ascii="Calibri" w:hAnsi="Calibri" w:cs="Calibri"/>
          <w:sz w:val="22"/>
          <w:szCs w:val="22"/>
        </w:rPr>
        <w:t xml:space="preserve"> development</w:t>
      </w:r>
      <w:r w:rsidRPr="00E233E3">
        <w:rPr>
          <w:rFonts w:ascii="Calibri" w:hAnsi="Calibri" w:cs="Calibri"/>
          <w:sz w:val="22"/>
          <w:szCs w:val="22"/>
        </w:rPr>
        <w:t xml:space="preserve"> in supporting wellbeing, resilience, and sustainable employment </w:t>
      </w:r>
      <w:r>
        <w:rPr>
          <w:rFonts w:ascii="Calibri" w:hAnsi="Calibri" w:cs="Calibri"/>
          <w:sz w:val="22"/>
          <w:szCs w:val="22"/>
        </w:rPr>
        <w:t>outcomes</w:t>
      </w:r>
    </w:p>
    <w:p w14:paraId="3EF38077" w14:textId="77777777" w:rsidR="00E233E3" w:rsidRPr="00E233E3" w:rsidRDefault="00E233E3" w:rsidP="00E233E3">
      <w:pPr>
        <w:numPr>
          <w:ilvl w:val="0"/>
          <w:numId w:val="1"/>
        </w:numPr>
        <w:spacing w:line="360" w:lineRule="auto"/>
        <w:rPr>
          <w:rFonts w:ascii="Calibri" w:hAnsi="Calibri" w:cs="Calibri"/>
          <w:sz w:val="22"/>
          <w:szCs w:val="22"/>
        </w:rPr>
      </w:pPr>
      <w:r w:rsidRPr="00E233E3">
        <w:rPr>
          <w:rFonts w:ascii="Calibri" w:hAnsi="Calibri" w:cs="Calibri"/>
          <w:sz w:val="22"/>
          <w:szCs w:val="22"/>
        </w:rPr>
        <w:t xml:space="preserve">Apply insights from the IM&amp;M+ model to reimagine more effective and equitable service approaches </w:t>
      </w:r>
    </w:p>
    <w:p w14:paraId="1E9428DA" w14:textId="77777777" w:rsidR="00E233E3" w:rsidRPr="00E233E3" w:rsidRDefault="00E233E3" w:rsidP="00E233E3">
      <w:pPr>
        <w:spacing w:line="360" w:lineRule="auto"/>
        <w:rPr>
          <w:rFonts w:ascii="Calibri" w:hAnsi="Calibri" w:cs="Calibri"/>
          <w:b/>
          <w:bCs/>
          <w:sz w:val="22"/>
          <w:szCs w:val="22"/>
        </w:rPr>
      </w:pPr>
      <w:r w:rsidRPr="00E233E3">
        <w:rPr>
          <w:rFonts w:ascii="Calibri" w:hAnsi="Calibri" w:cs="Calibri"/>
          <w:b/>
          <w:bCs/>
          <w:sz w:val="22"/>
          <w:szCs w:val="22"/>
        </w:rPr>
        <w:t>Theoretical Basis</w:t>
      </w:r>
    </w:p>
    <w:p w14:paraId="34F001F2" w14:textId="03CCEEC3" w:rsidR="00E233E3" w:rsidRPr="00E233E3" w:rsidRDefault="00E233E3" w:rsidP="00E233E3">
      <w:pPr>
        <w:spacing w:line="360" w:lineRule="auto"/>
        <w:rPr>
          <w:rFonts w:ascii="Calibri" w:hAnsi="Calibri" w:cs="Calibri"/>
          <w:sz w:val="22"/>
          <w:szCs w:val="22"/>
        </w:rPr>
      </w:pPr>
      <w:r w:rsidRPr="00E233E3">
        <w:rPr>
          <w:rFonts w:ascii="Calibri" w:hAnsi="Calibri" w:cs="Calibri"/>
          <w:sz w:val="22"/>
          <w:szCs w:val="22"/>
        </w:rPr>
        <w:t xml:space="preserve">The workshop is grounded in socio-political theories of career development, including the work of Tony Watts, which positions career </w:t>
      </w:r>
      <w:r w:rsidR="008902CF">
        <w:rPr>
          <w:rFonts w:ascii="Calibri" w:hAnsi="Calibri" w:cs="Calibri"/>
          <w:sz w:val="22"/>
          <w:szCs w:val="22"/>
        </w:rPr>
        <w:t>development</w:t>
      </w:r>
      <w:r w:rsidRPr="00E233E3">
        <w:rPr>
          <w:rFonts w:ascii="Calibri" w:hAnsi="Calibri" w:cs="Calibri"/>
          <w:sz w:val="22"/>
          <w:szCs w:val="22"/>
        </w:rPr>
        <w:t xml:space="preserve"> at the intersection of individual aspiration and structural opportunity. It also draws on systems thinking and equity-oriented frameworks that highlight how policy choices influence the distribution of opportunity and life chances. The session incorporates evidence from longitudinal studies and a randomized controlled trial of the IM&amp;M+ model, demonstrating the impact of </w:t>
      </w:r>
      <w:r>
        <w:rPr>
          <w:rFonts w:ascii="Calibri" w:hAnsi="Calibri" w:cs="Calibri"/>
          <w:sz w:val="22"/>
          <w:szCs w:val="22"/>
        </w:rPr>
        <w:t xml:space="preserve">IM&amp;M+, a </w:t>
      </w:r>
      <w:r w:rsidRPr="00E233E3">
        <w:rPr>
          <w:rFonts w:ascii="Calibri" w:hAnsi="Calibri" w:cs="Calibri"/>
          <w:sz w:val="22"/>
          <w:szCs w:val="22"/>
        </w:rPr>
        <w:t>participant-centred, strengths-based career development approach</w:t>
      </w:r>
      <w:r>
        <w:rPr>
          <w:rFonts w:ascii="Calibri" w:hAnsi="Calibri" w:cs="Calibri"/>
          <w:sz w:val="22"/>
          <w:szCs w:val="22"/>
        </w:rPr>
        <w:t xml:space="preserve">, </w:t>
      </w:r>
      <w:r w:rsidRPr="00E233E3">
        <w:rPr>
          <w:rFonts w:ascii="Calibri" w:hAnsi="Calibri" w:cs="Calibri"/>
          <w:sz w:val="22"/>
          <w:szCs w:val="22"/>
        </w:rPr>
        <w:t xml:space="preserve">on employment outcomes, emotional wellbeing, and sustained </w:t>
      </w:r>
      <w:r>
        <w:rPr>
          <w:rFonts w:ascii="Calibri" w:hAnsi="Calibri" w:cs="Calibri"/>
          <w:sz w:val="22"/>
          <w:szCs w:val="22"/>
        </w:rPr>
        <w:t xml:space="preserve">labour market </w:t>
      </w:r>
      <w:r w:rsidRPr="00E233E3">
        <w:rPr>
          <w:rFonts w:ascii="Calibri" w:hAnsi="Calibri" w:cs="Calibri"/>
          <w:sz w:val="22"/>
          <w:szCs w:val="22"/>
        </w:rPr>
        <w:t xml:space="preserve">engagement. </w:t>
      </w:r>
    </w:p>
    <w:p w14:paraId="76877714" w14:textId="77777777" w:rsidR="00E233E3" w:rsidRPr="00E233E3" w:rsidRDefault="00E233E3" w:rsidP="00E233E3">
      <w:pPr>
        <w:spacing w:line="360" w:lineRule="auto"/>
        <w:rPr>
          <w:rFonts w:ascii="Calibri" w:hAnsi="Calibri" w:cs="Calibri"/>
          <w:b/>
          <w:bCs/>
          <w:sz w:val="22"/>
          <w:szCs w:val="22"/>
        </w:rPr>
      </w:pPr>
      <w:r w:rsidRPr="00E233E3">
        <w:rPr>
          <w:rFonts w:ascii="Calibri" w:hAnsi="Calibri" w:cs="Calibri"/>
          <w:b/>
          <w:bCs/>
          <w:sz w:val="22"/>
          <w:szCs w:val="22"/>
        </w:rPr>
        <w:t>Methodology</w:t>
      </w:r>
    </w:p>
    <w:p w14:paraId="45F0361F" w14:textId="77777777" w:rsidR="00E233E3" w:rsidRPr="00E233E3" w:rsidRDefault="00E233E3" w:rsidP="00E233E3">
      <w:pPr>
        <w:spacing w:line="360" w:lineRule="auto"/>
        <w:rPr>
          <w:rFonts w:ascii="Calibri" w:hAnsi="Calibri" w:cs="Calibri"/>
          <w:sz w:val="22"/>
          <w:szCs w:val="22"/>
        </w:rPr>
      </w:pPr>
      <w:r w:rsidRPr="00E233E3">
        <w:rPr>
          <w:rFonts w:ascii="Calibri" w:hAnsi="Calibri" w:cs="Calibri"/>
          <w:sz w:val="22"/>
          <w:szCs w:val="22"/>
        </w:rPr>
        <w:t>This interactive workshop combines presentation, facilitated dialogue, and structured reflection. Participants will:</w:t>
      </w:r>
    </w:p>
    <w:p w14:paraId="2B5926D8" w14:textId="77777777" w:rsidR="00E233E3" w:rsidRPr="00E233E3" w:rsidRDefault="00E233E3" w:rsidP="00E233E3">
      <w:pPr>
        <w:numPr>
          <w:ilvl w:val="0"/>
          <w:numId w:val="2"/>
        </w:numPr>
        <w:spacing w:line="360" w:lineRule="auto"/>
        <w:rPr>
          <w:rFonts w:ascii="Calibri" w:hAnsi="Calibri" w:cs="Calibri"/>
          <w:sz w:val="22"/>
          <w:szCs w:val="22"/>
        </w:rPr>
      </w:pPr>
      <w:r w:rsidRPr="00E233E3">
        <w:rPr>
          <w:rFonts w:ascii="Calibri" w:hAnsi="Calibri" w:cs="Calibri"/>
          <w:sz w:val="22"/>
          <w:szCs w:val="22"/>
        </w:rPr>
        <w:t xml:space="preserve">examine key data and system trends related to PES effectiveness </w:t>
      </w:r>
    </w:p>
    <w:p w14:paraId="1633EF4F" w14:textId="77777777" w:rsidR="00E233E3" w:rsidRPr="00E233E3" w:rsidRDefault="00E233E3" w:rsidP="00E233E3">
      <w:pPr>
        <w:numPr>
          <w:ilvl w:val="0"/>
          <w:numId w:val="2"/>
        </w:numPr>
        <w:spacing w:line="360" w:lineRule="auto"/>
        <w:rPr>
          <w:rFonts w:ascii="Calibri" w:hAnsi="Calibri" w:cs="Calibri"/>
          <w:sz w:val="22"/>
          <w:szCs w:val="22"/>
        </w:rPr>
      </w:pPr>
      <w:r w:rsidRPr="00E233E3">
        <w:rPr>
          <w:rFonts w:ascii="Calibri" w:hAnsi="Calibri" w:cs="Calibri"/>
          <w:sz w:val="22"/>
          <w:szCs w:val="22"/>
        </w:rPr>
        <w:t xml:space="preserve">engage in guided reflection on how current systems define and measure success </w:t>
      </w:r>
    </w:p>
    <w:p w14:paraId="61705E13" w14:textId="77777777" w:rsidR="00E233E3" w:rsidRPr="00E233E3" w:rsidRDefault="00E233E3" w:rsidP="00E233E3">
      <w:pPr>
        <w:numPr>
          <w:ilvl w:val="0"/>
          <w:numId w:val="2"/>
        </w:numPr>
        <w:spacing w:line="360" w:lineRule="auto"/>
        <w:rPr>
          <w:rFonts w:ascii="Calibri" w:hAnsi="Calibri" w:cs="Calibri"/>
          <w:sz w:val="22"/>
          <w:szCs w:val="22"/>
        </w:rPr>
      </w:pPr>
      <w:r w:rsidRPr="00E233E3">
        <w:rPr>
          <w:rFonts w:ascii="Calibri" w:hAnsi="Calibri" w:cs="Calibri"/>
          <w:sz w:val="22"/>
          <w:szCs w:val="22"/>
        </w:rPr>
        <w:t xml:space="preserve">participate in small-group exercises exploring alternative approaches across three domains: practice, policy/funding, and evaluation </w:t>
      </w:r>
    </w:p>
    <w:p w14:paraId="2ED5D778" w14:textId="5F023DD4" w:rsidR="00E233E3" w:rsidRPr="00E233E3" w:rsidRDefault="00E233E3" w:rsidP="00E233E3">
      <w:pPr>
        <w:numPr>
          <w:ilvl w:val="0"/>
          <w:numId w:val="2"/>
        </w:numPr>
        <w:spacing w:line="360" w:lineRule="auto"/>
        <w:rPr>
          <w:rFonts w:ascii="Calibri" w:hAnsi="Calibri" w:cs="Calibri"/>
          <w:sz w:val="22"/>
          <w:szCs w:val="22"/>
        </w:rPr>
      </w:pPr>
      <w:r w:rsidRPr="00E233E3">
        <w:rPr>
          <w:rFonts w:ascii="Calibri" w:hAnsi="Calibri" w:cs="Calibri"/>
          <w:sz w:val="22"/>
          <w:szCs w:val="22"/>
        </w:rPr>
        <w:t>identify actionable strategies to shift systems toward more holistic</w:t>
      </w:r>
      <w:r w:rsidR="008902CF">
        <w:rPr>
          <w:rFonts w:ascii="Calibri" w:hAnsi="Calibri" w:cs="Calibri"/>
          <w:sz w:val="22"/>
          <w:szCs w:val="22"/>
        </w:rPr>
        <w:t xml:space="preserve">, </w:t>
      </w:r>
      <w:r w:rsidRPr="00E233E3">
        <w:rPr>
          <w:rFonts w:ascii="Calibri" w:hAnsi="Calibri" w:cs="Calibri"/>
          <w:sz w:val="22"/>
          <w:szCs w:val="22"/>
        </w:rPr>
        <w:t xml:space="preserve">equitable </w:t>
      </w:r>
      <w:r w:rsidR="008902CF">
        <w:rPr>
          <w:rFonts w:ascii="Calibri" w:hAnsi="Calibri" w:cs="Calibri"/>
          <w:sz w:val="22"/>
          <w:szCs w:val="22"/>
        </w:rPr>
        <w:t>and evidence-based approaches</w:t>
      </w:r>
    </w:p>
    <w:p w14:paraId="5CB7E4E4" w14:textId="77777777" w:rsidR="00E233E3" w:rsidRPr="00E233E3" w:rsidRDefault="00E233E3" w:rsidP="00E233E3">
      <w:pPr>
        <w:spacing w:line="360" w:lineRule="auto"/>
        <w:rPr>
          <w:rFonts w:ascii="Calibri" w:hAnsi="Calibri" w:cs="Calibri"/>
          <w:sz w:val="22"/>
          <w:szCs w:val="22"/>
        </w:rPr>
      </w:pPr>
      <w:r w:rsidRPr="00E233E3">
        <w:rPr>
          <w:rFonts w:ascii="Calibri" w:hAnsi="Calibri" w:cs="Calibri"/>
          <w:sz w:val="22"/>
          <w:szCs w:val="22"/>
        </w:rPr>
        <w:t>The session is designed to foster critical dialogue while supporting practical application across diverse national contexts.</w:t>
      </w:r>
    </w:p>
    <w:p w14:paraId="15D4F7EA" w14:textId="77777777" w:rsidR="00E233E3" w:rsidRPr="00E233E3" w:rsidRDefault="00E233E3" w:rsidP="00E233E3">
      <w:pPr>
        <w:spacing w:line="360" w:lineRule="auto"/>
        <w:rPr>
          <w:rFonts w:ascii="Calibri" w:hAnsi="Calibri" w:cs="Calibri"/>
          <w:b/>
          <w:bCs/>
          <w:sz w:val="22"/>
          <w:szCs w:val="22"/>
        </w:rPr>
      </w:pPr>
      <w:r w:rsidRPr="00E233E3">
        <w:rPr>
          <w:rFonts w:ascii="Calibri" w:hAnsi="Calibri" w:cs="Calibri"/>
          <w:b/>
          <w:bCs/>
          <w:sz w:val="22"/>
          <w:szCs w:val="22"/>
        </w:rPr>
        <w:t>Results</w:t>
      </w:r>
    </w:p>
    <w:p w14:paraId="263793DE" w14:textId="7B2F857C" w:rsidR="00E233E3" w:rsidRPr="00E233E3" w:rsidRDefault="00E233E3" w:rsidP="00E233E3">
      <w:pPr>
        <w:spacing w:line="360" w:lineRule="auto"/>
        <w:rPr>
          <w:rFonts w:ascii="Calibri" w:hAnsi="Calibri" w:cs="Calibri"/>
          <w:sz w:val="22"/>
          <w:szCs w:val="22"/>
        </w:rPr>
      </w:pPr>
      <w:r w:rsidRPr="00E233E3">
        <w:rPr>
          <w:rFonts w:ascii="Calibri" w:hAnsi="Calibri" w:cs="Calibri"/>
          <w:sz w:val="22"/>
          <w:szCs w:val="22"/>
        </w:rPr>
        <w:t xml:space="preserve">Evidence from multiple implementation phases of the IM&amp;M+ model demonstrates significant positive impacts on both employment and wellbeing outcomes. Participants showed improvements in employment hope, emotional intelligence, and mental health, while comparison groups receiving </w:t>
      </w:r>
      <w:r w:rsidRPr="00E233E3">
        <w:rPr>
          <w:rFonts w:ascii="Calibri" w:hAnsi="Calibri" w:cs="Calibri"/>
          <w:sz w:val="22"/>
          <w:szCs w:val="22"/>
        </w:rPr>
        <w:lastRenderedPageBreak/>
        <w:t>standard</w:t>
      </w:r>
      <w:r w:rsidR="008902CF">
        <w:rPr>
          <w:rFonts w:ascii="Calibri" w:hAnsi="Calibri" w:cs="Calibri"/>
          <w:sz w:val="22"/>
          <w:szCs w:val="22"/>
        </w:rPr>
        <w:t xml:space="preserve"> PES</w:t>
      </w:r>
      <w:r w:rsidRPr="00E233E3">
        <w:rPr>
          <w:rFonts w:ascii="Calibri" w:hAnsi="Calibri" w:cs="Calibri"/>
          <w:sz w:val="22"/>
          <w:szCs w:val="22"/>
        </w:rPr>
        <w:t xml:space="preserve"> services experienced stagnation or decline in these areas. Employment outcomes were also stronger over time</w:t>
      </w:r>
      <w:r w:rsidR="008902CF">
        <w:rPr>
          <w:rFonts w:ascii="Calibri" w:hAnsi="Calibri" w:cs="Calibri"/>
          <w:sz w:val="22"/>
          <w:szCs w:val="22"/>
        </w:rPr>
        <w:t xml:space="preserve"> among those who participated in IM&amp;M+</w:t>
      </w:r>
      <w:r w:rsidRPr="00E233E3">
        <w:rPr>
          <w:rFonts w:ascii="Calibri" w:hAnsi="Calibri" w:cs="Calibri"/>
          <w:sz w:val="22"/>
          <w:szCs w:val="22"/>
        </w:rPr>
        <w:t xml:space="preserve">, with </w:t>
      </w:r>
      <w:r w:rsidR="008902CF">
        <w:rPr>
          <w:rFonts w:ascii="Calibri" w:hAnsi="Calibri" w:cs="Calibri"/>
          <w:sz w:val="22"/>
          <w:szCs w:val="22"/>
        </w:rPr>
        <w:t xml:space="preserve">significantly higher rates of sustained employment </w:t>
      </w:r>
      <w:r w:rsidRPr="00E233E3">
        <w:rPr>
          <w:rFonts w:ascii="Calibri" w:hAnsi="Calibri" w:cs="Calibri"/>
          <w:sz w:val="22"/>
          <w:szCs w:val="22"/>
        </w:rPr>
        <w:t>observed beyond program completion. In addition, system-level impacts included reduced social assistance reliance and improved service effectiveness. These findings suggest that approaches integrating career development and wellbeing can produce more sustainable and equitable outcomes than traditional employment-focused models</w:t>
      </w:r>
      <w:r w:rsidR="008902CF">
        <w:rPr>
          <w:rFonts w:ascii="Calibri" w:hAnsi="Calibri" w:cs="Calibri"/>
          <w:sz w:val="22"/>
          <w:szCs w:val="22"/>
        </w:rPr>
        <w:t>, resulting in not only better outcomes for individuals, but also significant cost savings for governments</w:t>
      </w:r>
      <w:r w:rsidRPr="00E233E3">
        <w:rPr>
          <w:rFonts w:ascii="Calibri" w:hAnsi="Calibri" w:cs="Calibri"/>
          <w:sz w:val="22"/>
          <w:szCs w:val="22"/>
        </w:rPr>
        <w:t xml:space="preserve">. </w:t>
      </w:r>
    </w:p>
    <w:p w14:paraId="3D30668B" w14:textId="77777777" w:rsidR="00E233E3" w:rsidRPr="00E233E3" w:rsidRDefault="00E233E3" w:rsidP="00E233E3">
      <w:pPr>
        <w:spacing w:line="360" w:lineRule="auto"/>
        <w:rPr>
          <w:rFonts w:ascii="Calibri" w:hAnsi="Calibri" w:cs="Calibri"/>
          <w:b/>
          <w:bCs/>
          <w:sz w:val="22"/>
          <w:szCs w:val="22"/>
        </w:rPr>
      </w:pPr>
      <w:r w:rsidRPr="00E233E3">
        <w:rPr>
          <w:rFonts w:ascii="Calibri" w:hAnsi="Calibri" w:cs="Calibri"/>
          <w:b/>
          <w:bCs/>
          <w:sz w:val="22"/>
          <w:szCs w:val="22"/>
        </w:rPr>
        <w:t>Conclusions</w:t>
      </w:r>
    </w:p>
    <w:p w14:paraId="04DAB37F" w14:textId="77777777" w:rsidR="00E233E3" w:rsidRPr="00E233E3" w:rsidRDefault="00E233E3" w:rsidP="00E233E3">
      <w:pPr>
        <w:spacing w:line="360" w:lineRule="auto"/>
        <w:rPr>
          <w:rFonts w:ascii="Calibri" w:hAnsi="Calibri" w:cs="Calibri"/>
          <w:sz w:val="22"/>
          <w:szCs w:val="22"/>
        </w:rPr>
      </w:pPr>
      <w:r w:rsidRPr="00E233E3">
        <w:rPr>
          <w:rFonts w:ascii="Calibri" w:hAnsi="Calibri" w:cs="Calibri"/>
          <w:sz w:val="22"/>
          <w:szCs w:val="22"/>
        </w:rPr>
        <w:t>The findings challenge prevailing assumptions about the effectiveness of current employment service models and highlight the need for a reorientation toward approaches that integrate career development, wellbeing, and systems-level thinking. The workshop will demonstrate how shifting from a “jobs-first” to a “people-first” paradigm can strengthen both individual outcomes and system performance. It also provides practical insights into how policy, funding, and evaluation frameworks can be redesigned to support more holistic and sustainable approaches.</w:t>
      </w:r>
    </w:p>
    <w:p w14:paraId="5524D02C" w14:textId="77777777" w:rsidR="00E233E3" w:rsidRPr="00E233E3" w:rsidRDefault="00E233E3" w:rsidP="00E233E3">
      <w:pPr>
        <w:spacing w:line="360" w:lineRule="auto"/>
        <w:rPr>
          <w:rFonts w:ascii="Calibri" w:hAnsi="Calibri" w:cs="Calibri"/>
          <w:b/>
          <w:bCs/>
          <w:sz w:val="22"/>
          <w:szCs w:val="22"/>
        </w:rPr>
      </w:pPr>
      <w:r w:rsidRPr="00E233E3">
        <w:rPr>
          <w:rFonts w:ascii="Calibri" w:hAnsi="Calibri" w:cs="Calibri"/>
          <w:b/>
          <w:bCs/>
          <w:sz w:val="22"/>
          <w:szCs w:val="22"/>
        </w:rPr>
        <w:t>Target Audience and Format</w:t>
      </w:r>
    </w:p>
    <w:p w14:paraId="00531B4E" w14:textId="67F06922" w:rsidR="00E233E3" w:rsidRPr="00E233E3" w:rsidRDefault="00E233E3" w:rsidP="00E233E3">
      <w:pPr>
        <w:spacing w:line="360" w:lineRule="auto"/>
        <w:rPr>
          <w:rFonts w:ascii="Calibri" w:hAnsi="Calibri" w:cs="Calibri"/>
          <w:sz w:val="22"/>
          <w:szCs w:val="22"/>
        </w:rPr>
      </w:pPr>
      <w:r w:rsidRPr="00E233E3">
        <w:rPr>
          <w:rFonts w:ascii="Calibri" w:hAnsi="Calibri" w:cs="Calibri"/>
          <w:sz w:val="22"/>
          <w:szCs w:val="22"/>
        </w:rPr>
        <w:t>This interactive workshop is designed for career practitioners, policy makers, system leaders, and researchers interested in employment services reform, equity, and wellbeing. The format combines evidence-informed presentation with facilitated dialogue and applied exercises to support learning transfer across different policy and practice contexts.</w:t>
      </w:r>
    </w:p>
    <w:p w14:paraId="0F4B215B" w14:textId="77777777" w:rsidR="00E233E3" w:rsidRPr="00E233E3" w:rsidRDefault="00000000" w:rsidP="00E233E3">
      <w:pPr>
        <w:spacing w:line="360" w:lineRule="auto"/>
        <w:rPr>
          <w:rFonts w:ascii="Calibri" w:hAnsi="Calibri" w:cs="Calibri"/>
          <w:sz w:val="22"/>
          <w:szCs w:val="22"/>
        </w:rPr>
      </w:pPr>
      <w:r>
        <w:rPr>
          <w:rFonts w:ascii="Calibri" w:hAnsi="Calibri" w:cs="Calibri"/>
          <w:sz w:val="22"/>
          <w:szCs w:val="22"/>
        </w:rPr>
        <w:pict w14:anchorId="481BDE72">
          <v:rect id="_x0000_i1026" style="width:0;height:1.5pt" o:hralign="center" o:hrstd="t" o:hr="t" fillcolor="#a0a0a0" stroked="f"/>
        </w:pict>
      </w:r>
    </w:p>
    <w:p w14:paraId="504B655E" w14:textId="77777777" w:rsidR="00E233E3" w:rsidRPr="00E233E3" w:rsidRDefault="00E233E3" w:rsidP="00E233E3">
      <w:pPr>
        <w:spacing w:line="360" w:lineRule="auto"/>
        <w:rPr>
          <w:rFonts w:ascii="Calibri" w:hAnsi="Calibri" w:cs="Calibri"/>
          <w:b/>
          <w:bCs/>
          <w:sz w:val="22"/>
          <w:szCs w:val="22"/>
        </w:rPr>
      </w:pPr>
      <w:r w:rsidRPr="00E233E3">
        <w:rPr>
          <w:rFonts w:ascii="Calibri" w:hAnsi="Calibri" w:cs="Calibri"/>
          <w:b/>
          <w:bCs/>
          <w:sz w:val="22"/>
          <w:szCs w:val="22"/>
        </w:rPr>
        <w:t>References (APA 7)</w:t>
      </w:r>
    </w:p>
    <w:p w14:paraId="777CB007" w14:textId="77777777" w:rsidR="00E233E3" w:rsidRPr="00E233E3" w:rsidRDefault="00E233E3" w:rsidP="00E233E3">
      <w:pPr>
        <w:spacing w:line="360" w:lineRule="auto"/>
        <w:rPr>
          <w:rFonts w:ascii="Calibri" w:hAnsi="Calibri" w:cs="Calibri"/>
          <w:sz w:val="22"/>
          <w:szCs w:val="22"/>
        </w:rPr>
      </w:pPr>
      <w:r w:rsidRPr="00E233E3">
        <w:rPr>
          <w:rFonts w:ascii="Calibri" w:hAnsi="Calibri" w:cs="Calibri"/>
          <w:sz w:val="22"/>
          <w:szCs w:val="22"/>
        </w:rPr>
        <w:t xml:space="preserve">Canadian Career Development Foundation. (2026). </w:t>
      </w:r>
      <w:r w:rsidRPr="00E233E3">
        <w:rPr>
          <w:rFonts w:ascii="Calibri" w:hAnsi="Calibri" w:cs="Calibri"/>
          <w:i/>
          <w:iCs/>
          <w:sz w:val="22"/>
          <w:szCs w:val="22"/>
        </w:rPr>
        <w:t>Breaking or building? A public employment system at risk</w:t>
      </w:r>
      <w:r w:rsidRPr="00E233E3">
        <w:rPr>
          <w:rFonts w:ascii="Calibri" w:hAnsi="Calibri" w:cs="Calibri"/>
          <w:sz w:val="22"/>
          <w:szCs w:val="22"/>
        </w:rPr>
        <w:t xml:space="preserve"> [Conference presentation]. </w:t>
      </w:r>
    </w:p>
    <w:p w14:paraId="0579E9A4" w14:textId="77777777" w:rsidR="00E233E3" w:rsidRPr="00E233E3" w:rsidRDefault="00E233E3" w:rsidP="00E233E3">
      <w:pPr>
        <w:spacing w:line="360" w:lineRule="auto"/>
        <w:rPr>
          <w:rFonts w:ascii="Calibri" w:hAnsi="Calibri" w:cs="Calibri"/>
          <w:sz w:val="22"/>
          <w:szCs w:val="22"/>
        </w:rPr>
      </w:pPr>
      <w:r w:rsidRPr="00E233E3">
        <w:rPr>
          <w:rFonts w:ascii="Calibri" w:hAnsi="Calibri" w:cs="Calibri"/>
          <w:sz w:val="22"/>
          <w:szCs w:val="22"/>
        </w:rPr>
        <w:t xml:space="preserve">Canadian Career Development Foundation. (2024). </w:t>
      </w:r>
      <w:r w:rsidRPr="00E233E3">
        <w:rPr>
          <w:rFonts w:ascii="Calibri" w:hAnsi="Calibri" w:cs="Calibri"/>
          <w:i/>
          <w:iCs/>
          <w:sz w:val="22"/>
          <w:szCs w:val="22"/>
        </w:rPr>
        <w:t>IM&amp;M+ impact findings and randomized controlled trial results</w:t>
      </w:r>
      <w:r w:rsidRPr="00E233E3">
        <w:rPr>
          <w:rFonts w:ascii="Calibri" w:hAnsi="Calibri" w:cs="Calibri"/>
          <w:sz w:val="22"/>
          <w:szCs w:val="22"/>
        </w:rPr>
        <w:t xml:space="preserve">. </w:t>
      </w:r>
    </w:p>
    <w:p w14:paraId="3104FE0A" w14:textId="77777777" w:rsidR="00E233E3" w:rsidRPr="00E233E3" w:rsidRDefault="00E233E3" w:rsidP="00E233E3">
      <w:pPr>
        <w:spacing w:line="360" w:lineRule="auto"/>
        <w:rPr>
          <w:rFonts w:ascii="Calibri" w:hAnsi="Calibri" w:cs="Calibri"/>
          <w:sz w:val="22"/>
          <w:szCs w:val="22"/>
        </w:rPr>
      </w:pPr>
      <w:r w:rsidRPr="00E233E3">
        <w:rPr>
          <w:rFonts w:ascii="Calibri" w:hAnsi="Calibri" w:cs="Calibri"/>
          <w:sz w:val="22"/>
          <w:szCs w:val="22"/>
        </w:rPr>
        <w:t xml:space="preserve">Watts, A. G. (1996). Socio-political ideologies in guidance. In A. G. Watts, B. Law, J. Killeen, J. Kidd, &amp; R. Hawthorn (Eds.), </w:t>
      </w:r>
      <w:r w:rsidRPr="00E233E3">
        <w:rPr>
          <w:rFonts w:ascii="Calibri" w:hAnsi="Calibri" w:cs="Calibri"/>
          <w:i/>
          <w:iCs/>
          <w:sz w:val="22"/>
          <w:szCs w:val="22"/>
        </w:rPr>
        <w:t>Rethinking careers education and guidance</w:t>
      </w:r>
      <w:r w:rsidRPr="00E233E3">
        <w:rPr>
          <w:rFonts w:ascii="Calibri" w:hAnsi="Calibri" w:cs="Calibri"/>
          <w:sz w:val="22"/>
          <w:szCs w:val="22"/>
        </w:rPr>
        <w:t>. Routledge.</w:t>
      </w:r>
    </w:p>
    <w:p w14:paraId="36B0A96F" w14:textId="77777777" w:rsidR="00642EC4" w:rsidRDefault="00642EC4"/>
    <w:sectPr w:rsidR="00642E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4CBA"/>
    <w:multiLevelType w:val="multilevel"/>
    <w:tmpl w:val="8514D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D55F2"/>
    <w:multiLevelType w:val="multilevel"/>
    <w:tmpl w:val="B9A8D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4974548">
    <w:abstractNumId w:val="1"/>
  </w:num>
  <w:num w:numId="2" w16cid:durableId="458228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3E3"/>
    <w:rsid w:val="00092C19"/>
    <w:rsid w:val="0054312D"/>
    <w:rsid w:val="00642EC4"/>
    <w:rsid w:val="008902CF"/>
    <w:rsid w:val="008F509A"/>
    <w:rsid w:val="00911AA0"/>
    <w:rsid w:val="00931B08"/>
    <w:rsid w:val="009B3122"/>
    <w:rsid w:val="00CA4F0F"/>
    <w:rsid w:val="00E233E3"/>
    <w:rsid w:val="00EC761D"/>
    <w:rsid w:val="00F608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F91E5"/>
  <w15:chartTrackingRefBased/>
  <w15:docId w15:val="{22FBEB89-3D59-4FD4-BF47-F1E9B820C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3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33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33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33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3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3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3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3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3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3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33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33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33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33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33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3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3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3E3"/>
    <w:rPr>
      <w:rFonts w:eastAsiaTheme="majorEastAsia" w:cstheme="majorBidi"/>
      <w:color w:val="272727" w:themeColor="text1" w:themeTint="D8"/>
    </w:rPr>
  </w:style>
  <w:style w:type="paragraph" w:styleId="Title">
    <w:name w:val="Title"/>
    <w:basedOn w:val="Normal"/>
    <w:next w:val="Normal"/>
    <w:link w:val="TitleChar"/>
    <w:uiPriority w:val="10"/>
    <w:qFormat/>
    <w:rsid w:val="00E233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3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3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3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3E3"/>
    <w:pPr>
      <w:spacing w:before="160"/>
      <w:jc w:val="center"/>
    </w:pPr>
    <w:rPr>
      <w:i/>
      <w:iCs/>
      <w:color w:val="404040" w:themeColor="text1" w:themeTint="BF"/>
    </w:rPr>
  </w:style>
  <w:style w:type="character" w:customStyle="1" w:styleId="QuoteChar">
    <w:name w:val="Quote Char"/>
    <w:basedOn w:val="DefaultParagraphFont"/>
    <w:link w:val="Quote"/>
    <w:uiPriority w:val="29"/>
    <w:rsid w:val="00E233E3"/>
    <w:rPr>
      <w:i/>
      <w:iCs/>
      <w:color w:val="404040" w:themeColor="text1" w:themeTint="BF"/>
    </w:rPr>
  </w:style>
  <w:style w:type="paragraph" w:styleId="ListParagraph">
    <w:name w:val="List Paragraph"/>
    <w:basedOn w:val="Normal"/>
    <w:uiPriority w:val="34"/>
    <w:qFormat/>
    <w:rsid w:val="00E233E3"/>
    <w:pPr>
      <w:ind w:left="720"/>
      <w:contextualSpacing/>
    </w:pPr>
  </w:style>
  <w:style w:type="character" w:styleId="IntenseEmphasis">
    <w:name w:val="Intense Emphasis"/>
    <w:basedOn w:val="DefaultParagraphFont"/>
    <w:uiPriority w:val="21"/>
    <w:qFormat/>
    <w:rsid w:val="00E233E3"/>
    <w:rPr>
      <w:i/>
      <w:iCs/>
      <w:color w:val="0F4761" w:themeColor="accent1" w:themeShade="BF"/>
    </w:rPr>
  </w:style>
  <w:style w:type="paragraph" w:styleId="IntenseQuote">
    <w:name w:val="Intense Quote"/>
    <w:basedOn w:val="Normal"/>
    <w:next w:val="Normal"/>
    <w:link w:val="IntenseQuoteChar"/>
    <w:uiPriority w:val="30"/>
    <w:qFormat/>
    <w:rsid w:val="00E233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33E3"/>
    <w:rPr>
      <w:i/>
      <w:iCs/>
      <w:color w:val="0F4761" w:themeColor="accent1" w:themeShade="BF"/>
    </w:rPr>
  </w:style>
  <w:style w:type="character" w:styleId="IntenseReference">
    <w:name w:val="Intense Reference"/>
    <w:basedOn w:val="DefaultParagraphFont"/>
    <w:uiPriority w:val="32"/>
    <w:qFormat/>
    <w:rsid w:val="00E233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491373">
      <w:bodyDiv w:val="1"/>
      <w:marLeft w:val="0"/>
      <w:marRight w:val="0"/>
      <w:marTop w:val="0"/>
      <w:marBottom w:val="0"/>
      <w:divBdr>
        <w:top w:val="none" w:sz="0" w:space="0" w:color="auto"/>
        <w:left w:val="none" w:sz="0" w:space="0" w:color="auto"/>
        <w:bottom w:val="none" w:sz="0" w:space="0" w:color="auto"/>
        <w:right w:val="none" w:sz="0" w:space="0" w:color="auto"/>
      </w:divBdr>
    </w:div>
    <w:div w:id="155361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89f26de-0d37-4e79-8c42-5898fa76b2c6">
      <Terms xmlns="http://schemas.microsoft.com/office/infopath/2007/PartnerControls"/>
    </lcf76f155ced4ddcb4097134ff3c332f>
    <TaxCatchAll xmlns="3d178a15-bf37-4124-aa0d-b1292c9d26b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28BF222AB15148806E1153C7FD6839" ma:contentTypeVersion="18" ma:contentTypeDescription="Create a new document." ma:contentTypeScope="" ma:versionID="8f203c650944064a73c85d554562e563">
  <xsd:schema xmlns:xsd="http://www.w3.org/2001/XMLSchema" xmlns:xs="http://www.w3.org/2001/XMLSchema" xmlns:p="http://schemas.microsoft.com/office/2006/metadata/properties" xmlns:ns2="389f26de-0d37-4e79-8c42-5898fa76b2c6" xmlns:ns3="3d178a15-bf37-4124-aa0d-b1292c9d26b9" targetNamespace="http://schemas.microsoft.com/office/2006/metadata/properties" ma:root="true" ma:fieldsID="fab81fafd09cd0652e4b349c0e516ed7" ns2:_="" ns3:_="">
    <xsd:import namespace="389f26de-0d37-4e79-8c42-5898fa76b2c6"/>
    <xsd:import namespace="3d178a15-bf37-4124-aa0d-b1292c9d26b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9f26de-0d37-4e79-8c42-5898fa76b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a5b405-0a0e-4636-9da2-1486f19a2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78a15-bf37-4124-aa0d-b1292c9d26b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092d4ca-b68c-42a3-a3fd-7402464f43e5}" ma:internalName="TaxCatchAll" ma:showField="CatchAllData" ma:web="3d178a15-bf37-4124-aa0d-b1292c9d26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FB8907-5D6A-4F73-9155-4423D32FB801}">
  <ds:schemaRefs>
    <ds:schemaRef ds:uri="http://schemas.microsoft.com/office/2006/metadata/properties"/>
    <ds:schemaRef ds:uri="http://schemas.microsoft.com/office/infopath/2007/PartnerControls"/>
    <ds:schemaRef ds:uri="389f26de-0d37-4e79-8c42-5898fa76b2c6"/>
    <ds:schemaRef ds:uri="3d178a15-bf37-4124-aa0d-b1292c9d26b9"/>
  </ds:schemaRefs>
</ds:datastoreItem>
</file>

<file path=customXml/itemProps2.xml><?xml version="1.0" encoding="utf-8"?>
<ds:datastoreItem xmlns:ds="http://schemas.openxmlformats.org/officeDocument/2006/customXml" ds:itemID="{5878C48D-6A78-4638-B497-FB3F763EF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9f26de-0d37-4e79-8c42-5898fa76b2c6"/>
    <ds:schemaRef ds:uri="3d178a15-bf37-4124-aa0d-b1292c9d26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EF6BFA-0C8F-484F-AF51-C481488509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740</Words>
  <Characters>4993</Characters>
  <Application>Microsoft Office Word</Application>
  <DocSecurity>0</DocSecurity>
  <Lines>82</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Sareena Hopkins</dc:creator>
  <cp:keywords/>
  <dc:description/>
  <cp:lastModifiedBy>Donnalee Bell</cp:lastModifiedBy>
  <cp:revision>4</cp:revision>
  <dcterms:created xsi:type="dcterms:W3CDTF">2026-03-24T16:37:00Z</dcterms:created>
  <dcterms:modified xsi:type="dcterms:W3CDTF">2026-03-24T17:11:00Z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0x0101005A28BF222AB15148806E1153C7FD6839</vt:lpwstr>
  </property>
  <property fmtid="{D5CDD505-2E9C-101B-9397-08002B2CF9AE}" pid="3" name="GrammarlyDocumentId">
    <vt:lpwstr>22837c79-6af1-4908-b2de-13d4cef3872a</vt:lpwstr>
  </property>
  <property fmtid="{D5CDD505-2E9C-101B-9397-08002B2CF9AE}" pid="4" name="MediaServiceImageTags">
    <vt:lpwstr/>
  </property>
</Properties>
</file>