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6E382" w14:textId="65BB04ED" w:rsidR="00C05E61" w:rsidRDefault="73BEB8A5" w:rsidP="637F1EF7">
      <w:pPr>
        <w:pStyle w:val="Heading2"/>
        <w:spacing w:before="299" w:after="299"/>
        <w:jc w:val="center"/>
        <w:rPr>
          <w:rFonts w:ascii="Aptos" w:eastAsia="Aptos" w:hAnsi="Aptos" w:cs="Aptos"/>
          <w:b/>
          <w:bCs/>
          <w:color w:val="auto"/>
        </w:rPr>
      </w:pPr>
      <w:r w:rsidRPr="637F1EF7">
        <w:rPr>
          <w:rFonts w:ascii="Aptos" w:eastAsia="Aptos" w:hAnsi="Aptos" w:cs="Aptos"/>
          <w:b/>
          <w:bCs/>
          <w:color w:val="auto"/>
        </w:rPr>
        <w:t>Navigating Futures: From Whakapapa to Pathways – Re-engaging Rangatahi Māori Through Identity, Voice, and Career Exploration</w:t>
      </w:r>
    </w:p>
    <w:p w14:paraId="4995BCD6" w14:textId="3AC4EBBF" w:rsidR="00C05E61" w:rsidRDefault="73BEB8A5" w:rsidP="637F1EF7">
      <w:pPr>
        <w:spacing w:before="240" w:after="240"/>
        <w:rPr>
          <w:rFonts w:ascii="Aptos" w:eastAsia="Aptos" w:hAnsi="Aptos" w:cs="Aptos"/>
        </w:rPr>
      </w:pPr>
      <w:r w:rsidRPr="637F1EF7">
        <w:rPr>
          <w:rFonts w:ascii="Aptos" w:eastAsia="Aptos" w:hAnsi="Aptos" w:cs="Aptos"/>
        </w:rPr>
        <w:t xml:space="preserve">Presenters: Māori Dean Damian </w:t>
      </w:r>
      <w:r w:rsidR="10ABC5B9" w:rsidRPr="637F1EF7">
        <w:rPr>
          <w:rFonts w:ascii="Aptos" w:eastAsia="Aptos" w:hAnsi="Aptos" w:cs="Aptos"/>
        </w:rPr>
        <w:t>B</w:t>
      </w:r>
      <w:r w:rsidRPr="637F1EF7">
        <w:rPr>
          <w:rFonts w:ascii="Aptos" w:eastAsia="Aptos" w:hAnsi="Aptos" w:cs="Aptos"/>
        </w:rPr>
        <w:t>ertanee</w:t>
      </w:r>
      <w:r w:rsidR="3DA67082" w:rsidRPr="637F1EF7">
        <w:rPr>
          <w:rFonts w:ascii="Aptos" w:eastAsia="Aptos" w:hAnsi="Aptos" w:cs="Aptos"/>
        </w:rPr>
        <w:t>s</w:t>
      </w:r>
      <w:r w:rsidR="00000000">
        <w:br/>
      </w:r>
      <w:r w:rsidRPr="637F1EF7">
        <w:rPr>
          <w:rFonts w:ascii="Aptos" w:eastAsia="Aptos" w:hAnsi="Aptos" w:cs="Aptos"/>
        </w:rPr>
        <w:t xml:space="preserve"> Format: 60-minute Interactive Workshop</w:t>
      </w:r>
    </w:p>
    <w:p w14:paraId="177AA567" w14:textId="734B0DDC" w:rsidR="00C05E61" w:rsidRDefault="73BEB8A5" w:rsidP="637F1EF7">
      <w:pPr>
        <w:pStyle w:val="Heading3"/>
        <w:spacing w:before="281" w:after="281"/>
        <w:rPr>
          <w:rFonts w:ascii="Aptos" w:eastAsia="Aptos" w:hAnsi="Aptos" w:cs="Aptos"/>
          <w:b/>
          <w:bCs/>
          <w:color w:val="auto"/>
        </w:rPr>
      </w:pPr>
      <w:r w:rsidRPr="637F1EF7">
        <w:rPr>
          <w:rFonts w:ascii="Aptos" w:eastAsia="Aptos" w:hAnsi="Aptos" w:cs="Aptos"/>
          <w:b/>
          <w:bCs/>
          <w:color w:val="auto"/>
        </w:rPr>
        <w:t>Introduction</w:t>
      </w:r>
    </w:p>
    <w:p w14:paraId="7ECE79CA" w14:textId="39BE2655" w:rsidR="00C05E61" w:rsidRDefault="73BEB8A5" w:rsidP="637F1EF7">
      <w:pPr>
        <w:spacing w:before="240" w:after="240"/>
        <w:rPr>
          <w:rFonts w:ascii="Aptos" w:eastAsia="Aptos" w:hAnsi="Aptos" w:cs="Aptos"/>
        </w:rPr>
      </w:pPr>
      <w:r w:rsidRPr="637F1EF7">
        <w:rPr>
          <w:rFonts w:ascii="Aptos" w:eastAsia="Aptos" w:hAnsi="Aptos" w:cs="Aptos"/>
        </w:rPr>
        <w:t>This workshop explores a holistic, culturally grounded approach to improving engagement, attendance, and career exploration for rangatahi Māori in Years 11–13. Drawing on lived practice as a Māori Dean, this session shares an emerging model that connects identity, whānau voice, and real-world pathways to support students to re-engage with education and envision their futures.</w:t>
      </w:r>
    </w:p>
    <w:p w14:paraId="334A8218" w14:textId="571FCA74" w:rsidR="00C05E61" w:rsidRDefault="73BEB8A5" w:rsidP="637F1EF7">
      <w:pPr>
        <w:spacing w:before="240" w:after="240"/>
        <w:rPr>
          <w:rFonts w:ascii="Aptos" w:eastAsia="Aptos" w:hAnsi="Aptos" w:cs="Aptos"/>
        </w:rPr>
      </w:pPr>
      <w:r w:rsidRPr="637F1EF7">
        <w:rPr>
          <w:rFonts w:ascii="Aptos" w:eastAsia="Aptos" w:hAnsi="Aptos" w:cs="Aptos"/>
        </w:rPr>
        <w:t xml:space="preserve">Grounded in kaupapa Māori values such as </w:t>
      </w:r>
      <w:r w:rsidRPr="637F1EF7">
        <w:rPr>
          <w:rFonts w:ascii="Aptos" w:eastAsia="Aptos" w:hAnsi="Aptos" w:cs="Aptos"/>
          <w:i/>
          <w:iCs/>
        </w:rPr>
        <w:t>tūrangawaewae</w:t>
      </w:r>
      <w:r w:rsidRPr="637F1EF7">
        <w:rPr>
          <w:rFonts w:ascii="Aptos" w:eastAsia="Aptos" w:hAnsi="Aptos" w:cs="Aptos"/>
        </w:rPr>
        <w:t xml:space="preserve">, </w:t>
      </w:r>
      <w:r w:rsidRPr="637F1EF7">
        <w:rPr>
          <w:rFonts w:ascii="Aptos" w:eastAsia="Aptos" w:hAnsi="Aptos" w:cs="Aptos"/>
          <w:i/>
          <w:iCs/>
        </w:rPr>
        <w:t>whakapapa</w:t>
      </w:r>
      <w:r w:rsidRPr="637F1EF7">
        <w:rPr>
          <w:rFonts w:ascii="Aptos" w:eastAsia="Aptos" w:hAnsi="Aptos" w:cs="Aptos"/>
        </w:rPr>
        <w:t xml:space="preserve">, and </w:t>
      </w:r>
      <w:r w:rsidRPr="637F1EF7">
        <w:rPr>
          <w:rFonts w:ascii="Aptos" w:eastAsia="Aptos" w:hAnsi="Aptos" w:cs="Aptos"/>
          <w:i/>
          <w:iCs/>
        </w:rPr>
        <w:t>ihi, wehi, wana</w:t>
      </w:r>
      <w:r w:rsidRPr="637F1EF7">
        <w:rPr>
          <w:rFonts w:ascii="Aptos" w:eastAsia="Aptos" w:hAnsi="Aptos" w:cs="Aptos"/>
        </w:rPr>
        <w:t>, the approach integrates career exposure (polytechnic and university pathways), whānau partnerships, cultural practice (</w:t>
      </w:r>
      <w:r w:rsidRPr="637F1EF7">
        <w:rPr>
          <w:rFonts w:ascii="Aptos" w:eastAsia="Aptos" w:hAnsi="Aptos" w:cs="Aptos"/>
          <w:i/>
          <w:iCs/>
        </w:rPr>
        <w:t>mau rākau</w:t>
      </w:r>
      <w:r w:rsidRPr="637F1EF7">
        <w:rPr>
          <w:rFonts w:ascii="Aptos" w:eastAsia="Aptos" w:hAnsi="Aptos" w:cs="Aptos"/>
        </w:rPr>
        <w:t>), and creative expression through drama. This work responds to persistent attendance challenges by reframing engagement through belonging, identity, and purpose.</w:t>
      </w:r>
    </w:p>
    <w:p w14:paraId="2EB352AE" w14:textId="571C2FF6" w:rsidR="00C05E61" w:rsidRDefault="73BEB8A5" w:rsidP="637F1EF7">
      <w:pPr>
        <w:pStyle w:val="Heading3"/>
        <w:spacing w:before="281" w:after="281"/>
        <w:rPr>
          <w:rFonts w:ascii="Aptos" w:eastAsia="Aptos" w:hAnsi="Aptos" w:cs="Aptos"/>
          <w:b/>
          <w:bCs/>
          <w:color w:val="auto"/>
        </w:rPr>
      </w:pPr>
      <w:r w:rsidRPr="637F1EF7">
        <w:rPr>
          <w:rFonts w:ascii="Aptos" w:eastAsia="Aptos" w:hAnsi="Aptos" w:cs="Aptos"/>
          <w:b/>
          <w:bCs/>
          <w:color w:val="auto"/>
        </w:rPr>
        <w:t>Objectives</w:t>
      </w:r>
    </w:p>
    <w:p w14:paraId="2639E0F8" w14:textId="5FFB48E5" w:rsidR="00C05E61" w:rsidRDefault="73BEB8A5" w:rsidP="637F1EF7">
      <w:pPr>
        <w:spacing w:before="240" w:after="240"/>
        <w:rPr>
          <w:rFonts w:ascii="Aptos" w:eastAsia="Aptos" w:hAnsi="Aptos" w:cs="Aptos"/>
        </w:rPr>
      </w:pPr>
      <w:r w:rsidRPr="637F1EF7">
        <w:rPr>
          <w:rFonts w:ascii="Aptos" w:eastAsia="Aptos" w:hAnsi="Aptos" w:cs="Aptos"/>
        </w:rPr>
        <w:t>Participants will:</w:t>
      </w:r>
    </w:p>
    <w:p w14:paraId="5CFB8D34" w14:textId="7DFB664F" w:rsidR="00C05E61" w:rsidRDefault="73BEB8A5" w:rsidP="637F1EF7">
      <w:pPr>
        <w:pStyle w:val="ListParagraph"/>
        <w:numPr>
          <w:ilvl w:val="0"/>
          <w:numId w:val="6"/>
        </w:numPr>
        <w:spacing w:after="0"/>
        <w:rPr>
          <w:rFonts w:ascii="Aptos" w:eastAsia="Aptos" w:hAnsi="Aptos" w:cs="Aptos"/>
        </w:rPr>
      </w:pPr>
      <w:r w:rsidRPr="637F1EF7">
        <w:rPr>
          <w:rFonts w:ascii="Aptos" w:eastAsia="Aptos" w:hAnsi="Aptos" w:cs="Aptos"/>
        </w:rPr>
        <w:t xml:space="preserve">Understand the complex factors impacting Māori student attendance and engagement </w:t>
      </w:r>
    </w:p>
    <w:p w14:paraId="35BD7663" w14:textId="6F0BD843" w:rsidR="00C05E61" w:rsidRDefault="73BEB8A5" w:rsidP="637F1EF7">
      <w:pPr>
        <w:pStyle w:val="ListParagraph"/>
        <w:numPr>
          <w:ilvl w:val="0"/>
          <w:numId w:val="6"/>
        </w:numPr>
        <w:spacing w:after="0"/>
        <w:rPr>
          <w:rFonts w:ascii="Aptos" w:eastAsia="Aptos" w:hAnsi="Aptos" w:cs="Aptos"/>
        </w:rPr>
      </w:pPr>
      <w:r w:rsidRPr="637F1EF7">
        <w:rPr>
          <w:rFonts w:ascii="Aptos" w:eastAsia="Aptos" w:hAnsi="Aptos" w:cs="Aptos"/>
        </w:rPr>
        <w:t xml:space="preserve">Explore culturally responsive strategies that connect identity to career pathways </w:t>
      </w:r>
    </w:p>
    <w:p w14:paraId="28D4B759" w14:textId="6DAD206F" w:rsidR="00C05E61" w:rsidRDefault="73BEB8A5" w:rsidP="637F1EF7">
      <w:pPr>
        <w:pStyle w:val="ListParagraph"/>
        <w:numPr>
          <w:ilvl w:val="0"/>
          <w:numId w:val="6"/>
        </w:numPr>
        <w:spacing w:after="0"/>
        <w:rPr>
          <w:rFonts w:ascii="Aptos" w:eastAsia="Aptos" w:hAnsi="Aptos" w:cs="Aptos"/>
        </w:rPr>
      </w:pPr>
      <w:r w:rsidRPr="637F1EF7">
        <w:rPr>
          <w:rFonts w:ascii="Aptos" w:eastAsia="Aptos" w:hAnsi="Aptos" w:cs="Aptos"/>
        </w:rPr>
        <w:t xml:space="preserve">Learn how whānau and community voice can strengthen student motivation and aspiration </w:t>
      </w:r>
    </w:p>
    <w:p w14:paraId="4BEE5F06" w14:textId="3F1727E8" w:rsidR="00C05E61" w:rsidRDefault="73BEB8A5" w:rsidP="637F1EF7">
      <w:pPr>
        <w:pStyle w:val="ListParagraph"/>
        <w:numPr>
          <w:ilvl w:val="0"/>
          <w:numId w:val="6"/>
        </w:numPr>
        <w:spacing w:after="0"/>
        <w:rPr>
          <w:rFonts w:ascii="Aptos" w:eastAsia="Aptos" w:hAnsi="Aptos" w:cs="Aptos"/>
        </w:rPr>
      </w:pPr>
      <w:r w:rsidRPr="637F1EF7">
        <w:rPr>
          <w:rFonts w:ascii="Aptos" w:eastAsia="Aptos" w:hAnsi="Aptos" w:cs="Aptos"/>
        </w:rPr>
        <w:t xml:space="preserve">Identify ways to integrate creative and cultural practices to re-engage learners </w:t>
      </w:r>
    </w:p>
    <w:p w14:paraId="6E23A362" w14:textId="1C34D96B" w:rsidR="00C05E61" w:rsidRDefault="73BEB8A5" w:rsidP="637F1EF7">
      <w:pPr>
        <w:pStyle w:val="ListParagraph"/>
        <w:numPr>
          <w:ilvl w:val="0"/>
          <w:numId w:val="6"/>
        </w:numPr>
        <w:spacing w:after="0"/>
        <w:rPr>
          <w:rFonts w:ascii="Aptos" w:eastAsia="Aptos" w:hAnsi="Aptos" w:cs="Aptos"/>
        </w:rPr>
      </w:pPr>
      <w:r w:rsidRPr="637F1EF7">
        <w:rPr>
          <w:rFonts w:ascii="Aptos" w:eastAsia="Aptos" w:hAnsi="Aptos" w:cs="Aptos"/>
        </w:rPr>
        <w:t xml:space="preserve">Develop approaches to connect career exploration with wellbeing and belonging </w:t>
      </w:r>
    </w:p>
    <w:p w14:paraId="049A7822" w14:textId="6BEEADBF" w:rsidR="00C05E61" w:rsidRDefault="73BEB8A5" w:rsidP="637F1EF7">
      <w:pPr>
        <w:pStyle w:val="Heading3"/>
        <w:spacing w:before="281" w:after="281"/>
        <w:rPr>
          <w:rFonts w:ascii="Aptos" w:eastAsia="Aptos" w:hAnsi="Aptos" w:cs="Aptos"/>
          <w:b/>
          <w:bCs/>
          <w:color w:val="auto"/>
        </w:rPr>
      </w:pPr>
      <w:r w:rsidRPr="637F1EF7">
        <w:rPr>
          <w:rFonts w:ascii="Aptos" w:eastAsia="Aptos" w:hAnsi="Aptos" w:cs="Aptos"/>
          <w:b/>
          <w:bCs/>
          <w:color w:val="auto"/>
        </w:rPr>
        <w:t>Theoretical Basis &amp; Key References</w:t>
      </w:r>
    </w:p>
    <w:p w14:paraId="150FEBAC" w14:textId="312D0657" w:rsidR="00C05E61" w:rsidRDefault="73BEB8A5" w:rsidP="637F1EF7">
      <w:pPr>
        <w:spacing w:before="240" w:after="240"/>
        <w:rPr>
          <w:rFonts w:ascii="Aptos" w:eastAsia="Aptos" w:hAnsi="Aptos" w:cs="Aptos"/>
        </w:rPr>
      </w:pPr>
      <w:r w:rsidRPr="637F1EF7">
        <w:rPr>
          <w:rFonts w:ascii="Aptos" w:eastAsia="Aptos" w:hAnsi="Aptos" w:cs="Aptos"/>
        </w:rPr>
        <w:t>This workshop is informed by:</w:t>
      </w:r>
    </w:p>
    <w:p w14:paraId="321049BC" w14:textId="7ECC32F5" w:rsidR="00C05E61" w:rsidRDefault="73BEB8A5" w:rsidP="637F1EF7">
      <w:pPr>
        <w:pStyle w:val="ListParagraph"/>
        <w:numPr>
          <w:ilvl w:val="0"/>
          <w:numId w:val="5"/>
        </w:numPr>
        <w:spacing w:after="0"/>
        <w:rPr>
          <w:rFonts w:ascii="Aptos" w:eastAsia="Aptos" w:hAnsi="Aptos" w:cs="Aptos"/>
        </w:rPr>
      </w:pPr>
      <w:r w:rsidRPr="637F1EF7">
        <w:rPr>
          <w:rFonts w:ascii="Aptos" w:eastAsia="Aptos" w:hAnsi="Aptos" w:cs="Aptos"/>
        </w:rPr>
        <w:t xml:space="preserve">Kaupapa Māori theory and culturally sustaining pedagogy </w:t>
      </w:r>
    </w:p>
    <w:p w14:paraId="5A790E33" w14:textId="438B5703" w:rsidR="00C05E61" w:rsidRDefault="73BEB8A5" w:rsidP="637F1EF7">
      <w:pPr>
        <w:pStyle w:val="ListParagraph"/>
        <w:numPr>
          <w:ilvl w:val="0"/>
          <w:numId w:val="5"/>
        </w:numPr>
        <w:spacing w:after="0"/>
        <w:rPr>
          <w:rFonts w:ascii="Aptos" w:eastAsia="Aptos" w:hAnsi="Aptos" w:cs="Aptos"/>
        </w:rPr>
      </w:pPr>
      <w:r w:rsidRPr="637F1EF7">
        <w:rPr>
          <w:rFonts w:ascii="Aptos" w:eastAsia="Aptos" w:hAnsi="Aptos" w:cs="Aptos"/>
        </w:rPr>
        <w:t xml:space="preserve">Concepts of </w:t>
      </w:r>
      <w:r w:rsidRPr="637F1EF7">
        <w:rPr>
          <w:rFonts w:ascii="Aptos" w:eastAsia="Aptos" w:hAnsi="Aptos" w:cs="Aptos"/>
          <w:i/>
          <w:iCs/>
        </w:rPr>
        <w:t>tūrangawaewae</w:t>
      </w:r>
      <w:r w:rsidRPr="637F1EF7">
        <w:rPr>
          <w:rFonts w:ascii="Aptos" w:eastAsia="Aptos" w:hAnsi="Aptos" w:cs="Aptos"/>
        </w:rPr>
        <w:t xml:space="preserve"> (place of belonging) and </w:t>
      </w:r>
      <w:r w:rsidRPr="637F1EF7">
        <w:rPr>
          <w:rFonts w:ascii="Aptos" w:eastAsia="Aptos" w:hAnsi="Aptos" w:cs="Aptos"/>
          <w:i/>
          <w:iCs/>
        </w:rPr>
        <w:t>whakapapa</w:t>
      </w:r>
      <w:r w:rsidRPr="637F1EF7">
        <w:rPr>
          <w:rFonts w:ascii="Aptos" w:eastAsia="Aptos" w:hAnsi="Aptos" w:cs="Aptos"/>
        </w:rPr>
        <w:t xml:space="preserve"> (identity and connection) </w:t>
      </w:r>
    </w:p>
    <w:p w14:paraId="080F1B66" w14:textId="24FB4446" w:rsidR="00C05E61" w:rsidRDefault="73BEB8A5" w:rsidP="637F1EF7">
      <w:pPr>
        <w:pStyle w:val="ListParagraph"/>
        <w:numPr>
          <w:ilvl w:val="0"/>
          <w:numId w:val="5"/>
        </w:numPr>
        <w:spacing w:after="0"/>
        <w:rPr>
          <w:rFonts w:ascii="Aptos" w:eastAsia="Aptos" w:hAnsi="Aptos" w:cs="Aptos"/>
        </w:rPr>
      </w:pPr>
      <w:r w:rsidRPr="637F1EF7">
        <w:rPr>
          <w:rFonts w:ascii="Aptos" w:eastAsia="Aptos" w:hAnsi="Aptos" w:cs="Aptos"/>
        </w:rPr>
        <w:t xml:space="preserve">Wellbeing and trauma-informed education approaches </w:t>
      </w:r>
    </w:p>
    <w:p w14:paraId="5908E725" w14:textId="30F3EE9F" w:rsidR="00C05E61" w:rsidRDefault="73BEB8A5" w:rsidP="637F1EF7">
      <w:pPr>
        <w:pStyle w:val="ListParagraph"/>
        <w:numPr>
          <w:ilvl w:val="0"/>
          <w:numId w:val="5"/>
        </w:numPr>
        <w:spacing w:after="0"/>
        <w:rPr>
          <w:rFonts w:ascii="Aptos" w:eastAsia="Aptos" w:hAnsi="Aptos" w:cs="Aptos"/>
        </w:rPr>
      </w:pPr>
      <w:r w:rsidRPr="637F1EF7">
        <w:rPr>
          <w:rFonts w:ascii="Aptos" w:eastAsia="Aptos" w:hAnsi="Aptos" w:cs="Aptos"/>
        </w:rPr>
        <w:t xml:space="preserve">Career Construction </w:t>
      </w:r>
    </w:p>
    <w:p w14:paraId="790BA340" w14:textId="06B7704F" w:rsidR="00C05E61" w:rsidRDefault="73BEB8A5" w:rsidP="637F1EF7">
      <w:pPr>
        <w:pStyle w:val="ListParagraph"/>
        <w:numPr>
          <w:ilvl w:val="0"/>
          <w:numId w:val="5"/>
        </w:numPr>
        <w:spacing w:after="0"/>
        <w:rPr>
          <w:rFonts w:ascii="Aptos" w:eastAsia="Aptos" w:hAnsi="Aptos" w:cs="Aptos"/>
        </w:rPr>
      </w:pPr>
      <w:r w:rsidRPr="637F1EF7">
        <w:rPr>
          <w:rFonts w:ascii="Aptos" w:eastAsia="Aptos" w:hAnsi="Aptos" w:cs="Aptos"/>
        </w:rPr>
        <w:t xml:space="preserve">Indigenous models of relational and experiential learning </w:t>
      </w:r>
    </w:p>
    <w:p w14:paraId="206CE121" w14:textId="71EEE4E3" w:rsidR="00C05E61" w:rsidRDefault="73BEB8A5" w:rsidP="637F1EF7">
      <w:pPr>
        <w:spacing w:before="240" w:after="240"/>
        <w:rPr>
          <w:rFonts w:ascii="Aptos" w:eastAsia="Aptos" w:hAnsi="Aptos" w:cs="Aptos"/>
        </w:rPr>
      </w:pPr>
      <w:r w:rsidRPr="637F1EF7">
        <w:rPr>
          <w:rFonts w:ascii="Aptos" w:eastAsia="Aptos" w:hAnsi="Aptos" w:cs="Aptos"/>
        </w:rPr>
        <w:t>Together, these frameworks support a strengths-based, identity-centred approach to engagement and future pathway development.</w:t>
      </w:r>
    </w:p>
    <w:p w14:paraId="30935AD8" w14:textId="1E7959BF" w:rsidR="00C05E61" w:rsidRDefault="00C05E61" w:rsidP="637F1EF7"/>
    <w:p w14:paraId="54A2F938" w14:textId="2B9DA12B" w:rsidR="00C05E61" w:rsidRDefault="73BEB8A5" w:rsidP="637F1EF7">
      <w:pPr>
        <w:pStyle w:val="Heading3"/>
        <w:spacing w:before="281" w:after="281"/>
        <w:rPr>
          <w:rFonts w:ascii="Aptos" w:eastAsia="Aptos" w:hAnsi="Aptos" w:cs="Aptos"/>
          <w:b/>
          <w:bCs/>
          <w:color w:val="auto"/>
        </w:rPr>
      </w:pPr>
      <w:r w:rsidRPr="637F1EF7">
        <w:rPr>
          <w:rFonts w:ascii="Aptos" w:eastAsia="Aptos" w:hAnsi="Aptos" w:cs="Aptos"/>
          <w:b/>
          <w:bCs/>
          <w:color w:val="auto"/>
        </w:rPr>
        <w:lastRenderedPageBreak/>
        <w:t>Workshop Content</w:t>
      </w:r>
    </w:p>
    <w:p w14:paraId="152F6B9B" w14:textId="0DE84170" w:rsidR="00C05E61" w:rsidRDefault="73BEB8A5" w:rsidP="637F1EF7">
      <w:pPr>
        <w:spacing w:before="240" w:after="240"/>
        <w:rPr>
          <w:rFonts w:ascii="Aptos" w:eastAsia="Aptos" w:hAnsi="Aptos" w:cs="Aptos"/>
        </w:rPr>
      </w:pPr>
      <w:r w:rsidRPr="637F1EF7">
        <w:rPr>
          <w:rFonts w:ascii="Aptos" w:eastAsia="Aptos" w:hAnsi="Aptos" w:cs="Aptos"/>
        </w:rPr>
        <w:t>Participants will engage with:</w:t>
      </w:r>
    </w:p>
    <w:p w14:paraId="5366C987" w14:textId="5D791142" w:rsidR="00C05E61" w:rsidRDefault="73BEB8A5" w:rsidP="637F1EF7">
      <w:pPr>
        <w:pStyle w:val="ListParagraph"/>
        <w:numPr>
          <w:ilvl w:val="0"/>
          <w:numId w:val="4"/>
        </w:numPr>
        <w:spacing w:after="0"/>
        <w:rPr>
          <w:rFonts w:ascii="Aptos" w:eastAsia="Aptos" w:hAnsi="Aptos" w:cs="Aptos"/>
        </w:rPr>
      </w:pPr>
      <w:r w:rsidRPr="637F1EF7">
        <w:rPr>
          <w:rFonts w:ascii="Aptos" w:eastAsia="Aptos" w:hAnsi="Aptos" w:cs="Aptos"/>
        </w:rPr>
        <w:t xml:space="preserve">A case study of current practice as a Māori Dean supporting pathway development </w:t>
      </w:r>
    </w:p>
    <w:p w14:paraId="4A567D38" w14:textId="68755003" w:rsidR="00C05E61" w:rsidRDefault="73BEB8A5" w:rsidP="637F1EF7">
      <w:pPr>
        <w:pStyle w:val="ListParagraph"/>
        <w:numPr>
          <w:ilvl w:val="0"/>
          <w:numId w:val="4"/>
        </w:numPr>
        <w:spacing w:after="0"/>
        <w:rPr>
          <w:rFonts w:ascii="Aptos" w:eastAsia="Aptos" w:hAnsi="Aptos" w:cs="Aptos"/>
        </w:rPr>
      </w:pPr>
      <w:r w:rsidRPr="637F1EF7">
        <w:rPr>
          <w:rFonts w:ascii="Aptos" w:eastAsia="Aptos" w:hAnsi="Aptos" w:cs="Aptos"/>
        </w:rPr>
        <w:t xml:space="preserve">Strategies for connecting students to tertiary pathways through Māori-led university and polytechnic visits </w:t>
      </w:r>
    </w:p>
    <w:p w14:paraId="66F849FA" w14:textId="0A72D53E" w:rsidR="00C05E61" w:rsidRDefault="73BEB8A5" w:rsidP="637F1EF7">
      <w:pPr>
        <w:pStyle w:val="ListParagraph"/>
        <w:numPr>
          <w:ilvl w:val="0"/>
          <w:numId w:val="4"/>
        </w:numPr>
        <w:spacing w:after="0"/>
        <w:rPr>
          <w:rFonts w:ascii="Aptos" w:eastAsia="Aptos" w:hAnsi="Aptos" w:cs="Aptos"/>
        </w:rPr>
      </w:pPr>
      <w:r w:rsidRPr="637F1EF7">
        <w:rPr>
          <w:rFonts w:ascii="Aptos" w:eastAsia="Aptos" w:hAnsi="Aptos" w:cs="Aptos"/>
        </w:rPr>
        <w:t xml:space="preserve">The role of whānau hui in sharing career journeys and expanding student horizons </w:t>
      </w:r>
    </w:p>
    <w:p w14:paraId="6C3127CA" w14:textId="6724E50F" w:rsidR="00C05E61" w:rsidRDefault="73BEB8A5" w:rsidP="637F1EF7">
      <w:pPr>
        <w:pStyle w:val="ListParagraph"/>
        <w:numPr>
          <w:ilvl w:val="0"/>
          <w:numId w:val="4"/>
        </w:numPr>
        <w:spacing w:after="0"/>
        <w:rPr>
          <w:rFonts w:ascii="Aptos" w:eastAsia="Aptos" w:hAnsi="Aptos" w:cs="Aptos"/>
        </w:rPr>
      </w:pPr>
      <w:r w:rsidRPr="637F1EF7">
        <w:rPr>
          <w:rFonts w:ascii="Aptos" w:eastAsia="Aptos" w:hAnsi="Aptos" w:cs="Aptos"/>
        </w:rPr>
        <w:t xml:space="preserve">Addressing barriers to attendance, including poverty, food insecurity, and wellbeing challenges </w:t>
      </w:r>
    </w:p>
    <w:p w14:paraId="50DA8730" w14:textId="5D097895" w:rsidR="00C05E61" w:rsidRDefault="73BEB8A5" w:rsidP="637F1EF7">
      <w:pPr>
        <w:pStyle w:val="ListParagraph"/>
        <w:numPr>
          <w:ilvl w:val="0"/>
          <w:numId w:val="4"/>
        </w:numPr>
        <w:spacing w:after="0"/>
        <w:rPr>
          <w:rFonts w:ascii="Aptos" w:eastAsia="Aptos" w:hAnsi="Aptos" w:cs="Aptos"/>
        </w:rPr>
      </w:pPr>
      <w:r w:rsidRPr="637F1EF7">
        <w:rPr>
          <w:rFonts w:ascii="Aptos" w:eastAsia="Aptos" w:hAnsi="Aptos" w:cs="Aptos"/>
        </w:rPr>
        <w:t xml:space="preserve">The use of </w:t>
      </w:r>
      <w:r w:rsidRPr="637F1EF7">
        <w:rPr>
          <w:rFonts w:ascii="Aptos" w:eastAsia="Aptos" w:hAnsi="Aptos" w:cs="Aptos"/>
          <w:i/>
          <w:iCs/>
        </w:rPr>
        <w:t>mau rākau</w:t>
      </w:r>
      <w:r w:rsidRPr="637F1EF7">
        <w:rPr>
          <w:rFonts w:ascii="Aptos" w:eastAsia="Aptos" w:hAnsi="Aptos" w:cs="Aptos"/>
        </w:rPr>
        <w:t xml:space="preserve"> as a culturally grounded engagement strategy </w:t>
      </w:r>
    </w:p>
    <w:p w14:paraId="69645B32" w14:textId="0BB3B6DA" w:rsidR="00C05E61" w:rsidRDefault="73BEB8A5" w:rsidP="637F1EF7">
      <w:pPr>
        <w:pStyle w:val="ListParagraph"/>
        <w:numPr>
          <w:ilvl w:val="0"/>
          <w:numId w:val="4"/>
        </w:numPr>
        <w:spacing w:after="0"/>
        <w:rPr>
          <w:rFonts w:ascii="Aptos" w:eastAsia="Aptos" w:hAnsi="Aptos" w:cs="Aptos"/>
        </w:rPr>
      </w:pPr>
      <w:r w:rsidRPr="637F1EF7">
        <w:rPr>
          <w:rFonts w:ascii="Aptos" w:eastAsia="Aptos" w:hAnsi="Aptos" w:cs="Aptos"/>
        </w:rPr>
        <w:t xml:space="preserve">Exploring drama and storytelling as tools for healing, identity-building, and career exploration </w:t>
      </w:r>
    </w:p>
    <w:p w14:paraId="6429E1B2" w14:textId="196A68E2" w:rsidR="00C05E61" w:rsidRDefault="73BEB8A5" w:rsidP="637F1EF7">
      <w:pPr>
        <w:pStyle w:val="ListParagraph"/>
        <w:numPr>
          <w:ilvl w:val="0"/>
          <w:numId w:val="4"/>
        </w:numPr>
        <w:spacing w:after="0"/>
        <w:rPr>
          <w:rFonts w:ascii="Aptos" w:eastAsia="Aptos" w:hAnsi="Aptos" w:cs="Aptos"/>
        </w:rPr>
      </w:pPr>
      <w:r w:rsidRPr="637F1EF7">
        <w:rPr>
          <w:rFonts w:ascii="Aptos" w:eastAsia="Aptos" w:hAnsi="Aptos" w:cs="Aptos"/>
        </w:rPr>
        <w:t xml:space="preserve">Early-stage development of an attendance improvement plan grounded in data and whānau voice </w:t>
      </w:r>
    </w:p>
    <w:p w14:paraId="71DD555A" w14:textId="31D2701F" w:rsidR="00C05E61" w:rsidRDefault="73BEB8A5" w:rsidP="637F1EF7">
      <w:pPr>
        <w:pStyle w:val="Heading3"/>
        <w:spacing w:before="281" w:after="281"/>
        <w:rPr>
          <w:rFonts w:ascii="Aptos" w:eastAsia="Aptos" w:hAnsi="Aptos" w:cs="Aptos"/>
          <w:b/>
          <w:bCs/>
          <w:color w:val="auto"/>
        </w:rPr>
      </w:pPr>
      <w:r w:rsidRPr="637F1EF7">
        <w:rPr>
          <w:rFonts w:ascii="Aptos" w:eastAsia="Aptos" w:hAnsi="Aptos" w:cs="Aptos"/>
          <w:b/>
          <w:bCs/>
          <w:color w:val="auto"/>
        </w:rPr>
        <w:t>Interactive Elements</w:t>
      </w:r>
    </w:p>
    <w:p w14:paraId="0CA7572F" w14:textId="3C4443F1" w:rsidR="00C05E61" w:rsidRDefault="73BEB8A5" w:rsidP="637F1EF7">
      <w:pPr>
        <w:spacing w:before="240" w:after="240"/>
        <w:rPr>
          <w:rFonts w:ascii="Aptos" w:eastAsia="Aptos" w:hAnsi="Aptos" w:cs="Aptos"/>
        </w:rPr>
      </w:pPr>
      <w:r w:rsidRPr="637F1EF7">
        <w:rPr>
          <w:rFonts w:ascii="Aptos" w:eastAsia="Aptos" w:hAnsi="Aptos" w:cs="Aptos"/>
        </w:rPr>
        <w:t>This workshop is highly participatory and includes:</w:t>
      </w:r>
    </w:p>
    <w:p w14:paraId="3E34FC85" w14:textId="658C6828" w:rsidR="00C05E61" w:rsidRDefault="73BEB8A5" w:rsidP="637F1EF7">
      <w:pPr>
        <w:pStyle w:val="ListParagraph"/>
        <w:numPr>
          <w:ilvl w:val="0"/>
          <w:numId w:val="3"/>
        </w:numPr>
        <w:spacing w:after="0"/>
        <w:rPr>
          <w:rFonts w:ascii="Aptos" w:eastAsia="Aptos" w:hAnsi="Aptos" w:cs="Aptos"/>
        </w:rPr>
      </w:pPr>
      <w:r w:rsidRPr="637F1EF7">
        <w:rPr>
          <w:rFonts w:ascii="Aptos" w:eastAsia="Aptos" w:hAnsi="Aptos" w:cs="Aptos"/>
        </w:rPr>
        <w:t xml:space="preserve">Group discussions on barriers to engagement and attendance </w:t>
      </w:r>
    </w:p>
    <w:p w14:paraId="114771FF" w14:textId="17BCB15C" w:rsidR="00C05E61" w:rsidRDefault="73BEB8A5" w:rsidP="637F1EF7">
      <w:pPr>
        <w:pStyle w:val="ListParagraph"/>
        <w:numPr>
          <w:ilvl w:val="0"/>
          <w:numId w:val="3"/>
        </w:numPr>
        <w:spacing w:after="0"/>
        <w:rPr>
          <w:rFonts w:ascii="Aptos" w:eastAsia="Aptos" w:hAnsi="Aptos" w:cs="Aptos"/>
        </w:rPr>
      </w:pPr>
      <w:r w:rsidRPr="637F1EF7">
        <w:rPr>
          <w:rFonts w:ascii="Aptos" w:eastAsia="Aptos" w:hAnsi="Aptos" w:cs="Aptos"/>
        </w:rPr>
        <w:t xml:space="preserve">Sharing and unpacking whānau voice and community-led solutions </w:t>
      </w:r>
    </w:p>
    <w:p w14:paraId="046FE27A" w14:textId="359FE5F1" w:rsidR="00C05E61" w:rsidRDefault="73BEB8A5" w:rsidP="637F1EF7">
      <w:pPr>
        <w:pStyle w:val="ListParagraph"/>
        <w:numPr>
          <w:ilvl w:val="0"/>
          <w:numId w:val="3"/>
        </w:numPr>
        <w:spacing w:after="0"/>
        <w:rPr>
          <w:rFonts w:ascii="Aptos" w:eastAsia="Aptos" w:hAnsi="Aptos" w:cs="Aptos"/>
        </w:rPr>
      </w:pPr>
      <w:r w:rsidRPr="637F1EF7">
        <w:rPr>
          <w:rFonts w:ascii="Aptos" w:eastAsia="Aptos" w:hAnsi="Aptos" w:cs="Aptos"/>
        </w:rPr>
        <w:t xml:space="preserve">Case study analysis of culturally grounded engagement strategies </w:t>
      </w:r>
    </w:p>
    <w:p w14:paraId="48AB0FB0" w14:textId="1C772168" w:rsidR="00C05E61" w:rsidRDefault="73BEB8A5" w:rsidP="637F1EF7">
      <w:pPr>
        <w:pStyle w:val="ListParagraph"/>
        <w:numPr>
          <w:ilvl w:val="0"/>
          <w:numId w:val="3"/>
        </w:numPr>
        <w:spacing w:after="0"/>
        <w:rPr>
          <w:rFonts w:ascii="Aptos" w:eastAsia="Aptos" w:hAnsi="Aptos" w:cs="Aptos"/>
        </w:rPr>
      </w:pPr>
      <w:r w:rsidRPr="637F1EF7">
        <w:rPr>
          <w:rFonts w:ascii="Aptos" w:eastAsia="Aptos" w:hAnsi="Aptos" w:cs="Aptos"/>
        </w:rPr>
        <w:t xml:space="preserve">Creative reflection activity using storytelling or drama-based prompts </w:t>
      </w:r>
    </w:p>
    <w:p w14:paraId="52D7C829" w14:textId="22CBAFE4" w:rsidR="00C05E61" w:rsidRDefault="73BEB8A5" w:rsidP="637F1EF7">
      <w:pPr>
        <w:pStyle w:val="ListParagraph"/>
        <w:numPr>
          <w:ilvl w:val="0"/>
          <w:numId w:val="3"/>
        </w:numPr>
        <w:spacing w:after="0"/>
        <w:rPr>
          <w:rFonts w:ascii="Aptos" w:eastAsia="Aptos" w:hAnsi="Aptos" w:cs="Aptos"/>
        </w:rPr>
      </w:pPr>
      <w:r w:rsidRPr="637F1EF7">
        <w:rPr>
          <w:rFonts w:ascii="Aptos" w:eastAsia="Aptos" w:hAnsi="Aptos" w:cs="Aptos"/>
        </w:rPr>
        <w:t xml:space="preserve">Collaborative design of an engagement or career exploration initiative </w:t>
      </w:r>
    </w:p>
    <w:p w14:paraId="3BE2EB7A" w14:textId="21F34071" w:rsidR="00C05E61" w:rsidRDefault="73BEB8A5" w:rsidP="637F1EF7">
      <w:pPr>
        <w:pStyle w:val="Heading3"/>
        <w:spacing w:before="281" w:after="281"/>
        <w:rPr>
          <w:rFonts w:ascii="Aptos" w:eastAsia="Aptos" w:hAnsi="Aptos" w:cs="Aptos"/>
          <w:b/>
          <w:bCs/>
          <w:color w:val="auto"/>
        </w:rPr>
      </w:pPr>
      <w:r w:rsidRPr="637F1EF7">
        <w:rPr>
          <w:rFonts w:ascii="Aptos" w:eastAsia="Aptos" w:hAnsi="Aptos" w:cs="Aptos"/>
          <w:b/>
          <w:bCs/>
          <w:color w:val="auto"/>
        </w:rPr>
        <w:t>Learning Outcomes</w:t>
      </w:r>
    </w:p>
    <w:p w14:paraId="2A98D307" w14:textId="6145ADDD" w:rsidR="00C05E61" w:rsidRDefault="73BEB8A5" w:rsidP="637F1EF7">
      <w:pPr>
        <w:spacing w:before="240" w:after="240"/>
        <w:rPr>
          <w:rFonts w:ascii="Aptos" w:eastAsia="Aptos" w:hAnsi="Aptos" w:cs="Aptos"/>
        </w:rPr>
      </w:pPr>
      <w:r w:rsidRPr="637F1EF7">
        <w:rPr>
          <w:rFonts w:ascii="Aptos" w:eastAsia="Aptos" w:hAnsi="Aptos" w:cs="Aptos"/>
        </w:rPr>
        <w:t>By the end of the session, participants will:</w:t>
      </w:r>
    </w:p>
    <w:p w14:paraId="4D5516FD" w14:textId="29266694" w:rsidR="00C05E61" w:rsidRDefault="73BEB8A5" w:rsidP="637F1EF7">
      <w:pPr>
        <w:pStyle w:val="ListParagraph"/>
        <w:numPr>
          <w:ilvl w:val="0"/>
          <w:numId w:val="2"/>
        </w:numPr>
        <w:spacing w:after="0"/>
        <w:rPr>
          <w:rFonts w:ascii="Aptos" w:eastAsia="Aptos" w:hAnsi="Aptos" w:cs="Aptos"/>
        </w:rPr>
      </w:pPr>
      <w:r w:rsidRPr="637F1EF7">
        <w:rPr>
          <w:rFonts w:ascii="Aptos" w:eastAsia="Aptos" w:hAnsi="Aptos" w:cs="Aptos"/>
        </w:rPr>
        <w:t xml:space="preserve">Gain practical strategies for improving Māori student engagement and attendance </w:t>
      </w:r>
    </w:p>
    <w:p w14:paraId="482C40AA" w14:textId="3B723F2D" w:rsidR="00C05E61" w:rsidRDefault="73BEB8A5" w:rsidP="637F1EF7">
      <w:pPr>
        <w:pStyle w:val="ListParagraph"/>
        <w:numPr>
          <w:ilvl w:val="0"/>
          <w:numId w:val="2"/>
        </w:numPr>
        <w:spacing w:after="0"/>
        <w:rPr>
          <w:rFonts w:ascii="Aptos" w:eastAsia="Aptos" w:hAnsi="Aptos" w:cs="Aptos"/>
        </w:rPr>
      </w:pPr>
      <w:r w:rsidRPr="637F1EF7">
        <w:rPr>
          <w:rFonts w:ascii="Aptos" w:eastAsia="Aptos" w:hAnsi="Aptos" w:cs="Aptos"/>
        </w:rPr>
        <w:t xml:space="preserve">Understand how to embed identity, culture, and belonging into career education </w:t>
      </w:r>
    </w:p>
    <w:p w14:paraId="12ED67DD" w14:textId="33A22626" w:rsidR="00C05E61" w:rsidRDefault="73BEB8A5" w:rsidP="637F1EF7">
      <w:pPr>
        <w:pStyle w:val="ListParagraph"/>
        <w:numPr>
          <w:ilvl w:val="0"/>
          <w:numId w:val="2"/>
        </w:numPr>
        <w:spacing w:after="0"/>
        <w:rPr>
          <w:rFonts w:ascii="Aptos" w:eastAsia="Aptos" w:hAnsi="Aptos" w:cs="Aptos"/>
        </w:rPr>
      </w:pPr>
      <w:r w:rsidRPr="637F1EF7">
        <w:rPr>
          <w:rFonts w:ascii="Aptos" w:eastAsia="Aptos" w:hAnsi="Aptos" w:cs="Aptos"/>
        </w:rPr>
        <w:t xml:space="preserve">Learn ways to authentically involve whānau and community in pathway development </w:t>
      </w:r>
    </w:p>
    <w:p w14:paraId="6E1BFC84" w14:textId="086B12C0" w:rsidR="00C05E61" w:rsidRDefault="73BEB8A5" w:rsidP="637F1EF7">
      <w:pPr>
        <w:pStyle w:val="ListParagraph"/>
        <w:numPr>
          <w:ilvl w:val="0"/>
          <w:numId w:val="2"/>
        </w:numPr>
        <w:spacing w:after="0"/>
        <w:rPr>
          <w:rFonts w:ascii="Aptos" w:eastAsia="Aptos" w:hAnsi="Aptos" w:cs="Aptos"/>
        </w:rPr>
      </w:pPr>
      <w:r w:rsidRPr="637F1EF7">
        <w:rPr>
          <w:rFonts w:ascii="Aptos" w:eastAsia="Aptos" w:hAnsi="Aptos" w:cs="Aptos"/>
        </w:rPr>
        <w:t xml:space="preserve">Explore creative approaches, including drama, to support healing and future thinking </w:t>
      </w:r>
    </w:p>
    <w:p w14:paraId="65A914F9" w14:textId="09F03326" w:rsidR="00C05E61" w:rsidRDefault="73BEB8A5" w:rsidP="637F1EF7">
      <w:pPr>
        <w:pStyle w:val="ListParagraph"/>
        <w:numPr>
          <w:ilvl w:val="0"/>
          <w:numId w:val="2"/>
        </w:numPr>
        <w:spacing w:after="0"/>
        <w:rPr>
          <w:rFonts w:ascii="Aptos" w:eastAsia="Aptos" w:hAnsi="Aptos" w:cs="Aptos"/>
        </w:rPr>
      </w:pPr>
      <w:r w:rsidRPr="637F1EF7">
        <w:rPr>
          <w:rFonts w:ascii="Aptos" w:eastAsia="Aptos" w:hAnsi="Aptos" w:cs="Aptos"/>
        </w:rPr>
        <w:t xml:space="preserve">Leave with actionable ideas to trial in their own context </w:t>
      </w:r>
    </w:p>
    <w:p w14:paraId="017981A9" w14:textId="371D0CEF" w:rsidR="00C05E61" w:rsidRDefault="73BEB8A5" w:rsidP="637F1EF7">
      <w:pPr>
        <w:pStyle w:val="Heading3"/>
        <w:spacing w:before="281" w:after="281"/>
        <w:rPr>
          <w:rFonts w:ascii="Aptos" w:eastAsia="Aptos" w:hAnsi="Aptos" w:cs="Aptos"/>
          <w:b/>
          <w:bCs/>
          <w:color w:val="auto"/>
        </w:rPr>
      </w:pPr>
      <w:r w:rsidRPr="637F1EF7">
        <w:rPr>
          <w:rFonts w:ascii="Aptos" w:eastAsia="Aptos" w:hAnsi="Aptos" w:cs="Aptos"/>
          <w:b/>
          <w:bCs/>
          <w:color w:val="auto"/>
        </w:rPr>
        <w:t>Success Criteria</w:t>
      </w:r>
    </w:p>
    <w:p w14:paraId="5F09A93E" w14:textId="044CC1A0" w:rsidR="00C05E61" w:rsidRDefault="73BEB8A5" w:rsidP="637F1EF7">
      <w:pPr>
        <w:spacing w:before="240" w:after="240"/>
        <w:rPr>
          <w:rFonts w:ascii="Aptos" w:eastAsia="Aptos" w:hAnsi="Aptos" w:cs="Aptos"/>
        </w:rPr>
      </w:pPr>
      <w:r w:rsidRPr="637F1EF7">
        <w:rPr>
          <w:rFonts w:ascii="Aptos" w:eastAsia="Aptos" w:hAnsi="Aptos" w:cs="Aptos"/>
        </w:rPr>
        <w:t>Success will be demonstrated through participants’ ability to:</w:t>
      </w:r>
    </w:p>
    <w:p w14:paraId="4B82FE82" w14:textId="676D8153" w:rsidR="00C05E61" w:rsidRDefault="73BEB8A5" w:rsidP="637F1EF7">
      <w:pPr>
        <w:pStyle w:val="ListParagraph"/>
        <w:numPr>
          <w:ilvl w:val="0"/>
          <w:numId w:val="1"/>
        </w:numPr>
        <w:spacing w:after="0"/>
        <w:rPr>
          <w:rFonts w:ascii="Aptos" w:eastAsia="Aptos" w:hAnsi="Aptos" w:cs="Aptos"/>
        </w:rPr>
      </w:pPr>
      <w:r w:rsidRPr="637F1EF7">
        <w:rPr>
          <w:rFonts w:ascii="Aptos" w:eastAsia="Aptos" w:hAnsi="Aptos" w:cs="Aptos"/>
        </w:rPr>
        <w:t xml:space="preserve">Design culturally responsive strategies that address engagement and attendance challenges </w:t>
      </w:r>
    </w:p>
    <w:p w14:paraId="452CD0A4" w14:textId="71984588" w:rsidR="00C05E61" w:rsidRDefault="73BEB8A5" w:rsidP="637F1EF7">
      <w:pPr>
        <w:pStyle w:val="ListParagraph"/>
        <w:numPr>
          <w:ilvl w:val="0"/>
          <w:numId w:val="1"/>
        </w:numPr>
        <w:spacing w:after="0"/>
        <w:rPr>
          <w:rFonts w:ascii="Aptos" w:eastAsia="Aptos" w:hAnsi="Aptos" w:cs="Aptos"/>
        </w:rPr>
      </w:pPr>
      <w:r w:rsidRPr="637F1EF7">
        <w:rPr>
          <w:rFonts w:ascii="Aptos" w:eastAsia="Aptos" w:hAnsi="Aptos" w:cs="Aptos"/>
        </w:rPr>
        <w:t xml:space="preserve">Integrate whānau voice and indigenous practices into career exploration </w:t>
      </w:r>
    </w:p>
    <w:p w14:paraId="286D584C" w14:textId="2E1419C2" w:rsidR="00C05E61" w:rsidRDefault="73BEB8A5" w:rsidP="637F1EF7">
      <w:pPr>
        <w:pStyle w:val="ListParagraph"/>
        <w:numPr>
          <w:ilvl w:val="0"/>
          <w:numId w:val="1"/>
        </w:numPr>
        <w:spacing w:after="0"/>
        <w:rPr>
          <w:rFonts w:ascii="Aptos" w:eastAsia="Aptos" w:hAnsi="Aptos" w:cs="Aptos"/>
        </w:rPr>
      </w:pPr>
      <w:r w:rsidRPr="637F1EF7">
        <w:rPr>
          <w:rFonts w:ascii="Aptos" w:eastAsia="Aptos" w:hAnsi="Aptos" w:cs="Aptos"/>
        </w:rPr>
        <w:t xml:space="preserve">Develop an initial or refined plan for improving student connection to school and pathways </w:t>
      </w:r>
    </w:p>
    <w:p w14:paraId="0E928A8A" w14:textId="70546312" w:rsidR="00C05E61" w:rsidRDefault="73BEB8A5" w:rsidP="637F1EF7">
      <w:pPr>
        <w:pStyle w:val="ListParagraph"/>
        <w:numPr>
          <w:ilvl w:val="0"/>
          <w:numId w:val="1"/>
        </w:numPr>
        <w:spacing w:after="0"/>
        <w:rPr>
          <w:rFonts w:ascii="Aptos" w:eastAsia="Aptos" w:hAnsi="Aptos" w:cs="Aptos"/>
        </w:rPr>
      </w:pPr>
      <w:r w:rsidRPr="637F1EF7">
        <w:rPr>
          <w:rFonts w:ascii="Aptos" w:eastAsia="Aptos" w:hAnsi="Aptos" w:cs="Aptos"/>
        </w:rPr>
        <w:t xml:space="preserve">Articulate how identity-centred approaches can support long-term learner success </w:t>
      </w:r>
    </w:p>
    <w:p w14:paraId="4C2D35DE" w14:textId="03BD1A30" w:rsidR="00C05E61" w:rsidRDefault="00C05E61" w:rsidP="637F1EF7"/>
    <w:p w14:paraId="4BABDF04" w14:textId="4AA46D15" w:rsidR="00C05E61" w:rsidRDefault="73BEB8A5" w:rsidP="637F1EF7">
      <w:pPr>
        <w:pStyle w:val="Heading3"/>
        <w:spacing w:before="281" w:after="281"/>
        <w:rPr>
          <w:rFonts w:ascii="Aptos" w:eastAsia="Aptos" w:hAnsi="Aptos" w:cs="Aptos"/>
          <w:b/>
          <w:bCs/>
          <w:color w:val="auto"/>
        </w:rPr>
      </w:pPr>
      <w:r w:rsidRPr="637F1EF7">
        <w:rPr>
          <w:rFonts w:ascii="Aptos" w:eastAsia="Aptos" w:hAnsi="Aptos" w:cs="Aptos"/>
          <w:b/>
          <w:bCs/>
          <w:color w:val="auto"/>
        </w:rPr>
        <w:lastRenderedPageBreak/>
        <w:t>Alignment with Conference Theme: Navigating the Future</w:t>
      </w:r>
    </w:p>
    <w:p w14:paraId="5E5787A5" w14:textId="7D7CF133" w:rsidR="00C05E61" w:rsidRDefault="73BEB8A5" w:rsidP="637F1EF7">
      <w:pPr>
        <w:spacing w:before="240" w:after="240"/>
        <w:rPr>
          <w:rFonts w:ascii="Aptos" w:eastAsia="Aptos" w:hAnsi="Aptos" w:cs="Aptos"/>
        </w:rPr>
      </w:pPr>
      <w:r w:rsidRPr="637F1EF7">
        <w:rPr>
          <w:rFonts w:ascii="Aptos" w:eastAsia="Aptos" w:hAnsi="Aptos" w:cs="Aptos"/>
        </w:rPr>
        <w:t>This workshop aligns strongly with the conference theme by recognising that for many Māori learners, navigating the future begins with reconnecting to identity, culture, and belonging. By drawing on ancestral knowledge, whānau voice, and creative expression, educators can support rangatahi to move from disengagement to purpose—navigating their futures with confidence, pride, and a strong sense of who they are.</w:t>
      </w:r>
    </w:p>
    <w:sectPr w:rsidR="00C05E61">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3E6E2"/>
    <w:multiLevelType w:val="hybridMultilevel"/>
    <w:tmpl w:val="71A425E6"/>
    <w:lvl w:ilvl="0" w:tplc="6B08725E">
      <w:start w:val="1"/>
      <w:numFmt w:val="bullet"/>
      <w:lvlText w:val=""/>
      <w:lvlJc w:val="left"/>
      <w:pPr>
        <w:ind w:left="720" w:hanging="360"/>
      </w:pPr>
      <w:rPr>
        <w:rFonts w:ascii="Symbol" w:hAnsi="Symbol" w:hint="default"/>
      </w:rPr>
    </w:lvl>
    <w:lvl w:ilvl="1" w:tplc="12AC94F0">
      <w:start w:val="1"/>
      <w:numFmt w:val="bullet"/>
      <w:lvlText w:val="o"/>
      <w:lvlJc w:val="left"/>
      <w:pPr>
        <w:ind w:left="1440" w:hanging="360"/>
      </w:pPr>
      <w:rPr>
        <w:rFonts w:ascii="Courier New" w:hAnsi="Courier New" w:hint="default"/>
      </w:rPr>
    </w:lvl>
    <w:lvl w:ilvl="2" w:tplc="5BF2ED84">
      <w:start w:val="1"/>
      <w:numFmt w:val="bullet"/>
      <w:lvlText w:val=""/>
      <w:lvlJc w:val="left"/>
      <w:pPr>
        <w:ind w:left="2160" w:hanging="360"/>
      </w:pPr>
      <w:rPr>
        <w:rFonts w:ascii="Wingdings" w:hAnsi="Wingdings" w:hint="default"/>
      </w:rPr>
    </w:lvl>
    <w:lvl w:ilvl="3" w:tplc="8570BD2C">
      <w:start w:val="1"/>
      <w:numFmt w:val="bullet"/>
      <w:lvlText w:val=""/>
      <w:lvlJc w:val="left"/>
      <w:pPr>
        <w:ind w:left="2880" w:hanging="360"/>
      </w:pPr>
      <w:rPr>
        <w:rFonts w:ascii="Symbol" w:hAnsi="Symbol" w:hint="default"/>
      </w:rPr>
    </w:lvl>
    <w:lvl w:ilvl="4" w:tplc="F8AEC40C">
      <w:start w:val="1"/>
      <w:numFmt w:val="bullet"/>
      <w:lvlText w:val="o"/>
      <w:lvlJc w:val="left"/>
      <w:pPr>
        <w:ind w:left="3600" w:hanging="360"/>
      </w:pPr>
      <w:rPr>
        <w:rFonts w:ascii="Courier New" w:hAnsi="Courier New" w:hint="default"/>
      </w:rPr>
    </w:lvl>
    <w:lvl w:ilvl="5" w:tplc="A6300006">
      <w:start w:val="1"/>
      <w:numFmt w:val="bullet"/>
      <w:lvlText w:val=""/>
      <w:lvlJc w:val="left"/>
      <w:pPr>
        <w:ind w:left="4320" w:hanging="360"/>
      </w:pPr>
      <w:rPr>
        <w:rFonts w:ascii="Wingdings" w:hAnsi="Wingdings" w:hint="default"/>
      </w:rPr>
    </w:lvl>
    <w:lvl w:ilvl="6" w:tplc="67545716">
      <w:start w:val="1"/>
      <w:numFmt w:val="bullet"/>
      <w:lvlText w:val=""/>
      <w:lvlJc w:val="left"/>
      <w:pPr>
        <w:ind w:left="5040" w:hanging="360"/>
      </w:pPr>
      <w:rPr>
        <w:rFonts w:ascii="Symbol" w:hAnsi="Symbol" w:hint="default"/>
      </w:rPr>
    </w:lvl>
    <w:lvl w:ilvl="7" w:tplc="7C845D60">
      <w:start w:val="1"/>
      <w:numFmt w:val="bullet"/>
      <w:lvlText w:val="o"/>
      <w:lvlJc w:val="left"/>
      <w:pPr>
        <w:ind w:left="5760" w:hanging="360"/>
      </w:pPr>
      <w:rPr>
        <w:rFonts w:ascii="Courier New" w:hAnsi="Courier New" w:hint="default"/>
      </w:rPr>
    </w:lvl>
    <w:lvl w:ilvl="8" w:tplc="A4A82BB8">
      <w:start w:val="1"/>
      <w:numFmt w:val="bullet"/>
      <w:lvlText w:val=""/>
      <w:lvlJc w:val="left"/>
      <w:pPr>
        <w:ind w:left="6480" w:hanging="360"/>
      </w:pPr>
      <w:rPr>
        <w:rFonts w:ascii="Wingdings" w:hAnsi="Wingdings" w:hint="default"/>
      </w:rPr>
    </w:lvl>
  </w:abstractNum>
  <w:abstractNum w:abstractNumId="1" w15:restartNumberingAfterBreak="0">
    <w:nsid w:val="102364F3"/>
    <w:multiLevelType w:val="hybridMultilevel"/>
    <w:tmpl w:val="F8D25CD8"/>
    <w:lvl w:ilvl="0" w:tplc="46408E08">
      <w:start w:val="1"/>
      <w:numFmt w:val="bullet"/>
      <w:lvlText w:val=""/>
      <w:lvlJc w:val="left"/>
      <w:pPr>
        <w:ind w:left="720" w:hanging="360"/>
      </w:pPr>
      <w:rPr>
        <w:rFonts w:ascii="Symbol" w:hAnsi="Symbol" w:hint="default"/>
      </w:rPr>
    </w:lvl>
    <w:lvl w:ilvl="1" w:tplc="66A060A2">
      <w:start w:val="1"/>
      <w:numFmt w:val="bullet"/>
      <w:lvlText w:val="o"/>
      <w:lvlJc w:val="left"/>
      <w:pPr>
        <w:ind w:left="1440" w:hanging="360"/>
      </w:pPr>
      <w:rPr>
        <w:rFonts w:ascii="Courier New" w:hAnsi="Courier New" w:hint="default"/>
      </w:rPr>
    </w:lvl>
    <w:lvl w:ilvl="2" w:tplc="8078E3FA">
      <w:start w:val="1"/>
      <w:numFmt w:val="bullet"/>
      <w:lvlText w:val=""/>
      <w:lvlJc w:val="left"/>
      <w:pPr>
        <w:ind w:left="2160" w:hanging="360"/>
      </w:pPr>
      <w:rPr>
        <w:rFonts w:ascii="Wingdings" w:hAnsi="Wingdings" w:hint="default"/>
      </w:rPr>
    </w:lvl>
    <w:lvl w:ilvl="3" w:tplc="8C062964">
      <w:start w:val="1"/>
      <w:numFmt w:val="bullet"/>
      <w:lvlText w:val=""/>
      <w:lvlJc w:val="left"/>
      <w:pPr>
        <w:ind w:left="2880" w:hanging="360"/>
      </w:pPr>
      <w:rPr>
        <w:rFonts w:ascii="Symbol" w:hAnsi="Symbol" w:hint="default"/>
      </w:rPr>
    </w:lvl>
    <w:lvl w:ilvl="4" w:tplc="470E3B8E">
      <w:start w:val="1"/>
      <w:numFmt w:val="bullet"/>
      <w:lvlText w:val="o"/>
      <w:lvlJc w:val="left"/>
      <w:pPr>
        <w:ind w:left="3600" w:hanging="360"/>
      </w:pPr>
      <w:rPr>
        <w:rFonts w:ascii="Courier New" w:hAnsi="Courier New" w:hint="default"/>
      </w:rPr>
    </w:lvl>
    <w:lvl w:ilvl="5" w:tplc="05389852">
      <w:start w:val="1"/>
      <w:numFmt w:val="bullet"/>
      <w:lvlText w:val=""/>
      <w:lvlJc w:val="left"/>
      <w:pPr>
        <w:ind w:left="4320" w:hanging="360"/>
      </w:pPr>
      <w:rPr>
        <w:rFonts w:ascii="Wingdings" w:hAnsi="Wingdings" w:hint="default"/>
      </w:rPr>
    </w:lvl>
    <w:lvl w:ilvl="6" w:tplc="F9549026">
      <w:start w:val="1"/>
      <w:numFmt w:val="bullet"/>
      <w:lvlText w:val=""/>
      <w:lvlJc w:val="left"/>
      <w:pPr>
        <w:ind w:left="5040" w:hanging="360"/>
      </w:pPr>
      <w:rPr>
        <w:rFonts w:ascii="Symbol" w:hAnsi="Symbol" w:hint="default"/>
      </w:rPr>
    </w:lvl>
    <w:lvl w:ilvl="7" w:tplc="67CC8FB2">
      <w:start w:val="1"/>
      <w:numFmt w:val="bullet"/>
      <w:lvlText w:val="o"/>
      <w:lvlJc w:val="left"/>
      <w:pPr>
        <w:ind w:left="5760" w:hanging="360"/>
      </w:pPr>
      <w:rPr>
        <w:rFonts w:ascii="Courier New" w:hAnsi="Courier New" w:hint="default"/>
      </w:rPr>
    </w:lvl>
    <w:lvl w:ilvl="8" w:tplc="0A048330">
      <w:start w:val="1"/>
      <w:numFmt w:val="bullet"/>
      <w:lvlText w:val=""/>
      <w:lvlJc w:val="left"/>
      <w:pPr>
        <w:ind w:left="6480" w:hanging="360"/>
      </w:pPr>
      <w:rPr>
        <w:rFonts w:ascii="Wingdings" w:hAnsi="Wingdings" w:hint="default"/>
      </w:rPr>
    </w:lvl>
  </w:abstractNum>
  <w:abstractNum w:abstractNumId="2" w15:restartNumberingAfterBreak="0">
    <w:nsid w:val="12B7BAC1"/>
    <w:multiLevelType w:val="hybridMultilevel"/>
    <w:tmpl w:val="D6CE33D0"/>
    <w:lvl w:ilvl="0" w:tplc="42507A38">
      <w:start w:val="1"/>
      <w:numFmt w:val="bullet"/>
      <w:lvlText w:val=""/>
      <w:lvlJc w:val="left"/>
      <w:pPr>
        <w:ind w:left="720" w:hanging="360"/>
      </w:pPr>
      <w:rPr>
        <w:rFonts w:ascii="Symbol" w:hAnsi="Symbol" w:hint="default"/>
      </w:rPr>
    </w:lvl>
    <w:lvl w:ilvl="1" w:tplc="52B8C848">
      <w:start w:val="1"/>
      <w:numFmt w:val="bullet"/>
      <w:lvlText w:val="o"/>
      <w:lvlJc w:val="left"/>
      <w:pPr>
        <w:ind w:left="1440" w:hanging="360"/>
      </w:pPr>
      <w:rPr>
        <w:rFonts w:ascii="Courier New" w:hAnsi="Courier New" w:hint="default"/>
      </w:rPr>
    </w:lvl>
    <w:lvl w:ilvl="2" w:tplc="144CFF42">
      <w:start w:val="1"/>
      <w:numFmt w:val="bullet"/>
      <w:lvlText w:val=""/>
      <w:lvlJc w:val="left"/>
      <w:pPr>
        <w:ind w:left="2160" w:hanging="360"/>
      </w:pPr>
      <w:rPr>
        <w:rFonts w:ascii="Wingdings" w:hAnsi="Wingdings" w:hint="default"/>
      </w:rPr>
    </w:lvl>
    <w:lvl w:ilvl="3" w:tplc="489E2C1A">
      <w:start w:val="1"/>
      <w:numFmt w:val="bullet"/>
      <w:lvlText w:val=""/>
      <w:lvlJc w:val="left"/>
      <w:pPr>
        <w:ind w:left="2880" w:hanging="360"/>
      </w:pPr>
      <w:rPr>
        <w:rFonts w:ascii="Symbol" w:hAnsi="Symbol" w:hint="default"/>
      </w:rPr>
    </w:lvl>
    <w:lvl w:ilvl="4" w:tplc="348065FC">
      <w:start w:val="1"/>
      <w:numFmt w:val="bullet"/>
      <w:lvlText w:val="o"/>
      <w:lvlJc w:val="left"/>
      <w:pPr>
        <w:ind w:left="3600" w:hanging="360"/>
      </w:pPr>
      <w:rPr>
        <w:rFonts w:ascii="Courier New" w:hAnsi="Courier New" w:hint="default"/>
      </w:rPr>
    </w:lvl>
    <w:lvl w:ilvl="5" w:tplc="FA4A7396">
      <w:start w:val="1"/>
      <w:numFmt w:val="bullet"/>
      <w:lvlText w:val=""/>
      <w:lvlJc w:val="left"/>
      <w:pPr>
        <w:ind w:left="4320" w:hanging="360"/>
      </w:pPr>
      <w:rPr>
        <w:rFonts w:ascii="Wingdings" w:hAnsi="Wingdings" w:hint="default"/>
      </w:rPr>
    </w:lvl>
    <w:lvl w:ilvl="6" w:tplc="DA6E3768">
      <w:start w:val="1"/>
      <w:numFmt w:val="bullet"/>
      <w:lvlText w:val=""/>
      <w:lvlJc w:val="left"/>
      <w:pPr>
        <w:ind w:left="5040" w:hanging="360"/>
      </w:pPr>
      <w:rPr>
        <w:rFonts w:ascii="Symbol" w:hAnsi="Symbol" w:hint="default"/>
      </w:rPr>
    </w:lvl>
    <w:lvl w:ilvl="7" w:tplc="20BC194E">
      <w:start w:val="1"/>
      <w:numFmt w:val="bullet"/>
      <w:lvlText w:val="o"/>
      <w:lvlJc w:val="left"/>
      <w:pPr>
        <w:ind w:left="5760" w:hanging="360"/>
      </w:pPr>
      <w:rPr>
        <w:rFonts w:ascii="Courier New" w:hAnsi="Courier New" w:hint="default"/>
      </w:rPr>
    </w:lvl>
    <w:lvl w:ilvl="8" w:tplc="08E69AC6">
      <w:start w:val="1"/>
      <w:numFmt w:val="bullet"/>
      <w:lvlText w:val=""/>
      <w:lvlJc w:val="left"/>
      <w:pPr>
        <w:ind w:left="6480" w:hanging="360"/>
      </w:pPr>
      <w:rPr>
        <w:rFonts w:ascii="Wingdings" w:hAnsi="Wingdings" w:hint="default"/>
      </w:rPr>
    </w:lvl>
  </w:abstractNum>
  <w:abstractNum w:abstractNumId="3" w15:restartNumberingAfterBreak="0">
    <w:nsid w:val="2F547801"/>
    <w:multiLevelType w:val="hybridMultilevel"/>
    <w:tmpl w:val="9712F59A"/>
    <w:lvl w:ilvl="0" w:tplc="CC6601CC">
      <w:start w:val="1"/>
      <w:numFmt w:val="bullet"/>
      <w:lvlText w:val=""/>
      <w:lvlJc w:val="left"/>
      <w:pPr>
        <w:ind w:left="720" w:hanging="360"/>
      </w:pPr>
      <w:rPr>
        <w:rFonts w:ascii="Symbol" w:hAnsi="Symbol" w:hint="default"/>
      </w:rPr>
    </w:lvl>
    <w:lvl w:ilvl="1" w:tplc="4B8C9FD4">
      <w:start w:val="1"/>
      <w:numFmt w:val="bullet"/>
      <w:lvlText w:val="o"/>
      <w:lvlJc w:val="left"/>
      <w:pPr>
        <w:ind w:left="1440" w:hanging="360"/>
      </w:pPr>
      <w:rPr>
        <w:rFonts w:ascii="Courier New" w:hAnsi="Courier New" w:hint="default"/>
      </w:rPr>
    </w:lvl>
    <w:lvl w:ilvl="2" w:tplc="F3F8F5AC">
      <w:start w:val="1"/>
      <w:numFmt w:val="bullet"/>
      <w:lvlText w:val=""/>
      <w:lvlJc w:val="left"/>
      <w:pPr>
        <w:ind w:left="2160" w:hanging="360"/>
      </w:pPr>
      <w:rPr>
        <w:rFonts w:ascii="Wingdings" w:hAnsi="Wingdings" w:hint="default"/>
      </w:rPr>
    </w:lvl>
    <w:lvl w:ilvl="3" w:tplc="5D6EBB0C">
      <w:start w:val="1"/>
      <w:numFmt w:val="bullet"/>
      <w:lvlText w:val=""/>
      <w:lvlJc w:val="left"/>
      <w:pPr>
        <w:ind w:left="2880" w:hanging="360"/>
      </w:pPr>
      <w:rPr>
        <w:rFonts w:ascii="Symbol" w:hAnsi="Symbol" w:hint="default"/>
      </w:rPr>
    </w:lvl>
    <w:lvl w:ilvl="4" w:tplc="4AB2FAC0">
      <w:start w:val="1"/>
      <w:numFmt w:val="bullet"/>
      <w:lvlText w:val="o"/>
      <w:lvlJc w:val="left"/>
      <w:pPr>
        <w:ind w:left="3600" w:hanging="360"/>
      </w:pPr>
      <w:rPr>
        <w:rFonts w:ascii="Courier New" w:hAnsi="Courier New" w:hint="default"/>
      </w:rPr>
    </w:lvl>
    <w:lvl w:ilvl="5" w:tplc="50A41684">
      <w:start w:val="1"/>
      <w:numFmt w:val="bullet"/>
      <w:lvlText w:val=""/>
      <w:lvlJc w:val="left"/>
      <w:pPr>
        <w:ind w:left="4320" w:hanging="360"/>
      </w:pPr>
      <w:rPr>
        <w:rFonts w:ascii="Wingdings" w:hAnsi="Wingdings" w:hint="default"/>
      </w:rPr>
    </w:lvl>
    <w:lvl w:ilvl="6" w:tplc="343073C8">
      <w:start w:val="1"/>
      <w:numFmt w:val="bullet"/>
      <w:lvlText w:val=""/>
      <w:lvlJc w:val="left"/>
      <w:pPr>
        <w:ind w:left="5040" w:hanging="360"/>
      </w:pPr>
      <w:rPr>
        <w:rFonts w:ascii="Symbol" w:hAnsi="Symbol" w:hint="default"/>
      </w:rPr>
    </w:lvl>
    <w:lvl w:ilvl="7" w:tplc="206E6928">
      <w:start w:val="1"/>
      <w:numFmt w:val="bullet"/>
      <w:lvlText w:val="o"/>
      <w:lvlJc w:val="left"/>
      <w:pPr>
        <w:ind w:left="5760" w:hanging="360"/>
      </w:pPr>
      <w:rPr>
        <w:rFonts w:ascii="Courier New" w:hAnsi="Courier New" w:hint="default"/>
      </w:rPr>
    </w:lvl>
    <w:lvl w:ilvl="8" w:tplc="86468CFC">
      <w:start w:val="1"/>
      <w:numFmt w:val="bullet"/>
      <w:lvlText w:val=""/>
      <w:lvlJc w:val="left"/>
      <w:pPr>
        <w:ind w:left="6480" w:hanging="360"/>
      </w:pPr>
      <w:rPr>
        <w:rFonts w:ascii="Wingdings" w:hAnsi="Wingdings" w:hint="default"/>
      </w:rPr>
    </w:lvl>
  </w:abstractNum>
  <w:abstractNum w:abstractNumId="4" w15:restartNumberingAfterBreak="0">
    <w:nsid w:val="5709CB32"/>
    <w:multiLevelType w:val="hybridMultilevel"/>
    <w:tmpl w:val="67965066"/>
    <w:lvl w:ilvl="0" w:tplc="F0EC2682">
      <w:start w:val="1"/>
      <w:numFmt w:val="bullet"/>
      <w:lvlText w:val=""/>
      <w:lvlJc w:val="left"/>
      <w:pPr>
        <w:ind w:left="720" w:hanging="360"/>
      </w:pPr>
      <w:rPr>
        <w:rFonts w:ascii="Symbol" w:hAnsi="Symbol" w:hint="default"/>
      </w:rPr>
    </w:lvl>
    <w:lvl w:ilvl="1" w:tplc="95660D20">
      <w:start w:val="1"/>
      <w:numFmt w:val="bullet"/>
      <w:lvlText w:val="o"/>
      <w:lvlJc w:val="left"/>
      <w:pPr>
        <w:ind w:left="1440" w:hanging="360"/>
      </w:pPr>
      <w:rPr>
        <w:rFonts w:ascii="Courier New" w:hAnsi="Courier New" w:hint="default"/>
      </w:rPr>
    </w:lvl>
    <w:lvl w:ilvl="2" w:tplc="05828BC2">
      <w:start w:val="1"/>
      <w:numFmt w:val="bullet"/>
      <w:lvlText w:val=""/>
      <w:lvlJc w:val="left"/>
      <w:pPr>
        <w:ind w:left="2160" w:hanging="360"/>
      </w:pPr>
      <w:rPr>
        <w:rFonts w:ascii="Wingdings" w:hAnsi="Wingdings" w:hint="default"/>
      </w:rPr>
    </w:lvl>
    <w:lvl w:ilvl="3" w:tplc="FB3E134C">
      <w:start w:val="1"/>
      <w:numFmt w:val="bullet"/>
      <w:lvlText w:val=""/>
      <w:lvlJc w:val="left"/>
      <w:pPr>
        <w:ind w:left="2880" w:hanging="360"/>
      </w:pPr>
      <w:rPr>
        <w:rFonts w:ascii="Symbol" w:hAnsi="Symbol" w:hint="default"/>
      </w:rPr>
    </w:lvl>
    <w:lvl w:ilvl="4" w:tplc="B6AC993C">
      <w:start w:val="1"/>
      <w:numFmt w:val="bullet"/>
      <w:lvlText w:val="o"/>
      <w:lvlJc w:val="left"/>
      <w:pPr>
        <w:ind w:left="3600" w:hanging="360"/>
      </w:pPr>
      <w:rPr>
        <w:rFonts w:ascii="Courier New" w:hAnsi="Courier New" w:hint="default"/>
      </w:rPr>
    </w:lvl>
    <w:lvl w:ilvl="5" w:tplc="2DB61730">
      <w:start w:val="1"/>
      <w:numFmt w:val="bullet"/>
      <w:lvlText w:val=""/>
      <w:lvlJc w:val="left"/>
      <w:pPr>
        <w:ind w:left="4320" w:hanging="360"/>
      </w:pPr>
      <w:rPr>
        <w:rFonts w:ascii="Wingdings" w:hAnsi="Wingdings" w:hint="default"/>
      </w:rPr>
    </w:lvl>
    <w:lvl w:ilvl="6" w:tplc="F3442792">
      <w:start w:val="1"/>
      <w:numFmt w:val="bullet"/>
      <w:lvlText w:val=""/>
      <w:lvlJc w:val="left"/>
      <w:pPr>
        <w:ind w:left="5040" w:hanging="360"/>
      </w:pPr>
      <w:rPr>
        <w:rFonts w:ascii="Symbol" w:hAnsi="Symbol" w:hint="default"/>
      </w:rPr>
    </w:lvl>
    <w:lvl w:ilvl="7" w:tplc="5C4AF552">
      <w:start w:val="1"/>
      <w:numFmt w:val="bullet"/>
      <w:lvlText w:val="o"/>
      <w:lvlJc w:val="left"/>
      <w:pPr>
        <w:ind w:left="5760" w:hanging="360"/>
      </w:pPr>
      <w:rPr>
        <w:rFonts w:ascii="Courier New" w:hAnsi="Courier New" w:hint="default"/>
      </w:rPr>
    </w:lvl>
    <w:lvl w:ilvl="8" w:tplc="FB908898">
      <w:start w:val="1"/>
      <w:numFmt w:val="bullet"/>
      <w:lvlText w:val=""/>
      <w:lvlJc w:val="left"/>
      <w:pPr>
        <w:ind w:left="6480" w:hanging="360"/>
      </w:pPr>
      <w:rPr>
        <w:rFonts w:ascii="Wingdings" w:hAnsi="Wingdings" w:hint="default"/>
      </w:rPr>
    </w:lvl>
  </w:abstractNum>
  <w:abstractNum w:abstractNumId="5" w15:restartNumberingAfterBreak="0">
    <w:nsid w:val="7D827337"/>
    <w:multiLevelType w:val="hybridMultilevel"/>
    <w:tmpl w:val="657CD540"/>
    <w:lvl w:ilvl="0" w:tplc="B828528A">
      <w:start w:val="1"/>
      <w:numFmt w:val="bullet"/>
      <w:lvlText w:val=""/>
      <w:lvlJc w:val="left"/>
      <w:pPr>
        <w:ind w:left="720" w:hanging="360"/>
      </w:pPr>
      <w:rPr>
        <w:rFonts w:ascii="Symbol" w:hAnsi="Symbol" w:hint="default"/>
      </w:rPr>
    </w:lvl>
    <w:lvl w:ilvl="1" w:tplc="E49CCF26">
      <w:start w:val="1"/>
      <w:numFmt w:val="bullet"/>
      <w:lvlText w:val="o"/>
      <w:lvlJc w:val="left"/>
      <w:pPr>
        <w:ind w:left="1440" w:hanging="360"/>
      </w:pPr>
      <w:rPr>
        <w:rFonts w:ascii="Courier New" w:hAnsi="Courier New" w:hint="default"/>
      </w:rPr>
    </w:lvl>
    <w:lvl w:ilvl="2" w:tplc="9B964CB6">
      <w:start w:val="1"/>
      <w:numFmt w:val="bullet"/>
      <w:lvlText w:val=""/>
      <w:lvlJc w:val="left"/>
      <w:pPr>
        <w:ind w:left="2160" w:hanging="360"/>
      </w:pPr>
      <w:rPr>
        <w:rFonts w:ascii="Wingdings" w:hAnsi="Wingdings" w:hint="default"/>
      </w:rPr>
    </w:lvl>
    <w:lvl w:ilvl="3" w:tplc="65A289BE">
      <w:start w:val="1"/>
      <w:numFmt w:val="bullet"/>
      <w:lvlText w:val=""/>
      <w:lvlJc w:val="left"/>
      <w:pPr>
        <w:ind w:left="2880" w:hanging="360"/>
      </w:pPr>
      <w:rPr>
        <w:rFonts w:ascii="Symbol" w:hAnsi="Symbol" w:hint="default"/>
      </w:rPr>
    </w:lvl>
    <w:lvl w:ilvl="4" w:tplc="E0501FF2">
      <w:start w:val="1"/>
      <w:numFmt w:val="bullet"/>
      <w:lvlText w:val="o"/>
      <w:lvlJc w:val="left"/>
      <w:pPr>
        <w:ind w:left="3600" w:hanging="360"/>
      </w:pPr>
      <w:rPr>
        <w:rFonts w:ascii="Courier New" w:hAnsi="Courier New" w:hint="default"/>
      </w:rPr>
    </w:lvl>
    <w:lvl w:ilvl="5" w:tplc="D8D64072">
      <w:start w:val="1"/>
      <w:numFmt w:val="bullet"/>
      <w:lvlText w:val=""/>
      <w:lvlJc w:val="left"/>
      <w:pPr>
        <w:ind w:left="4320" w:hanging="360"/>
      </w:pPr>
      <w:rPr>
        <w:rFonts w:ascii="Wingdings" w:hAnsi="Wingdings" w:hint="default"/>
      </w:rPr>
    </w:lvl>
    <w:lvl w:ilvl="6" w:tplc="C1406A78">
      <w:start w:val="1"/>
      <w:numFmt w:val="bullet"/>
      <w:lvlText w:val=""/>
      <w:lvlJc w:val="left"/>
      <w:pPr>
        <w:ind w:left="5040" w:hanging="360"/>
      </w:pPr>
      <w:rPr>
        <w:rFonts w:ascii="Symbol" w:hAnsi="Symbol" w:hint="default"/>
      </w:rPr>
    </w:lvl>
    <w:lvl w:ilvl="7" w:tplc="1A1CF41A">
      <w:start w:val="1"/>
      <w:numFmt w:val="bullet"/>
      <w:lvlText w:val="o"/>
      <w:lvlJc w:val="left"/>
      <w:pPr>
        <w:ind w:left="5760" w:hanging="360"/>
      </w:pPr>
      <w:rPr>
        <w:rFonts w:ascii="Courier New" w:hAnsi="Courier New" w:hint="default"/>
      </w:rPr>
    </w:lvl>
    <w:lvl w:ilvl="8" w:tplc="42AAEEBA">
      <w:start w:val="1"/>
      <w:numFmt w:val="bullet"/>
      <w:lvlText w:val=""/>
      <w:lvlJc w:val="left"/>
      <w:pPr>
        <w:ind w:left="6480" w:hanging="360"/>
      </w:pPr>
      <w:rPr>
        <w:rFonts w:ascii="Wingdings" w:hAnsi="Wingdings" w:hint="default"/>
      </w:rPr>
    </w:lvl>
  </w:abstractNum>
  <w:num w:numId="1" w16cid:durableId="922640139">
    <w:abstractNumId w:val="1"/>
  </w:num>
  <w:num w:numId="2" w16cid:durableId="1647276698">
    <w:abstractNumId w:val="5"/>
  </w:num>
  <w:num w:numId="3" w16cid:durableId="563492020">
    <w:abstractNumId w:val="4"/>
  </w:num>
  <w:num w:numId="4" w16cid:durableId="1845433316">
    <w:abstractNumId w:val="3"/>
  </w:num>
  <w:num w:numId="5" w16cid:durableId="2101288856">
    <w:abstractNumId w:val="0"/>
  </w:num>
  <w:num w:numId="6" w16cid:durableId="12864294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BB3"/>
    <w:rsid w:val="009E022F"/>
    <w:rsid w:val="00C05E61"/>
    <w:rsid w:val="00C36BB3"/>
    <w:rsid w:val="00C44E20"/>
    <w:rsid w:val="00CF3640"/>
    <w:rsid w:val="10ABC5B9"/>
    <w:rsid w:val="2C3709BD"/>
    <w:rsid w:val="3DA67082"/>
    <w:rsid w:val="482DB3EF"/>
    <w:rsid w:val="637F1EF7"/>
    <w:rsid w:val="63DEE1F2"/>
    <w:rsid w:val="73BEB8A5"/>
    <w:rsid w:val="78FBD1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36BB3"/>
  <w15:chartTrackingRefBased/>
  <w15:docId w15:val="{B1FFE255-75AC-4297-A2A0-2B407FA47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637F1E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637F1EF7"/>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37F1E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564</Words>
  <Characters>3743</Characters>
  <Application>Microsoft Office Word</Application>
  <DocSecurity>0</DocSecurity>
  <Lines>69</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Trudy.Harrison</dc:creator>
  <cp:keywords/>
  <dc:description/>
  <cp:lastModifiedBy>Damian Bertanees</cp:lastModifiedBy>
  <cp:revision>2</cp:revision>
  <dcterms:created xsi:type="dcterms:W3CDTF">2026-04-14T18:30:00Z</dcterms:created>
  <dcterms:modified xsi:type="dcterms:W3CDTF">2026-04-14T18:30:00Z</dcterms:modified>
</cp:coreProperties>
</file>