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CF9C" w14:textId="23B3295C"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Co-Designing Youth Apprenticeship Pathways: Indigenous and Community-Based Methods for Equitable Workforce Development</w:t>
      </w:r>
    </w:p>
    <w:p w14:paraId="529A422C"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Introduction</w:t>
      </w:r>
      <w:r w:rsidRPr="00D276B1">
        <w:rPr>
          <w:rFonts w:ascii="Times New Roman" w:eastAsia="Times New Roman" w:hAnsi="Times New Roman" w:cs="Times New Roman"/>
          <w:kern w:val="0"/>
          <w14:ligatures w14:val="none"/>
        </w:rPr>
        <w:br/>
        <w:t>Efforts to design youth apprenticeship and workforce development programs often rely on top-down models that inadequately reflect the lived experiences, cultural knowledge, and community assets of the youth they aim to serve. In response, this project applied Indigenous and community-based participatory approaches to co-design a Youth Development Fellowship (apprenticeship) program in partnership with youth-serving organizations in Boston. Grounded in relational, asset-based, and culturally responsive practices, this work sought to center youth, practitioners, and community stakeholders as co-creators of program design, ensuring that apprenticeship pathways reflect local knowledge systems, social realities, and aspirations for economic mobility.</w:t>
      </w:r>
    </w:p>
    <w:p w14:paraId="02E98334"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Objectives</w:t>
      </w:r>
      <w:r w:rsidRPr="00D276B1">
        <w:rPr>
          <w:rFonts w:ascii="Times New Roman" w:eastAsia="Times New Roman" w:hAnsi="Times New Roman" w:cs="Times New Roman"/>
          <w:kern w:val="0"/>
          <w14:ligatures w14:val="none"/>
        </w:rPr>
        <w:br/>
        <w:t>This project aimed to:</w:t>
      </w:r>
    </w:p>
    <w:p w14:paraId="535B26F9" w14:textId="77777777" w:rsidR="00D276B1" w:rsidRPr="00D276B1" w:rsidRDefault="00D276B1" w:rsidP="00D276B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Engage youth-serving organizations, practitioners, and community stakeholders in co-designing an apprenticeship model aligned with their cultural and organizational contexts; </w:t>
      </w:r>
    </w:p>
    <w:p w14:paraId="6AF30A6E" w14:textId="77777777" w:rsidR="00D276B1" w:rsidRPr="00D276B1" w:rsidRDefault="00D276B1" w:rsidP="00D276B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Identify shared and context-specific workforce development needs across organizations; </w:t>
      </w:r>
    </w:p>
    <w:p w14:paraId="08E404FE" w14:textId="77777777" w:rsidR="00D276B1" w:rsidRPr="00D276B1" w:rsidRDefault="00D276B1" w:rsidP="00D276B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Generate a scalable apprenticeship framework grounded in community voice and Indigenous-informed methodologies; and </w:t>
      </w:r>
    </w:p>
    <w:p w14:paraId="2EA02E76" w14:textId="77777777" w:rsidR="00D276B1" w:rsidRPr="00D276B1" w:rsidRDefault="00D276B1" w:rsidP="00D276B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Examine how participatory design processes contribute to more equitable and sustainable workforce pathways. </w:t>
      </w:r>
    </w:p>
    <w:p w14:paraId="52232275"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Theoretical Basis</w:t>
      </w:r>
      <w:r w:rsidRPr="00D276B1">
        <w:rPr>
          <w:rFonts w:ascii="Times New Roman" w:eastAsia="Times New Roman" w:hAnsi="Times New Roman" w:cs="Times New Roman"/>
          <w:kern w:val="0"/>
          <w14:ligatures w14:val="none"/>
        </w:rPr>
        <w:br/>
        <w:t>The project draws on Indigenous research methodologies, community-based participatory research (CBPR), and Positive Youth Development (PYD). Indigenous approaches emphasize relational accountability, reciprocity, and the co-construction of knowledge, challenging extractive research paradigms (Smith, 2012). CBPR principles prioritize shared decision-making and community ownership, while PYD frameworks highlight the importance of identity, agency, and supportive relationships in fostering youth development. Together, these approaches align with liberation psychology by addressing structural inequities and centering historically marginalized voices in program design.</w:t>
      </w:r>
    </w:p>
    <w:p w14:paraId="28EDC82F"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Methodology</w:t>
      </w:r>
      <w:r w:rsidRPr="00D276B1">
        <w:rPr>
          <w:rFonts w:ascii="Times New Roman" w:eastAsia="Times New Roman" w:hAnsi="Times New Roman" w:cs="Times New Roman"/>
          <w:kern w:val="0"/>
          <w14:ligatures w14:val="none"/>
        </w:rPr>
        <w:br/>
        <w:t>A multi-phase, participatory design process was employed. Data collection included: (a) a series of focus groups conducted across multiple youth-serving organizations; (b) structured worksheets completed by organizational partners (e.g., Sociedad Latina, West End House, Boston Chinatown Neighborhood Center); (c) one-on-one interviews with program leaders; and (d) thematic analysis of case studies from established workforce development models (e.g., YouthBuild, More Than Words, City Year). Additional data sources included follow-up surveys, retreat-based design sessions, and iterative feedback loops with a cross-organizational steering committee.</w:t>
      </w:r>
    </w:p>
    <w:p w14:paraId="45257935"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lastRenderedPageBreak/>
        <w:t>Data were analyzed using an inductive thematic approach to identify convergent and divergent themes across organizations. Emphasis was placed on preserving participant voice, identifying culturally grounded practices, and documenting community-defined indicators of success. Iterative validation processes ensured findings were refined in collaboration with stakeholders.</w:t>
      </w:r>
    </w:p>
    <w:p w14:paraId="49A7C0B1"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Results</w:t>
      </w:r>
      <w:r w:rsidRPr="00D276B1">
        <w:rPr>
          <w:rFonts w:ascii="Times New Roman" w:eastAsia="Times New Roman" w:hAnsi="Times New Roman" w:cs="Times New Roman"/>
          <w:kern w:val="0"/>
          <w14:ligatures w14:val="none"/>
        </w:rPr>
        <w:br/>
        <w:t>Findings revealed several convergent themes across organizations. First, relational mentorship emerged as a foundational component of effective apprenticeship models, with strong emphasis on trusted adult relationships and culturally responsive support. Second, participants highlighted the importance of integrating identity development and community engagement into workforce pathways, moving beyond narrow skill-building models. Third, organizations emphasized the need for flexible, context-responsive program structures that accommodate diverse youth needs, including those facing structural barriers related to poverty, immigration status, and systemic inequities.</w:t>
      </w:r>
    </w:p>
    <w:p w14:paraId="4398295B"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Divergent themes reflected organizational differences in program focus, capacity, and target populations. For example, some organizations prioritized academic and career alignment, while others emphasized social-emotional development or civic engagement. Despite these differences, there was strong consensus on the need for sustainable funding models, professional development for mentors, and clearer pathways to industry-recognized credentials.</w:t>
      </w:r>
    </w:p>
    <w:p w14:paraId="3F7766D8"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The co-design process itself was identified as a critical outcome. Participants reported increased ownership, alignment across organizations, and strengthened networks of collaboration. The resulting apprenticeship framework reflects a hybrid model that integrates workforce competencies with PYD principles, relational supports, and community-defined success metrics.</w:t>
      </w:r>
    </w:p>
    <w:p w14:paraId="4498853E" w14:textId="67209EAC"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b/>
          <w:bCs/>
          <w:kern w:val="0"/>
          <w14:ligatures w14:val="none"/>
        </w:rPr>
        <w:t>Conclusions</w:t>
      </w:r>
      <w:r w:rsidRPr="00D276B1">
        <w:rPr>
          <w:rFonts w:ascii="Times New Roman" w:eastAsia="Times New Roman" w:hAnsi="Times New Roman" w:cs="Times New Roman"/>
          <w:kern w:val="0"/>
          <w14:ligatures w14:val="none"/>
        </w:rPr>
        <w:br/>
        <w:t>This study demonstrates the value of Indigenous and participatory methodologies in designing youth apprenticeship systems that are both equitable and contextually relevant. By centering community voice and fostering collaborative ownership, such approaches can address longstanding gaps between workforce development policy and practice. For the career guidance field, this work underscores the importance of shifting from prescriptive program models toward co-designed systems that honor cultural knowledge, promote agency, and build sustainable pathways to social mobility. Future research should explore how these models can be scaled while maintaining fidelity to community-driven principles.</w:t>
      </w:r>
    </w:p>
    <w:p w14:paraId="2A3C827A" w14:textId="77777777" w:rsidR="00D276B1" w:rsidRPr="00D276B1" w:rsidRDefault="00D276B1" w:rsidP="00D276B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276B1">
        <w:rPr>
          <w:rFonts w:ascii="Times New Roman" w:eastAsia="Times New Roman" w:hAnsi="Times New Roman" w:cs="Times New Roman"/>
          <w:b/>
          <w:bCs/>
          <w:kern w:val="0"/>
          <w:sz w:val="36"/>
          <w:szCs w:val="36"/>
          <w14:ligatures w14:val="none"/>
        </w:rPr>
        <w:t>Keywords</w:t>
      </w:r>
    </w:p>
    <w:p w14:paraId="6577BEC2" w14:textId="37CCC11A"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Indigenous Methodologies; Youth Apprenticeship; Community-Based Participatory Research; Workforce Development</w:t>
      </w:r>
    </w:p>
    <w:p w14:paraId="3DDE01E7" w14:textId="77777777" w:rsidR="00D276B1" w:rsidRPr="00D276B1" w:rsidRDefault="00D276B1" w:rsidP="00D276B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276B1">
        <w:rPr>
          <w:rFonts w:ascii="Times New Roman" w:eastAsia="Times New Roman" w:hAnsi="Times New Roman" w:cs="Times New Roman"/>
          <w:b/>
          <w:bCs/>
          <w:kern w:val="0"/>
          <w:sz w:val="36"/>
          <w:szCs w:val="36"/>
          <w14:ligatures w14:val="none"/>
        </w:rPr>
        <w:t>Selected APA References</w:t>
      </w:r>
    </w:p>
    <w:p w14:paraId="08FBC434"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lastRenderedPageBreak/>
        <w:t xml:space="preserve">Smith, L. T. (2012). </w:t>
      </w:r>
      <w:r w:rsidRPr="00D276B1">
        <w:rPr>
          <w:rFonts w:ascii="Times New Roman" w:eastAsia="Times New Roman" w:hAnsi="Times New Roman" w:cs="Times New Roman"/>
          <w:i/>
          <w:iCs/>
          <w:kern w:val="0"/>
          <w14:ligatures w14:val="none"/>
        </w:rPr>
        <w:t>Decolonizing methodologies: Research and indigenous peoples</w:t>
      </w:r>
      <w:r w:rsidRPr="00D276B1">
        <w:rPr>
          <w:rFonts w:ascii="Times New Roman" w:eastAsia="Times New Roman" w:hAnsi="Times New Roman" w:cs="Times New Roman"/>
          <w:kern w:val="0"/>
          <w14:ligatures w14:val="none"/>
        </w:rPr>
        <w:t xml:space="preserve"> (2nd ed.). Zed Books.</w:t>
      </w:r>
    </w:p>
    <w:p w14:paraId="3DA2A4BB"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Ozer, E. J., </w:t>
      </w:r>
      <w:proofErr w:type="spellStart"/>
      <w:r w:rsidRPr="00D276B1">
        <w:rPr>
          <w:rFonts w:ascii="Times New Roman" w:eastAsia="Times New Roman" w:hAnsi="Times New Roman" w:cs="Times New Roman"/>
          <w:kern w:val="0"/>
          <w14:ligatures w14:val="none"/>
        </w:rPr>
        <w:t>Abraczinskas</w:t>
      </w:r>
      <w:proofErr w:type="spellEnd"/>
      <w:r w:rsidRPr="00D276B1">
        <w:rPr>
          <w:rFonts w:ascii="Times New Roman" w:eastAsia="Times New Roman" w:hAnsi="Times New Roman" w:cs="Times New Roman"/>
          <w:kern w:val="0"/>
          <w14:ligatures w14:val="none"/>
        </w:rPr>
        <w:t xml:space="preserve">, M., Duarte, C., Mathur, R., Ballard, P. J., Gibbs, L., Olivas, E. T., &amp; Afifi, R. (2020). Youth participatory approaches and health equity. </w:t>
      </w:r>
      <w:r w:rsidRPr="00D276B1">
        <w:rPr>
          <w:rFonts w:ascii="Times New Roman" w:eastAsia="Times New Roman" w:hAnsi="Times New Roman" w:cs="Times New Roman"/>
          <w:i/>
          <w:iCs/>
          <w:kern w:val="0"/>
          <w14:ligatures w14:val="none"/>
        </w:rPr>
        <w:t>American Journal of Community Psychology, 66</w:t>
      </w:r>
      <w:r w:rsidRPr="00D276B1">
        <w:rPr>
          <w:rFonts w:ascii="Times New Roman" w:eastAsia="Times New Roman" w:hAnsi="Times New Roman" w:cs="Times New Roman"/>
          <w:kern w:val="0"/>
          <w14:ligatures w14:val="none"/>
        </w:rPr>
        <w:t xml:space="preserve">(3–4), 267–278. </w:t>
      </w:r>
      <w:hyperlink r:id="rId5" w:tgtFrame="_new" w:history="1">
        <w:r w:rsidRPr="00D276B1">
          <w:rPr>
            <w:rFonts w:ascii="Times New Roman" w:eastAsia="Times New Roman" w:hAnsi="Times New Roman" w:cs="Times New Roman"/>
            <w:color w:val="0000FF"/>
            <w:kern w:val="0"/>
            <w:u w:val="single"/>
            <w14:ligatures w14:val="none"/>
          </w:rPr>
          <w:t>https://doi.org/10.1002/ajcp.12451</w:t>
        </w:r>
      </w:hyperlink>
    </w:p>
    <w:p w14:paraId="2396695C"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Lerner, R. M., Lerner, J. V., Murry, V. M., Smith, E. P., Bowers, E. P., &amp; Geldhof, G. J. (2021). Positive youth development in 2020. </w:t>
      </w:r>
      <w:r w:rsidRPr="00D276B1">
        <w:rPr>
          <w:rFonts w:ascii="Times New Roman" w:eastAsia="Times New Roman" w:hAnsi="Times New Roman" w:cs="Times New Roman"/>
          <w:i/>
          <w:iCs/>
          <w:kern w:val="0"/>
          <w14:ligatures w14:val="none"/>
        </w:rPr>
        <w:t>Journal of Research on Adolescence, 31</w:t>
      </w:r>
      <w:r w:rsidRPr="00D276B1">
        <w:rPr>
          <w:rFonts w:ascii="Times New Roman" w:eastAsia="Times New Roman" w:hAnsi="Times New Roman" w:cs="Times New Roman"/>
          <w:kern w:val="0"/>
          <w14:ligatures w14:val="none"/>
        </w:rPr>
        <w:t xml:space="preserve">(4), 1114–1134. </w:t>
      </w:r>
      <w:hyperlink r:id="rId6" w:tgtFrame="_new" w:history="1">
        <w:r w:rsidRPr="00D276B1">
          <w:rPr>
            <w:rFonts w:ascii="Times New Roman" w:eastAsia="Times New Roman" w:hAnsi="Times New Roman" w:cs="Times New Roman"/>
            <w:color w:val="0000FF"/>
            <w:kern w:val="0"/>
            <w:u w:val="single"/>
            <w14:ligatures w14:val="none"/>
          </w:rPr>
          <w:t>https://doi.org/10.1111/jora.12609</w:t>
        </w:r>
      </w:hyperlink>
    </w:p>
    <w:p w14:paraId="5C54B694"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Diemer, M. A., Rapa, L. J., Voight, A. D., &amp; McWhirter, E. H. (2017). Critical consciousness. </w:t>
      </w:r>
      <w:r w:rsidRPr="00D276B1">
        <w:rPr>
          <w:rFonts w:ascii="Times New Roman" w:eastAsia="Times New Roman" w:hAnsi="Times New Roman" w:cs="Times New Roman"/>
          <w:i/>
          <w:iCs/>
          <w:kern w:val="0"/>
          <w14:ligatures w14:val="none"/>
        </w:rPr>
        <w:t>Child Development Perspectives, 11</w:t>
      </w:r>
      <w:r w:rsidRPr="00D276B1">
        <w:rPr>
          <w:rFonts w:ascii="Times New Roman" w:eastAsia="Times New Roman" w:hAnsi="Times New Roman" w:cs="Times New Roman"/>
          <w:kern w:val="0"/>
          <w14:ligatures w14:val="none"/>
        </w:rPr>
        <w:t xml:space="preserve">(3), 216–221. </w:t>
      </w:r>
      <w:hyperlink r:id="rId7" w:tgtFrame="_new" w:history="1">
        <w:r w:rsidRPr="00D276B1">
          <w:rPr>
            <w:rFonts w:ascii="Times New Roman" w:eastAsia="Times New Roman" w:hAnsi="Times New Roman" w:cs="Times New Roman"/>
            <w:color w:val="0000FF"/>
            <w:kern w:val="0"/>
            <w:u w:val="single"/>
            <w14:ligatures w14:val="none"/>
          </w:rPr>
          <w:t>https://doi.org/10.1111/cdep.12193</w:t>
        </w:r>
      </w:hyperlink>
    </w:p>
    <w:p w14:paraId="38ED2289" w14:textId="77777777" w:rsidR="00D276B1" w:rsidRPr="00D276B1" w:rsidRDefault="00D276B1" w:rsidP="00D276B1">
      <w:pPr>
        <w:spacing w:before="100" w:beforeAutospacing="1" w:after="100" w:afterAutospacing="1" w:line="240" w:lineRule="auto"/>
        <w:rPr>
          <w:rFonts w:ascii="Times New Roman" w:eastAsia="Times New Roman" w:hAnsi="Times New Roman" w:cs="Times New Roman"/>
          <w:kern w:val="0"/>
          <w14:ligatures w14:val="none"/>
        </w:rPr>
      </w:pPr>
      <w:r w:rsidRPr="00D276B1">
        <w:rPr>
          <w:rFonts w:ascii="Times New Roman" w:eastAsia="Times New Roman" w:hAnsi="Times New Roman" w:cs="Times New Roman"/>
          <w:kern w:val="0"/>
          <w14:ligatures w14:val="none"/>
        </w:rPr>
        <w:t xml:space="preserve">Solberg, V. S. H., Park, C. M., &amp; Marsay, G. (2020). Designing quality programs that promote hope, purpose and future readiness. </w:t>
      </w:r>
      <w:r w:rsidRPr="00D276B1">
        <w:rPr>
          <w:rFonts w:ascii="Times New Roman" w:eastAsia="Times New Roman" w:hAnsi="Times New Roman" w:cs="Times New Roman"/>
          <w:i/>
          <w:iCs/>
          <w:kern w:val="0"/>
          <w14:ligatures w14:val="none"/>
        </w:rPr>
        <w:t>Journal of Career Assessment, 29</w:t>
      </w:r>
      <w:r w:rsidRPr="00D276B1">
        <w:rPr>
          <w:rFonts w:ascii="Times New Roman" w:eastAsia="Times New Roman" w:hAnsi="Times New Roman" w:cs="Times New Roman"/>
          <w:kern w:val="0"/>
          <w14:ligatures w14:val="none"/>
        </w:rPr>
        <w:t xml:space="preserve">(2), 183–204. </w:t>
      </w:r>
      <w:hyperlink r:id="rId8" w:tgtFrame="_new" w:history="1">
        <w:r w:rsidRPr="00D276B1">
          <w:rPr>
            <w:rFonts w:ascii="Times New Roman" w:eastAsia="Times New Roman" w:hAnsi="Times New Roman" w:cs="Times New Roman"/>
            <w:color w:val="0000FF"/>
            <w:kern w:val="0"/>
            <w:u w:val="single"/>
            <w14:ligatures w14:val="none"/>
          </w:rPr>
          <w:t>https://doi.org/10.1177/106907272093864</w:t>
        </w:r>
      </w:hyperlink>
    </w:p>
    <w:p w14:paraId="2876B3A3" w14:textId="77777777" w:rsidR="005C5221" w:rsidRDefault="005C5221"/>
    <w:sectPr w:rsidR="005C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13D8A"/>
    <w:multiLevelType w:val="multilevel"/>
    <w:tmpl w:val="1A940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3413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B1"/>
    <w:rsid w:val="000B2FEB"/>
    <w:rsid w:val="000F2CF1"/>
    <w:rsid w:val="002D11F6"/>
    <w:rsid w:val="00372FB4"/>
    <w:rsid w:val="005C5221"/>
    <w:rsid w:val="006526D8"/>
    <w:rsid w:val="008F5079"/>
    <w:rsid w:val="00A82CF0"/>
    <w:rsid w:val="00B71D86"/>
    <w:rsid w:val="00D276B1"/>
    <w:rsid w:val="00FE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6BA4"/>
  <w15:chartTrackingRefBased/>
  <w15:docId w15:val="{88A4AC9F-60AD-B144-8FE6-812BEB0B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7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7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6B1"/>
    <w:rPr>
      <w:rFonts w:eastAsiaTheme="majorEastAsia" w:cstheme="majorBidi"/>
      <w:color w:val="272727" w:themeColor="text1" w:themeTint="D8"/>
    </w:rPr>
  </w:style>
  <w:style w:type="paragraph" w:styleId="Title">
    <w:name w:val="Title"/>
    <w:basedOn w:val="Normal"/>
    <w:next w:val="Normal"/>
    <w:link w:val="TitleChar"/>
    <w:uiPriority w:val="10"/>
    <w:qFormat/>
    <w:rsid w:val="00D27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6B1"/>
    <w:pPr>
      <w:spacing w:before="160"/>
      <w:jc w:val="center"/>
    </w:pPr>
    <w:rPr>
      <w:i/>
      <w:iCs/>
      <w:color w:val="404040" w:themeColor="text1" w:themeTint="BF"/>
    </w:rPr>
  </w:style>
  <w:style w:type="character" w:customStyle="1" w:styleId="QuoteChar">
    <w:name w:val="Quote Char"/>
    <w:basedOn w:val="DefaultParagraphFont"/>
    <w:link w:val="Quote"/>
    <w:uiPriority w:val="29"/>
    <w:rsid w:val="00D276B1"/>
    <w:rPr>
      <w:i/>
      <w:iCs/>
      <w:color w:val="404040" w:themeColor="text1" w:themeTint="BF"/>
    </w:rPr>
  </w:style>
  <w:style w:type="paragraph" w:styleId="ListParagraph">
    <w:name w:val="List Paragraph"/>
    <w:basedOn w:val="Normal"/>
    <w:uiPriority w:val="34"/>
    <w:qFormat/>
    <w:rsid w:val="00D276B1"/>
    <w:pPr>
      <w:ind w:left="720"/>
      <w:contextualSpacing/>
    </w:pPr>
  </w:style>
  <w:style w:type="character" w:styleId="IntenseEmphasis">
    <w:name w:val="Intense Emphasis"/>
    <w:basedOn w:val="DefaultParagraphFont"/>
    <w:uiPriority w:val="21"/>
    <w:qFormat/>
    <w:rsid w:val="00D276B1"/>
    <w:rPr>
      <w:i/>
      <w:iCs/>
      <w:color w:val="0F4761" w:themeColor="accent1" w:themeShade="BF"/>
    </w:rPr>
  </w:style>
  <w:style w:type="paragraph" w:styleId="IntenseQuote">
    <w:name w:val="Intense Quote"/>
    <w:basedOn w:val="Normal"/>
    <w:next w:val="Normal"/>
    <w:link w:val="IntenseQuoteChar"/>
    <w:uiPriority w:val="30"/>
    <w:qFormat/>
    <w:rsid w:val="00D27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6B1"/>
    <w:rPr>
      <w:i/>
      <w:iCs/>
      <w:color w:val="0F4761" w:themeColor="accent1" w:themeShade="BF"/>
    </w:rPr>
  </w:style>
  <w:style w:type="character" w:styleId="IntenseReference">
    <w:name w:val="Intense Reference"/>
    <w:basedOn w:val="DefaultParagraphFont"/>
    <w:uiPriority w:val="32"/>
    <w:qFormat/>
    <w:rsid w:val="00D276B1"/>
    <w:rPr>
      <w:b/>
      <w:bCs/>
      <w:smallCaps/>
      <w:color w:val="0F4761" w:themeColor="accent1" w:themeShade="BF"/>
      <w:spacing w:val="5"/>
    </w:rPr>
  </w:style>
  <w:style w:type="character" w:styleId="Strong">
    <w:name w:val="Strong"/>
    <w:basedOn w:val="DefaultParagraphFont"/>
    <w:uiPriority w:val="22"/>
    <w:qFormat/>
    <w:rsid w:val="00D276B1"/>
    <w:rPr>
      <w:b/>
      <w:bCs/>
    </w:rPr>
  </w:style>
  <w:style w:type="paragraph" w:styleId="NormalWeb">
    <w:name w:val="Normal (Web)"/>
    <w:basedOn w:val="Normal"/>
    <w:uiPriority w:val="99"/>
    <w:semiHidden/>
    <w:unhideWhenUsed/>
    <w:rsid w:val="00D276B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276B1"/>
    <w:rPr>
      <w:i/>
      <w:iCs/>
    </w:rPr>
  </w:style>
  <w:style w:type="character" w:styleId="Hyperlink">
    <w:name w:val="Hyperlink"/>
    <w:basedOn w:val="DefaultParagraphFont"/>
    <w:uiPriority w:val="99"/>
    <w:semiHidden/>
    <w:unhideWhenUsed/>
    <w:rsid w:val="00D276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6907272093864" TargetMode="External"/><Relationship Id="rId3" Type="http://schemas.openxmlformats.org/officeDocument/2006/relationships/settings" Target="settings.xml"/><Relationship Id="rId7" Type="http://schemas.openxmlformats.org/officeDocument/2006/relationships/hyperlink" Target="https://doi.org/10.1111/cdep.121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11/jora.12609" TargetMode="External"/><Relationship Id="rId5" Type="http://schemas.openxmlformats.org/officeDocument/2006/relationships/hyperlink" Target="https://doi.org/10.1002/ajcp.1245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1002</Words>
  <Characters>5713</Characters>
  <Application>Microsoft Office Word</Application>
  <DocSecurity>0</DocSecurity>
  <Lines>47</Lines>
  <Paragraphs>13</Paragraphs>
  <ScaleCrop>false</ScaleCrop>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Solberg, V. Scott</dc:creator>
  <cp:keywords/>
  <dc:description/>
  <cp:lastModifiedBy>Solberg, V. Scott</cp:lastModifiedBy>
  <cp:revision>1</cp:revision>
  <dcterms:created xsi:type="dcterms:W3CDTF">2026-04-17T15:46:00Z</dcterms:created>
  <dcterms:modified xsi:type="dcterms:W3CDTF">2026-04-17T15:47:00Z</dcterms:modified>
</cp:coreProperties>
</file>