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54CD3" w14:textId="77777777" w:rsidR="003A6945" w:rsidRPr="007033A4" w:rsidRDefault="003A6945" w:rsidP="00D36646">
      <w:pPr>
        <w:spacing w:after="0" w:line="360" w:lineRule="auto"/>
        <w:rPr>
          <w:rFonts w:ascii="Calibri" w:hAnsi="Calibri" w:cs="Calibri"/>
          <w:b/>
          <w:bCs/>
          <w:sz w:val="22"/>
          <w:szCs w:val="22"/>
        </w:rPr>
      </w:pPr>
    </w:p>
    <w:p w14:paraId="31A4C61B" w14:textId="77777777" w:rsidR="003A6945" w:rsidRPr="00883693" w:rsidRDefault="003A6945" w:rsidP="00D36646">
      <w:pPr>
        <w:spacing w:after="0" w:line="360" w:lineRule="auto"/>
        <w:rPr>
          <w:rFonts w:ascii="Calibri" w:hAnsi="Calibri" w:cs="Calibri"/>
          <w:b/>
          <w:bCs/>
          <w:sz w:val="22"/>
          <w:szCs w:val="22"/>
        </w:rPr>
      </w:pPr>
      <w:r w:rsidRPr="00883693">
        <w:rPr>
          <w:rFonts w:ascii="Calibri" w:hAnsi="Calibri" w:cs="Calibri"/>
          <w:b/>
          <w:bCs/>
          <w:sz w:val="22"/>
          <w:szCs w:val="22"/>
        </w:rPr>
        <w:t>Title</w:t>
      </w:r>
    </w:p>
    <w:p w14:paraId="1950BA2D" w14:textId="77777777" w:rsidR="003A6945" w:rsidRPr="00883693" w:rsidRDefault="003A6945" w:rsidP="00D36646">
      <w:pPr>
        <w:spacing w:after="0" w:line="360" w:lineRule="auto"/>
        <w:rPr>
          <w:rFonts w:ascii="Calibri" w:hAnsi="Calibri" w:cs="Calibri"/>
          <w:sz w:val="22"/>
          <w:szCs w:val="22"/>
        </w:rPr>
      </w:pPr>
      <w:r w:rsidRPr="00883693">
        <w:rPr>
          <w:rFonts w:ascii="Calibri" w:hAnsi="Calibri" w:cs="Calibri"/>
          <w:b/>
          <w:bCs/>
          <w:sz w:val="22"/>
          <w:szCs w:val="22"/>
        </w:rPr>
        <w:t>Multilevel Predictors of Student–Program Fit in Vocational Education</w:t>
      </w:r>
    </w:p>
    <w:p w14:paraId="5A9D2FAA" w14:textId="77777777" w:rsidR="003A6945" w:rsidRPr="007033A4" w:rsidRDefault="003A6945" w:rsidP="00D36646">
      <w:pPr>
        <w:spacing w:after="0" w:line="360" w:lineRule="auto"/>
        <w:rPr>
          <w:rFonts w:ascii="Calibri" w:hAnsi="Calibri" w:cs="Calibri"/>
          <w:b/>
          <w:bCs/>
          <w:sz w:val="22"/>
          <w:szCs w:val="22"/>
        </w:rPr>
      </w:pPr>
    </w:p>
    <w:p w14:paraId="51C23193" w14:textId="25E48325" w:rsidR="003A6945" w:rsidRPr="003A6945" w:rsidRDefault="003A6945" w:rsidP="00D36646">
      <w:pPr>
        <w:spacing w:after="0" w:line="360" w:lineRule="auto"/>
        <w:rPr>
          <w:rFonts w:ascii="Calibri" w:hAnsi="Calibri" w:cs="Calibri"/>
          <w:sz w:val="22"/>
          <w:szCs w:val="22"/>
        </w:rPr>
      </w:pPr>
      <w:r w:rsidRPr="007033A4">
        <w:rPr>
          <w:rFonts w:ascii="Calibri" w:hAnsi="Calibri" w:cs="Calibri"/>
          <w:b/>
          <w:bCs/>
          <w:sz w:val="22"/>
          <w:szCs w:val="22"/>
        </w:rPr>
        <w:t>Conference</w:t>
      </w:r>
      <w:r w:rsidRPr="003A6945">
        <w:rPr>
          <w:rFonts w:ascii="Calibri" w:hAnsi="Calibri" w:cs="Calibri"/>
          <w:b/>
          <w:bCs/>
          <w:sz w:val="22"/>
          <w:szCs w:val="22"/>
        </w:rPr>
        <w:t xml:space="preserve"> theme: </w:t>
      </w:r>
      <w:r w:rsidR="003D11FE" w:rsidRPr="003D11FE">
        <w:rPr>
          <w:rFonts w:ascii="Calibri" w:hAnsi="Calibri" w:cs="Calibri"/>
          <w:sz w:val="22"/>
          <w:szCs w:val="22"/>
        </w:rPr>
        <w:t>Research - Career guidance and career development (person–environment fit and educational transitions)</w:t>
      </w:r>
    </w:p>
    <w:p w14:paraId="21F4B49D" w14:textId="77777777" w:rsidR="003A6945" w:rsidRPr="003A6945" w:rsidRDefault="003A6945" w:rsidP="00D36646">
      <w:pPr>
        <w:spacing w:after="0" w:line="360" w:lineRule="auto"/>
        <w:rPr>
          <w:rFonts w:ascii="Calibri" w:hAnsi="Calibri" w:cs="Calibri"/>
          <w:b/>
          <w:bCs/>
          <w:sz w:val="22"/>
          <w:szCs w:val="22"/>
        </w:rPr>
      </w:pPr>
      <w:r w:rsidRPr="003A6945">
        <w:rPr>
          <w:rFonts w:ascii="Calibri" w:hAnsi="Calibri" w:cs="Calibri"/>
          <w:b/>
          <w:bCs/>
          <w:sz w:val="22"/>
          <w:szCs w:val="22"/>
        </w:rPr>
        <w:t xml:space="preserve">Language: </w:t>
      </w:r>
      <w:r w:rsidRPr="003A6945">
        <w:rPr>
          <w:rFonts w:ascii="Calibri" w:hAnsi="Calibri" w:cs="Calibri"/>
          <w:sz w:val="22"/>
          <w:szCs w:val="22"/>
        </w:rPr>
        <w:t>English</w:t>
      </w:r>
    </w:p>
    <w:p w14:paraId="43C1A734" w14:textId="22F5A73D" w:rsidR="003A6945" w:rsidRPr="003A6945" w:rsidRDefault="003D11FE" w:rsidP="00D36646">
      <w:pPr>
        <w:spacing w:after="0" w:line="360" w:lineRule="auto"/>
        <w:rPr>
          <w:rFonts w:ascii="Calibri" w:hAnsi="Calibri" w:cs="Calibri"/>
          <w:b/>
          <w:bCs/>
          <w:sz w:val="22"/>
          <w:szCs w:val="22"/>
        </w:rPr>
      </w:pPr>
      <w:r>
        <w:rPr>
          <w:rFonts w:ascii="Calibri" w:hAnsi="Calibri" w:cs="Calibri"/>
          <w:b/>
          <w:bCs/>
          <w:sz w:val="22"/>
          <w:szCs w:val="22"/>
        </w:rPr>
        <w:t xml:space="preserve">Authors: </w:t>
      </w:r>
      <w:r w:rsidR="003A6945" w:rsidRPr="003A6945">
        <w:rPr>
          <w:rFonts w:ascii="Calibri" w:hAnsi="Calibri" w:cs="Calibri"/>
          <w:b/>
          <w:bCs/>
          <w:sz w:val="22"/>
          <w:szCs w:val="22"/>
        </w:rPr>
        <w:t>Toni Babarovi</w:t>
      </w:r>
      <w:r w:rsidR="00F0462E">
        <w:rPr>
          <w:rFonts w:ascii="Calibri" w:hAnsi="Calibri" w:cs="Calibri"/>
          <w:b/>
          <w:bCs/>
          <w:sz w:val="22"/>
          <w:szCs w:val="22"/>
        </w:rPr>
        <w:t>c</w:t>
      </w:r>
      <w:r w:rsidR="003A6945" w:rsidRPr="007033A4">
        <w:rPr>
          <w:rFonts w:ascii="Calibri" w:hAnsi="Calibri" w:cs="Calibri"/>
          <w:b/>
          <w:bCs/>
          <w:sz w:val="22"/>
          <w:szCs w:val="22"/>
          <w:vertAlign w:val="superscript"/>
        </w:rPr>
        <w:t>1</w:t>
      </w:r>
      <w:r w:rsidR="003A6945" w:rsidRPr="003A6945">
        <w:rPr>
          <w:rFonts w:ascii="Calibri" w:hAnsi="Calibri" w:cs="Calibri"/>
          <w:b/>
          <w:bCs/>
          <w:sz w:val="22"/>
          <w:szCs w:val="22"/>
        </w:rPr>
        <w:t xml:space="preserve">, </w:t>
      </w:r>
      <w:r w:rsidR="003A6945" w:rsidRPr="007033A4">
        <w:rPr>
          <w:rFonts w:ascii="Calibri" w:hAnsi="Calibri" w:cs="Calibri"/>
          <w:b/>
          <w:bCs/>
          <w:sz w:val="22"/>
          <w:szCs w:val="22"/>
        </w:rPr>
        <w:t>Dora Popovi</w:t>
      </w:r>
      <w:r w:rsidR="00F0462E">
        <w:rPr>
          <w:rFonts w:ascii="Calibri" w:hAnsi="Calibri" w:cs="Calibri"/>
          <w:b/>
          <w:bCs/>
          <w:sz w:val="22"/>
          <w:szCs w:val="22"/>
        </w:rPr>
        <w:t>c</w:t>
      </w:r>
      <w:r w:rsidR="003A6945" w:rsidRPr="003A6945">
        <w:rPr>
          <w:rFonts w:ascii="Calibri" w:hAnsi="Calibri" w:cs="Calibri"/>
          <w:b/>
          <w:bCs/>
          <w:sz w:val="22"/>
          <w:szCs w:val="22"/>
          <w:vertAlign w:val="superscript"/>
        </w:rPr>
        <w:t>1</w:t>
      </w:r>
      <w:r w:rsidR="003A6945" w:rsidRPr="003A6945">
        <w:rPr>
          <w:rFonts w:ascii="Calibri" w:hAnsi="Calibri" w:cs="Calibri"/>
          <w:b/>
          <w:bCs/>
          <w:sz w:val="22"/>
          <w:szCs w:val="22"/>
        </w:rPr>
        <w:t xml:space="preserve"> &amp; </w:t>
      </w:r>
      <w:r w:rsidR="003A6945" w:rsidRPr="007033A4">
        <w:rPr>
          <w:rFonts w:ascii="Calibri" w:hAnsi="Calibri" w:cs="Calibri"/>
          <w:b/>
          <w:bCs/>
          <w:sz w:val="22"/>
          <w:szCs w:val="22"/>
        </w:rPr>
        <w:t>Nensi Tomac</w:t>
      </w:r>
      <w:r w:rsidR="003A6945" w:rsidRPr="003A6945">
        <w:rPr>
          <w:rFonts w:ascii="Calibri" w:hAnsi="Calibri" w:cs="Calibri"/>
          <w:b/>
          <w:bCs/>
          <w:sz w:val="22"/>
          <w:szCs w:val="22"/>
          <w:vertAlign w:val="superscript"/>
        </w:rPr>
        <w:t>1</w:t>
      </w:r>
    </w:p>
    <w:p w14:paraId="77384A42" w14:textId="78FE374C" w:rsidR="003A6945" w:rsidRPr="003A6945" w:rsidRDefault="003D11FE" w:rsidP="00D36646">
      <w:pPr>
        <w:spacing w:after="0" w:line="360" w:lineRule="auto"/>
        <w:rPr>
          <w:rFonts w:ascii="Calibri" w:hAnsi="Calibri" w:cs="Calibri"/>
          <w:sz w:val="22"/>
          <w:szCs w:val="22"/>
        </w:rPr>
      </w:pPr>
      <w:r>
        <w:rPr>
          <w:rFonts w:ascii="Calibri" w:hAnsi="Calibri" w:cs="Calibri"/>
          <w:b/>
          <w:bCs/>
          <w:sz w:val="22"/>
          <w:szCs w:val="22"/>
        </w:rPr>
        <w:t xml:space="preserve">Affiliation: </w:t>
      </w:r>
      <w:r w:rsidR="003A6945" w:rsidRPr="003A6945">
        <w:rPr>
          <w:rFonts w:ascii="Calibri" w:hAnsi="Calibri" w:cs="Calibri"/>
          <w:sz w:val="22"/>
          <w:szCs w:val="22"/>
          <w:vertAlign w:val="superscript"/>
        </w:rPr>
        <w:t>1</w:t>
      </w:r>
      <w:r w:rsidR="003A6945" w:rsidRPr="003A6945">
        <w:rPr>
          <w:rFonts w:ascii="Calibri" w:hAnsi="Calibri" w:cs="Calibri"/>
          <w:sz w:val="22"/>
          <w:szCs w:val="22"/>
        </w:rPr>
        <w:t>Ivo Pilar Institute of Social Sciences, Zagreb, Croatia</w:t>
      </w:r>
    </w:p>
    <w:p w14:paraId="438C53A0" w14:textId="77777777" w:rsidR="00F0462E" w:rsidRDefault="00F0462E" w:rsidP="00F0462E">
      <w:pPr>
        <w:spacing w:after="0" w:line="360" w:lineRule="auto"/>
        <w:rPr>
          <w:rFonts w:ascii="Calibri" w:hAnsi="Calibri" w:cs="Calibri"/>
          <w:sz w:val="22"/>
          <w:szCs w:val="22"/>
        </w:rPr>
      </w:pPr>
      <w:r>
        <w:rPr>
          <w:rFonts w:ascii="Calibri" w:hAnsi="Calibri" w:cs="Calibri"/>
          <w:b/>
          <w:bCs/>
          <w:sz w:val="22"/>
          <w:szCs w:val="22"/>
        </w:rPr>
        <w:t xml:space="preserve">Presenting author: </w:t>
      </w:r>
      <w:r w:rsidRPr="00F0462E">
        <w:rPr>
          <w:rFonts w:ascii="Calibri" w:hAnsi="Calibri" w:cs="Calibri"/>
          <w:sz w:val="22"/>
          <w:szCs w:val="22"/>
        </w:rPr>
        <w:t>Toni Babarovic, Senior scientific advisor/Full Professor</w:t>
      </w:r>
      <w:r>
        <w:rPr>
          <w:rFonts w:ascii="Calibri" w:hAnsi="Calibri" w:cs="Calibri"/>
          <w:sz w:val="22"/>
          <w:szCs w:val="22"/>
        </w:rPr>
        <w:t xml:space="preserve"> </w:t>
      </w:r>
    </w:p>
    <w:p w14:paraId="6C4AB88F" w14:textId="2482A8A4" w:rsidR="003A6945" w:rsidRPr="007033A4" w:rsidRDefault="00F0462E" w:rsidP="00F0462E">
      <w:pPr>
        <w:spacing w:after="0" w:line="360" w:lineRule="auto"/>
        <w:rPr>
          <w:rFonts w:ascii="Calibri" w:hAnsi="Calibri" w:cs="Calibri"/>
          <w:b/>
          <w:bCs/>
          <w:sz w:val="22"/>
          <w:szCs w:val="22"/>
        </w:rPr>
      </w:pPr>
      <w:r w:rsidRPr="00F0462E">
        <w:rPr>
          <w:rFonts w:ascii="Calibri" w:hAnsi="Calibri" w:cs="Calibri"/>
          <w:b/>
          <w:bCs/>
          <w:sz w:val="22"/>
          <w:szCs w:val="22"/>
        </w:rPr>
        <w:t>email:</w:t>
      </w:r>
      <w:r>
        <w:rPr>
          <w:rFonts w:ascii="Calibri" w:hAnsi="Calibri" w:cs="Calibri"/>
          <w:b/>
          <w:bCs/>
          <w:sz w:val="22"/>
          <w:szCs w:val="22"/>
        </w:rPr>
        <w:t xml:space="preserve"> </w:t>
      </w:r>
      <w:r w:rsidRPr="00F0462E">
        <w:rPr>
          <w:rFonts w:ascii="Calibri" w:hAnsi="Calibri" w:cs="Calibri"/>
          <w:sz w:val="22"/>
          <w:szCs w:val="22"/>
        </w:rPr>
        <w:t>toni.babarovic@pilar.hr</w:t>
      </w:r>
      <w:r>
        <w:rPr>
          <w:rFonts w:ascii="Calibri" w:hAnsi="Calibri" w:cs="Calibri"/>
          <w:sz w:val="22"/>
          <w:szCs w:val="22"/>
        </w:rPr>
        <w:t xml:space="preserve"> </w:t>
      </w:r>
    </w:p>
    <w:p w14:paraId="0A45E51C" w14:textId="77777777" w:rsidR="003A6945" w:rsidRPr="007033A4" w:rsidRDefault="003A6945" w:rsidP="00D36646">
      <w:pPr>
        <w:spacing w:after="0" w:line="360" w:lineRule="auto"/>
        <w:rPr>
          <w:rFonts w:ascii="Calibri" w:hAnsi="Calibri" w:cs="Calibri"/>
          <w:b/>
          <w:bCs/>
          <w:sz w:val="22"/>
          <w:szCs w:val="22"/>
        </w:rPr>
      </w:pPr>
    </w:p>
    <w:p w14:paraId="6A8968F3" w14:textId="3B4B624C" w:rsidR="003A6945" w:rsidRPr="007033A4" w:rsidRDefault="003A6945" w:rsidP="00D36646">
      <w:pPr>
        <w:spacing w:after="0" w:line="360" w:lineRule="auto"/>
        <w:rPr>
          <w:rFonts w:ascii="Calibri" w:hAnsi="Calibri" w:cs="Calibri"/>
          <w:b/>
          <w:bCs/>
          <w:sz w:val="22"/>
          <w:szCs w:val="22"/>
        </w:rPr>
      </w:pPr>
      <w:r w:rsidRPr="003A6945">
        <w:rPr>
          <w:rFonts w:ascii="Calibri" w:hAnsi="Calibri" w:cs="Calibri"/>
          <w:b/>
          <w:bCs/>
          <w:sz w:val="22"/>
          <w:szCs w:val="22"/>
        </w:rPr>
        <w:t xml:space="preserve">Acknowledgement: </w:t>
      </w:r>
      <w:r w:rsidR="00D36646" w:rsidRPr="007033A4">
        <w:rPr>
          <w:rFonts w:ascii="Calibri" w:hAnsi="Calibri" w:cs="Calibri"/>
          <w:sz w:val="22"/>
          <w:szCs w:val="22"/>
        </w:rPr>
        <w:t xml:space="preserve">This work has been done as a part of project Compatibility of students’ interests and vocational high school programs: Measurement, monitoring, causes and consequences of congruence (VETFIT) fully funded by the </w:t>
      </w:r>
      <w:proofErr w:type="spellStart"/>
      <w:r w:rsidR="00D36646" w:rsidRPr="007033A4">
        <w:rPr>
          <w:rFonts w:ascii="Calibri" w:hAnsi="Calibri" w:cs="Calibri"/>
          <w:sz w:val="22"/>
          <w:szCs w:val="22"/>
        </w:rPr>
        <w:t>NextGeneration</w:t>
      </w:r>
      <w:proofErr w:type="spellEnd"/>
      <w:r w:rsidR="00D36646" w:rsidRPr="007033A4">
        <w:rPr>
          <w:rFonts w:ascii="Calibri" w:hAnsi="Calibri" w:cs="Calibri"/>
          <w:sz w:val="22"/>
          <w:szCs w:val="22"/>
        </w:rPr>
        <w:t xml:space="preserve"> EU program.</w:t>
      </w:r>
    </w:p>
    <w:p w14:paraId="2A1E8B4F" w14:textId="74B11EA3" w:rsidR="00883693" w:rsidRPr="00883693" w:rsidRDefault="00883693" w:rsidP="00D36646">
      <w:pPr>
        <w:spacing w:after="0" w:line="360" w:lineRule="auto"/>
        <w:rPr>
          <w:rFonts w:ascii="Calibri" w:hAnsi="Calibri" w:cs="Calibri"/>
          <w:sz w:val="22"/>
          <w:szCs w:val="22"/>
        </w:rPr>
      </w:pPr>
    </w:p>
    <w:p w14:paraId="6C898434" w14:textId="1DCA0E43" w:rsidR="00883693" w:rsidRPr="007033A4" w:rsidRDefault="00883693" w:rsidP="00D36646">
      <w:pPr>
        <w:spacing w:after="0" w:line="360" w:lineRule="auto"/>
        <w:rPr>
          <w:rFonts w:ascii="Calibri" w:hAnsi="Calibri" w:cs="Calibri"/>
          <w:b/>
          <w:bCs/>
          <w:sz w:val="22"/>
          <w:szCs w:val="22"/>
        </w:rPr>
      </w:pPr>
      <w:r w:rsidRPr="00883693">
        <w:rPr>
          <w:rFonts w:ascii="Calibri" w:hAnsi="Calibri" w:cs="Calibri"/>
          <w:b/>
          <w:bCs/>
          <w:sz w:val="22"/>
          <w:szCs w:val="22"/>
        </w:rPr>
        <w:t>Abstract</w:t>
      </w:r>
    </w:p>
    <w:p w14:paraId="5A79B1D3" w14:textId="6C73EF08" w:rsidR="003A6945" w:rsidRPr="007033A4" w:rsidRDefault="003A6945" w:rsidP="00D36646">
      <w:pPr>
        <w:spacing w:after="0" w:line="360" w:lineRule="auto"/>
        <w:jc w:val="both"/>
        <w:rPr>
          <w:rFonts w:ascii="Calibri" w:hAnsi="Calibri" w:cs="Calibri"/>
          <w:sz w:val="22"/>
          <w:szCs w:val="22"/>
        </w:rPr>
      </w:pPr>
      <w:r w:rsidRPr="007033A4">
        <w:rPr>
          <w:rFonts w:ascii="Calibri" w:hAnsi="Calibri" w:cs="Calibri"/>
          <w:sz w:val="22"/>
          <w:szCs w:val="22"/>
        </w:rPr>
        <w:t xml:space="preserve">Fit between individuals and their educational environments </w:t>
      </w:r>
      <w:r w:rsidR="002150D2">
        <w:rPr>
          <w:rFonts w:ascii="Calibri" w:hAnsi="Calibri" w:cs="Calibri"/>
          <w:sz w:val="22"/>
          <w:szCs w:val="22"/>
        </w:rPr>
        <w:t xml:space="preserve">(person-environment fit; P-E fit) </w:t>
      </w:r>
      <w:r w:rsidRPr="007033A4">
        <w:rPr>
          <w:rFonts w:ascii="Calibri" w:hAnsi="Calibri" w:cs="Calibri"/>
          <w:sz w:val="22"/>
          <w:szCs w:val="22"/>
        </w:rPr>
        <w:t xml:space="preserve">is an important topic in vocational psychology and a key factor in understanding educational and career development. In vocational education and training (VET), this alignment is particularly relevant because programs are closely linked to specific occupational pathways. Although previous research shows that better alignment is associated with more positive educational outcomes, less is known about how individual characteristics and program-level context jointly shape both subjective and more objective indicators of </w:t>
      </w:r>
      <w:proofErr w:type="gramStart"/>
      <w:r w:rsidRPr="007033A4">
        <w:rPr>
          <w:rFonts w:ascii="Calibri" w:hAnsi="Calibri" w:cs="Calibri"/>
          <w:sz w:val="22"/>
          <w:szCs w:val="22"/>
        </w:rPr>
        <w:t>fit</w:t>
      </w:r>
      <w:proofErr w:type="gramEnd"/>
      <w:r w:rsidRPr="007033A4">
        <w:rPr>
          <w:rFonts w:ascii="Calibri" w:hAnsi="Calibri" w:cs="Calibri"/>
          <w:sz w:val="22"/>
          <w:szCs w:val="22"/>
        </w:rPr>
        <w:t xml:space="preserve">. This study examines predictors of student–program </w:t>
      </w:r>
      <w:r w:rsidR="00510D01">
        <w:rPr>
          <w:rFonts w:ascii="Calibri" w:hAnsi="Calibri" w:cs="Calibri"/>
          <w:sz w:val="22"/>
          <w:szCs w:val="22"/>
        </w:rPr>
        <w:t>fit</w:t>
      </w:r>
      <w:r w:rsidRPr="007033A4">
        <w:rPr>
          <w:rFonts w:ascii="Calibri" w:hAnsi="Calibri" w:cs="Calibri"/>
          <w:sz w:val="22"/>
          <w:szCs w:val="22"/>
        </w:rPr>
        <w:t xml:space="preserve"> among first-year VET students in Croatia, guided by Holland’s vocational theory, which proposes that individuals thrive in environments that match their interest profiles. Alignment was assessed using students’ subjective evaluations as well as two profile-based indices derived from vocational interest structures. The sample included 1,182 students (Mage = 16) enrolled in 72 VET programs across 19 schools. Individual-level variables included gender, prior academic achievement, whether the program was the student’s first choice, and career decision-making characteristics (</w:t>
      </w:r>
      <w:r w:rsidR="002150D2">
        <w:rPr>
          <w:rFonts w:ascii="Calibri" w:hAnsi="Calibri" w:cs="Calibri"/>
          <w:sz w:val="22"/>
          <w:szCs w:val="22"/>
        </w:rPr>
        <w:t>readiness-</w:t>
      </w:r>
      <w:r w:rsidRPr="007033A4">
        <w:rPr>
          <w:rFonts w:ascii="Calibri" w:hAnsi="Calibri" w:cs="Calibri"/>
          <w:sz w:val="22"/>
          <w:szCs w:val="22"/>
        </w:rPr>
        <w:t xml:space="preserve">confidence, autonomy, and disengagement). Program-level indicators included average academic achievement, gender composition, and program popularity based on student preferences. Multilevel modeling was used due to the hierarchical structure of the data. Results indicated </w:t>
      </w:r>
      <w:r w:rsidRPr="007033A4">
        <w:rPr>
          <w:rFonts w:ascii="Calibri" w:hAnsi="Calibri" w:cs="Calibri"/>
          <w:sz w:val="22"/>
          <w:szCs w:val="22"/>
        </w:rPr>
        <w:lastRenderedPageBreak/>
        <w:t xml:space="preserve">that a notable portion of variation in </w:t>
      </w:r>
      <w:r w:rsidR="002150D2">
        <w:rPr>
          <w:rFonts w:ascii="Calibri" w:hAnsi="Calibri" w:cs="Calibri"/>
          <w:sz w:val="22"/>
          <w:szCs w:val="22"/>
        </w:rPr>
        <w:t>P-E fit</w:t>
      </w:r>
      <w:r w:rsidRPr="007033A4">
        <w:rPr>
          <w:rFonts w:ascii="Calibri" w:hAnsi="Calibri" w:cs="Calibri"/>
          <w:sz w:val="22"/>
          <w:szCs w:val="22"/>
        </w:rPr>
        <w:t xml:space="preserve"> was explained by differences between programs, especially for objective indicators. At the individual level, higher </w:t>
      </w:r>
      <w:r w:rsidR="002150D2">
        <w:rPr>
          <w:rFonts w:ascii="Calibri" w:hAnsi="Calibri" w:cs="Calibri"/>
          <w:sz w:val="22"/>
          <w:szCs w:val="22"/>
        </w:rPr>
        <w:t xml:space="preserve">prior </w:t>
      </w:r>
      <w:r w:rsidRPr="007033A4">
        <w:rPr>
          <w:rFonts w:ascii="Calibri" w:hAnsi="Calibri" w:cs="Calibri"/>
          <w:sz w:val="22"/>
          <w:szCs w:val="22"/>
        </w:rPr>
        <w:t xml:space="preserve">academic achievement and more adaptive decision-making patterns were linked to stronger </w:t>
      </w:r>
      <w:r w:rsidR="002150D2">
        <w:rPr>
          <w:rFonts w:ascii="Calibri" w:hAnsi="Calibri" w:cs="Calibri"/>
          <w:sz w:val="22"/>
          <w:szCs w:val="22"/>
        </w:rPr>
        <w:t>fit</w:t>
      </w:r>
      <w:r w:rsidRPr="007033A4">
        <w:rPr>
          <w:rFonts w:ascii="Calibri" w:hAnsi="Calibri" w:cs="Calibri"/>
          <w:sz w:val="22"/>
          <w:szCs w:val="22"/>
        </w:rPr>
        <w:t xml:space="preserve"> across both </w:t>
      </w:r>
      <w:r w:rsidR="002150D2">
        <w:rPr>
          <w:rFonts w:ascii="Calibri" w:hAnsi="Calibri" w:cs="Calibri"/>
          <w:sz w:val="22"/>
          <w:szCs w:val="22"/>
        </w:rPr>
        <w:t>perceived</w:t>
      </w:r>
      <w:r w:rsidRPr="007033A4">
        <w:rPr>
          <w:rFonts w:ascii="Calibri" w:hAnsi="Calibri" w:cs="Calibri"/>
          <w:sz w:val="22"/>
          <w:szCs w:val="22"/>
        </w:rPr>
        <w:t xml:space="preserve"> and objective measures. Male students tended to show higher profile-based alignment, and enrolling in a preferred program was positively associated with one of the objective fit indicators. At the program level, academic </w:t>
      </w:r>
      <w:r w:rsidR="002150D2">
        <w:rPr>
          <w:rFonts w:ascii="Calibri" w:hAnsi="Calibri" w:cs="Calibri"/>
          <w:sz w:val="22"/>
          <w:szCs w:val="22"/>
        </w:rPr>
        <w:t>achievement</w:t>
      </w:r>
      <w:r w:rsidRPr="007033A4">
        <w:rPr>
          <w:rFonts w:ascii="Calibri" w:hAnsi="Calibri" w:cs="Calibri"/>
          <w:sz w:val="22"/>
          <w:szCs w:val="22"/>
        </w:rPr>
        <w:t xml:space="preserve"> and structural characteristics showed selective effects on </w:t>
      </w:r>
      <w:r w:rsidR="002150D2">
        <w:rPr>
          <w:rFonts w:ascii="Calibri" w:hAnsi="Calibri" w:cs="Calibri"/>
          <w:sz w:val="22"/>
          <w:szCs w:val="22"/>
        </w:rPr>
        <w:t>P-E fit</w:t>
      </w:r>
      <w:r w:rsidRPr="007033A4">
        <w:rPr>
          <w:rFonts w:ascii="Calibri" w:hAnsi="Calibri" w:cs="Calibri"/>
          <w:sz w:val="22"/>
          <w:szCs w:val="22"/>
        </w:rPr>
        <w:t xml:space="preserve"> outcomes. Overall, findings suggest that both personal readiness and contextual program features play a role in shaping how well students</w:t>
      </w:r>
      <w:r w:rsidR="002150D2">
        <w:rPr>
          <w:rFonts w:ascii="Calibri" w:hAnsi="Calibri" w:cs="Calibri"/>
          <w:sz w:val="22"/>
          <w:szCs w:val="22"/>
        </w:rPr>
        <w:t>’ interests fit</w:t>
      </w:r>
      <w:r w:rsidRPr="007033A4">
        <w:rPr>
          <w:rFonts w:ascii="Calibri" w:hAnsi="Calibri" w:cs="Calibri"/>
          <w:sz w:val="22"/>
          <w:szCs w:val="22"/>
        </w:rPr>
        <w:t xml:space="preserve"> their vocational education pathways, with implications for career guidance practice.</w:t>
      </w:r>
    </w:p>
    <w:p w14:paraId="022A4A1F" w14:textId="77777777" w:rsidR="00510D01" w:rsidRDefault="00510D01" w:rsidP="00D36646">
      <w:pPr>
        <w:spacing w:after="0" w:line="360" w:lineRule="auto"/>
        <w:rPr>
          <w:rFonts w:ascii="Calibri" w:hAnsi="Calibri" w:cs="Calibri"/>
          <w:b/>
          <w:bCs/>
          <w:sz w:val="22"/>
          <w:szCs w:val="22"/>
        </w:rPr>
      </w:pPr>
    </w:p>
    <w:p w14:paraId="0FB3C1E0" w14:textId="1C68F922" w:rsidR="00D36646" w:rsidRPr="00883693" w:rsidRDefault="00D36646" w:rsidP="00D36646">
      <w:pPr>
        <w:spacing w:after="0" w:line="360" w:lineRule="auto"/>
        <w:rPr>
          <w:rFonts w:ascii="Calibri" w:hAnsi="Calibri" w:cs="Calibri"/>
          <w:sz w:val="22"/>
          <w:szCs w:val="22"/>
        </w:rPr>
      </w:pPr>
      <w:r w:rsidRPr="00883693">
        <w:rPr>
          <w:rFonts w:ascii="Calibri" w:hAnsi="Calibri" w:cs="Calibri"/>
          <w:b/>
          <w:bCs/>
          <w:sz w:val="22"/>
          <w:szCs w:val="22"/>
        </w:rPr>
        <w:t>Keywords</w:t>
      </w:r>
      <w:r w:rsidRPr="007033A4">
        <w:rPr>
          <w:rFonts w:ascii="Calibri" w:hAnsi="Calibri" w:cs="Calibri"/>
          <w:b/>
          <w:bCs/>
          <w:sz w:val="22"/>
          <w:szCs w:val="22"/>
        </w:rPr>
        <w:t xml:space="preserve">: </w:t>
      </w:r>
      <w:r w:rsidRPr="00883693">
        <w:rPr>
          <w:rFonts w:ascii="Calibri" w:hAnsi="Calibri" w:cs="Calibri"/>
          <w:sz w:val="22"/>
          <w:szCs w:val="22"/>
        </w:rPr>
        <w:t>person–environment fit; vocational education and training; vocational interests; career decision-making; multilevel analysis</w:t>
      </w:r>
    </w:p>
    <w:p w14:paraId="3CDD57F2" w14:textId="77777777" w:rsidR="00D36646" w:rsidRPr="007033A4" w:rsidRDefault="00D36646" w:rsidP="00D36646">
      <w:pPr>
        <w:spacing w:after="0" w:line="360" w:lineRule="auto"/>
        <w:rPr>
          <w:rFonts w:ascii="Calibri" w:hAnsi="Calibri" w:cs="Calibri"/>
          <w:b/>
          <w:bCs/>
          <w:sz w:val="22"/>
          <w:szCs w:val="22"/>
        </w:rPr>
      </w:pPr>
    </w:p>
    <w:p w14:paraId="72A1BFFD" w14:textId="18CE4943" w:rsidR="00883693" w:rsidRPr="00883693" w:rsidRDefault="00883693" w:rsidP="00D36646">
      <w:pPr>
        <w:spacing w:after="0" w:line="360" w:lineRule="auto"/>
        <w:rPr>
          <w:rFonts w:ascii="Calibri" w:hAnsi="Calibri" w:cs="Calibri"/>
          <w:b/>
          <w:bCs/>
          <w:sz w:val="22"/>
          <w:szCs w:val="22"/>
        </w:rPr>
      </w:pPr>
      <w:r w:rsidRPr="00883693">
        <w:rPr>
          <w:rFonts w:ascii="Calibri" w:hAnsi="Calibri" w:cs="Calibri"/>
          <w:b/>
          <w:bCs/>
          <w:sz w:val="22"/>
          <w:szCs w:val="22"/>
        </w:rPr>
        <w:t>Introduction</w:t>
      </w:r>
    </w:p>
    <w:p w14:paraId="424F4BEA" w14:textId="77777777" w:rsidR="00883693" w:rsidRPr="00883693" w:rsidRDefault="00883693" w:rsidP="00D36646">
      <w:pPr>
        <w:spacing w:after="0" w:line="360" w:lineRule="auto"/>
        <w:jc w:val="both"/>
        <w:rPr>
          <w:rFonts w:ascii="Calibri" w:hAnsi="Calibri" w:cs="Calibri"/>
          <w:sz w:val="22"/>
          <w:szCs w:val="22"/>
        </w:rPr>
      </w:pPr>
      <w:r w:rsidRPr="00883693">
        <w:rPr>
          <w:rFonts w:ascii="Calibri" w:hAnsi="Calibri" w:cs="Calibri"/>
          <w:sz w:val="22"/>
          <w:szCs w:val="22"/>
        </w:rPr>
        <w:t>Person–environment (P–E) fit is a central concept in vocational psychology and career development, referring to the degree of congruence between individuals’ characteristics and the environments in which they study or work. In vocational education and training (VET), achieving a good fit between students’ interests and the characteristics of their chosen programs is particularly important because VET pathways are typically closely aligned with specific occupational trajectories. Previous research suggests that higher levels of congruence are associated with greater satisfaction, persistence, and performance in educational and career contexts. However, empirical research examining determinants of student–program fit in VET remains limited, particularly when considering both subjective and objective indicators of fit and the role of contextual characteristics of educational programs.</w:t>
      </w:r>
    </w:p>
    <w:p w14:paraId="4A186D42" w14:textId="77777777" w:rsidR="00510D01" w:rsidRDefault="00510D01" w:rsidP="00D36646">
      <w:pPr>
        <w:spacing w:after="0" w:line="360" w:lineRule="auto"/>
        <w:rPr>
          <w:rFonts w:ascii="Calibri" w:hAnsi="Calibri" w:cs="Calibri"/>
          <w:b/>
          <w:bCs/>
          <w:sz w:val="22"/>
          <w:szCs w:val="22"/>
        </w:rPr>
      </w:pPr>
    </w:p>
    <w:p w14:paraId="77202559" w14:textId="3DE30A8C" w:rsidR="00883693" w:rsidRPr="00883693" w:rsidRDefault="00883693" w:rsidP="00D36646">
      <w:pPr>
        <w:spacing w:after="0" w:line="360" w:lineRule="auto"/>
        <w:rPr>
          <w:rFonts w:ascii="Calibri" w:hAnsi="Calibri" w:cs="Calibri"/>
          <w:b/>
          <w:bCs/>
          <w:sz w:val="22"/>
          <w:szCs w:val="22"/>
        </w:rPr>
      </w:pPr>
      <w:r w:rsidRPr="00883693">
        <w:rPr>
          <w:rFonts w:ascii="Calibri" w:hAnsi="Calibri" w:cs="Calibri"/>
          <w:b/>
          <w:bCs/>
          <w:sz w:val="22"/>
          <w:szCs w:val="22"/>
        </w:rPr>
        <w:t>Objectives</w:t>
      </w:r>
    </w:p>
    <w:p w14:paraId="2745C344" w14:textId="77777777" w:rsidR="00883693" w:rsidRPr="00883693" w:rsidRDefault="00883693" w:rsidP="00D36646">
      <w:pPr>
        <w:spacing w:after="0" w:line="360" w:lineRule="auto"/>
        <w:jc w:val="both"/>
        <w:rPr>
          <w:rFonts w:ascii="Calibri" w:hAnsi="Calibri" w:cs="Calibri"/>
          <w:sz w:val="22"/>
          <w:szCs w:val="22"/>
        </w:rPr>
      </w:pPr>
      <w:r w:rsidRPr="00883693">
        <w:rPr>
          <w:rFonts w:ascii="Calibri" w:hAnsi="Calibri" w:cs="Calibri"/>
          <w:sz w:val="22"/>
          <w:szCs w:val="22"/>
        </w:rPr>
        <w:t>The present study aims to examine predictors of student–program fit among first-year vocational high school students in Croatia. Specifically, the study investigates how individual student characteristics and program-level contextual factors contribute to differences in perceived and objective indicators of student–program congruence.</w:t>
      </w:r>
    </w:p>
    <w:p w14:paraId="5A90C831" w14:textId="77777777" w:rsidR="00510D01" w:rsidRDefault="00510D01" w:rsidP="00D36646">
      <w:pPr>
        <w:spacing w:after="0" w:line="360" w:lineRule="auto"/>
        <w:rPr>
          <w:rFonts w:ascii="Calibri" w:hAnsi="Calibri" w:cs="Calibri"/>
          <w:b/>
          <w:bCs/>
          <w:sz w:val="22"/>
          <w:szCs w:val="22"/>
        </w:rPr>
      </w:pPr>
    </w:p>
    <w:p w14:paraId="3A60CBF7" w14:textId="262452FF" w:rsidR="00883693" w:rsidRPr="00883693" w:rsidRDefault="00883693" w:rsidP="00D36646">
      <w:pPr>
        <w:spacing w:after="0" w:line="360" w:lineRule="auto"/>
        <w:rPr>
          <w:rFonts w:ascii="Calibri" w:hAnsi="Calibri" w:cs="Calibri"/>
          <w:b/>
          <w:bCs/>
          <w:sz w:val="22"/>
          <w:szCs w:val="22"/>
        </w:rPr>
      </w:pPr>
      <w:r w:rsidRPr="00883693">
        <w:rPr>
          <w:rFonts w:ascii="Calibri" w:hAnsi="Calibri" w:cs="Calibri"/>
          <w:b/>
          <w:bCs/>
          <w:sz w:val="22"/>
          <w:szCs w:val="22"/>
        </w:rPr>
        <w:t>Theoretical Basis</w:t>
      </w:r>
    </w:p>
    <w:p w14:paraId="2E7D886A" w14:textId="77777777" w:rsidR="00883693" w:rsidRPr="00883693" w:rsidRDefault="00883693" w:rsidP="00D36646">
      <w:pPr>
        <w:spacing w:after="0" w:line="360" w:lineRule="auto"/>
        <w:jc w:val="both"/>
        <w:rPr>
          <w:rFonts w:ascii="Calibri" w:hAnsi="Calibri" w:cs="Calibri"/>
          <w:sz w:val="22"/>
          <w:szCs w:val="22"/>
        </w:rPr>
      </w:pPr>
      <w:r w:rsidRPr="00883693">
        <w:rPr>
          <w:rFonts w:ascii="Calibri" w:hAnsi="Calibri" w:cs="Calibri"/>
          <w:sz w:val="22"/>
          <w:szCs w:val="22"/>
        </w:rPr>
        <w:t xml:space="preserve">The study is grounded in Holland’s theory of vocational personalities and work environments, which proposes that individuals seek environments compatible with their vocational interests and personality </w:t>
      </w:r>
      <w:r w:rsidRPr="00883693">
        <w:rPr>
          <w:rFonts w:ascii="Calibri" w:hAnsi="Calibri" w:cs="Calibri"/>
          <w:sz w:val="22"/>
          <w:szCs w:val="22"/>
        </w:rPr>
        <w:lastRenderedPageBreak/>
        <w:t xml:space="preserve">types (Holland, 1997). According to this framework, congruence between individuals’ RIASEC interest profiles and the characteristics of educational or occupational environments facilitates positive educational and career outcomes. Objective indicators of congruence can be calculated by comparing the similarity between interest profiles of individuals and environments using correlation or distance measures (Tracey &amp; Robbins, 2006; Tracey et al., 2012). At the same time, students’ subjective perceptions of </w:t>
      </w:r>
      <w:proofErr w:type="gramStart"/>
      <w:r w:rsidRPr="00883693">
        <w:rPr>
          <w:rFonts w:ascii="Calibri" w:hAnsi="Calibri" w:cs="Calibri"/>
          <w:sz w:val="22"/>
          <w:szCs w:val="22"/>
        </w:rPr>
        <w:t>fit</w:t>
      </w:r>
      <w:proofErr w:type="gramEnd"/>
      <w:r w:rsidRPr="00883693">
        <w:rPr>
          <w:rFonts w:ascii="Calibri" w:hAnsi="Calibri" w:cs="Calibri"/>
          <w:sz w:val="22"/>
          <w:szCs w:val="22"/>
        </w:rPr>
        <w:t xml:space="preserve"> may reflect motivational and psychological processes associated with career decision-making and adjustment to educational contexts.</w:t>
      </w:r>
    </w:p>
    <w:p w14:paraId="6754DE5A" w14:textId="77777777" w:rsidR="00510D01" w:rsidRDefault="00510D01" w:rsidP="00D36646">
      <w:pPr>
        <w:spacing w:after="0" w:line="360" w:lineRule="auto"/>
        <w:rPr>
          <w:rFonts w:ascii="Calibri" w:hAnsi="Calibri" w:cs="Calibri"/>
          <w:b/>
          <w:bCs/>
          <w:sz w:val="22"/>
          <w:szCs w:val="22"/>
        </w:rPr>
      </w:pPr>
    </w:p>
    <w:p w14:paraId="20E72180" w14:textId="1A270E1B" w:rsidR="00883693" w:rsidRPr="00883693" w:rsidRDefault="00883693" w:rsidP="00D36646">
      <w:pPr>
        <w:spacing w:after="0" w:line="360" w:lineRule="auto"/>
        <w:rPr>
          <w:rFonts w:ascii="Calibri" w:hAnsi="Calibri" w:cs="Calibri"/>
          <w:b/>
          <w:bCs/>
          <w:sz w:val="22"/>
          <w:szCs w:val="22"/>
        </w:rPr>
      </w:pPr>
      <w:r w:rsidRPr="00883693">
        <w:rPr>
          <w:rFonts w:ascii="Calibri" w:hAnsi="Calibri" w:cs="Calibri"/>
          <w:b/>
          <w:bCs/>
          <w:sz w:val="22"/>
          <w:szCs w:val="22"/>
        </w:rPr>
        <w:t>Methodology</w:t>
      </w:r>
    </w:p>
    <w:p w14:paraId="5DFD00EB" w14:textId="77777777" w:rsidR="00883693" w:rsidRPr="00883693" w:rsidRDefault="00883693" w:rsidP="00D36646">
      <w:pPr>
        <w:spacing w:after="0" w:line="360" w:lineRule="auto"/>
        <w:jc w:val="both"/>
        <w:rPr>
          <w:rFonts w:ascii="Calibri" w:hAnsi="Calibri" w:cs="Calibri"/>
          <w:sz w:val="22"/>
          <w:szCs w:val="22"/>
        </w:rPr>
      </w:pPr>
      <w:r w:rsidRPr="00883693">
        <w:rPr>
          <w:rFonts w:ascii="Calibri" w:hAnsi="Calibri" w:cs="Calibri"/>
          <w:sz w:val="22"/>
          <w:szCs w:val="22"/>
        </w:rPr>
        <w:t xml:space="preserve">The study was conducted within the </w:t>
      </w:r>
      <w:proofErr w:type="spellStart"/>
      <w:r w:rsidRPr="00883693">
        <w:rPr>
          <w:rFonts w:ascii="Calibri" w:hAnsi="Calibri" w:cs="Calibri"/>
          <w:sz w:val="22"/>
          <w:szCs w:val="22"/>
        </w:rPr>
        <w:t>VETfit</w:t>
      </w:r>
      <w:proofErr w:type="spellEnd"/>
      <w:r w:rsidRPr="00883693">
        <w:rPr>
          <w:rFonts w:ascii="Calibri" w:hAnsi="Calibri" w:cs="Calibri"/>
          <w:sz w:val="22"/>
          <w:szCs w:val="22"/>
        </w:rPr>
        <w:t xml:space="preserve"> project, a longitudinal research initiative examining person–environment congruence among vocational students. The present analysis is based on the first wave of data collected at the beginning of the 2024/2025 school year. The sample consisted of 1,182 first-year VET students (Mage = 16) enrolled in 72 vocational programs across 19 vocational high schools in Croatia.</w:t>
      </w:r>
    </w:p>
    <w:p w14:paraId="4E1913E8" w14:textId="77777777" w:rsidR="00883693" w:rsidRPr="00883693" w:rsidRDefault="00883693" w:rsidP="00D36646">
      <w:pPr>
        <w:spacing w:after="0" w:line="360" w:lineRule="auto"/>
        <w:ind w:firstLine="720"/>
        <w:jc w:val="both"/>
        <w:rPr>
          <w:rFonts w:ascii="Calibri" w:hAnsi="Calibri" w:cs="Calibri"/>
          <w:sz w:val="22"/>
          <w:szCs w:val="22"/>
        </w:rPr>
      </w:pPr>
      <w:r w:rsidRPr="00883693">
        <w:rPr>
          <w:rFonts w:ascii="Calibri" w:hAnsi="Calibri" w:cs="Calibri"/>
          <w:sz w:val="22"/>
          <w:szCs w:val="22"/>
        </w:rPr>
        <w:t>Three indicators of student–program fit were examined. Perceived fit was measured using a four-item scale assessing students’ subjective perceptions of congruence between their characteristics (e.g., interests, skills, and personality) and the characteristics of their enrolled program. Objective fit was operationalized using two indices derived from Holland’s RIASEC interest model. Students’ vocational interests were assessed using the Personal Globe Inventory–Short (Tracey, 2010), while program interest profiles were derived from occupational interest profiles based on the O*NET database. Two objective indices were calculated: the correlation index, capturing similarity between student and program interest profiles, and Euclidean distance, representing structural distance between profiles (Tracey &amp; Robbins, 2006).</w:t>
      </w:r>
    </w:p>
    <w:p w14:paraId="331D91A2" w14:textId="77777777" w:rsidR="00883693" w:rsidRPr="00883693" w:rsidRDefault="00883693" w:rsidP="00510D01">
      <w:pPr>
        <w:spacing w:after="0" w:line="360" w:lineRule="auto"/>
        <w:ind w:firstLine="720"/>
        <w:jc w:val="both"/>
        <w:rPr>
          <w:rFonts w:ascii="Calibri" w:hAnsi="Calibri" w:cs="Calibri"/>
          <w:sz w:val="22"/>
          <w:szCs w:val="22"/>
        </w:rPr>
      </w:pPr>
      <w:r w:rsidRPr="00883693">
        <w:rPr>
          <w:rFonts w:ascii="Calibri" w:hAnsi="Calibri" w:cs="Calibri"/>
          <w:sz w:val="22"/>
          <w:szCs w:val="22"/>
        </w:rPr>
        <w:t>Student-level predictors included gender, primary school grade point average (GPA), whether the enrolled program was the student’s first choice, and three dimensions of career decision-making agency (readiness-confidence, autonomy, and disengagement). Program-level predictors included gender composition, average GPA of enrolled students, and program popularity derived from national administrative data. Multilevel linear modeling was applied to account for the hierarchical structure of the data, with students nested within vocational programs.</w:t>
      </w:r>
    </w:p>
    <w:p w14:paraId="02C351D5" w14:textId="77777777" w:rsidR="00510D01" w:rsidRDefault="00510D01" w:rsidP="00D36646">
      <w:pPr>
        <w:spacing w:after="0" w:line="360" w:lineRule="auto"/>
        <w:rPr>
          <w:rFonts w:ascii="Calibri" w:hAnsi="Calibri" w:cs="Calibri"/>
          <w:b/>
          <w:bCs/>
          <w:sz w:val="22"/>
          <w:szCs w:val="22"/>
        </w:rPr>
      </w:pPr>
    </w:p>
    <w:p w14:paraId="1068D257" w14:textId="5B590FE3" w:rsidR="00883693" w:rsidRPr="00883693" w:rsidRDefault="00883693" w:rsidP="00D36646">
      <w:pPr>
        <w:spacing w:after="0" w:line="360" w:lineRule="auto"/>
        <w:rPr>
          <w:rFonts w:ascii="Calibri" w:hAnsi="Calibri" w:cs="Calibri"/>
          <w:b/>
          <w:bCs/>
          <w:sz w:val="22"/>
          <w:szCs w:val="22"/>
        </w:rPr>
      </w:pPr>
      <w:r w:rsidRPr="00883693">
        <w:rPr>
          <w:rFonts w:ascii="Calibri" w:hAnsi="Calibri" w:cs="Calibri"/>
          <w:b/>
          <w:bCs/>
          <w:sz w:val="22"/>
          <w:szCs w:val="22"/>
        </w:rPr>
        <w:t>Results</w:t>
      </w:r>
    </w:p>
    <w:p w14:paraId="205A08F5" w14:textId="77777777" w:rsidR="00883693" w:rsidRPr="00883693" w:rsidRDefault="00883693" w:rsidP="00D36646">
      <w:pPr>
        <w:spacing w:after="0" w:line="360" w:lineRule="auto"/>
        <w:jc w:val="both"/>
        <w:rPr>
          <w:rFonts w:ascii="Calibri" w:hAnsi="Calibri" w:cs="Calibri"/>
          <w:sz w:val="22"/>
          <w:szCs w:val="22"/>
        </w:rPr>
      </w:pPr>
      <w:r w:rsidRPr="00883693">
        <w:rPr>
          <w:rFonts w:ascii="Calibri" w:hAnsi="Calibri" w:cs="Calibri"/>
          <w:sz w:val="22"/>
          <w:szCs w:val="22"/>
        </w:rPr>
        <w:t xml:space="preserve">Preliminary analyses indicated that a substantial proportion of variance in student–program fit was attributable to differences between vocational programs. Intraclass correlation coefficients showed that </w:t>
      </w:r>
      <w:r w:rsidRPr="00883693">
        <w:rPr>
          <w:rFonts w:ascii="Calibri" w:hAnsi="Calibri" w:cs="Calibri"/>
          <w:sz w:val="22"/>
          <w:szCs w:val="22"/>
        </w:rPr>
        <w:lastRenderedPageBreak/>
        <w:t>12.7% of variance in perceived fit and more than one-third of variance in objective fit indices were explained by program-level differences.</w:t>
      </w:r>
    </w:p>
    <w:p w14:paraId="39165F11" w14:textId="77777777" w:rsidR="00883693" w:rsidRPr="00883693" w:rsidRDefault="00883693" w:rsidP="007033A4">
      <w:pPr>
        <w:spacing w:after="0" w:line="360" w:lineRule="auto"/>
        <w:ind w:firstLine="720"/>
        <w:jc w:val="both"/>
        <w:rPr>
          <w:rFonts w:ascii="Calibri" w:hAnsi="Calibri" w:cs="Calibri"/>
          <w:sz w:val="22"/>
          <w:szCs w:val="22"/>
        </w:rPr>
      </w:pPr>
      <w:r w:rsidRPr="00883693">
        <w:rPr>
          <w:rFonts w:ascii="Calibri" w:hAnsi="Calibri" w:cs="Calibri"/>
          <w:sz w:val="22"/>
          <w:szCs w:val="22"/>
        </w:rPr>
        <w:t xml:space="preserve">At the student level, higher primary school GPA was consistently associated with higher perceived and objective fit. Positive aspects of career decision-making agency were particularly relevant for perceived fit: students reporting higher readiness and confidence in their career decisions, as well as greater autonomy, perceived stronger congruence with their chosen program, whereas disengagement was negatively associated with perceived fit. Gender differences were observed only for objective indicators of </w:t>
      </w:r>
      <w:proofErr w:type="gramStart"/>
      <w:r w:rsidRPr="00883693">
        <w:rPr>
          <w:rFonts w:ascii="Calibri" w:hAnsi="Calibri" w:cs="Calibri"/>
          <w:sz w:val="22"/>
          <w:szCs w:val="22"/>
        </w:rPr>
        <w:t>fit</w:t>
      </w:r>
      <w:proofErr w:type="gramEnd"/>
      <w:r w:rsidRPr="00883693">
        <w:rPr>
          <w:rFonts w:ascii="Calibri" w:hAnsi="Calibri" w:cs="Calibri"/>
          <w:sz w:val="22"/>
          <w:szCs w:val="22"/>
        </w:rPr>
        <w:t>, with boys demonstrating higher congruence between their interest profiles and program characteristics. In addition, students enrolled in their first-choice program showed higher objective fit when measured using Euclidean distance.</w:t>
      </w:r>
    </w:p>
    <w:p w14:paraId="2A49F4A1" w14:textId="77777777" w:rsidR="00883693" w:rsidRPr="00883693" w:rsidRDefault="00883693" w:rsidP="007033A4">
      <w:pPr>
        <w:spacing w:after="0" w:line="360" w:lineRule="auto"/>
        <w:ind w:firstLine="720"/>
        <w:jc w:val="both"/>
        <w:rPr>
          <w:rFonts w:ascii="Calibri" w:hAnsi="Calibri" w:cs="Calibri"/>
          <w:sz w:val="22"/>
          <w:szCs w:val="22"/>
        </w:rPr>
      </w:pPr>
      <w:r w:rsidRPr="00883693">
        <w:rPr>
          <w:rFonts w:ascii="Calibri" w:hAnsi="Calibri" w:cs="Calibri"/>
          <w:sz w:val="22"/>
          <w:szCs w:val="22"/>
        </w:rPr>
        <w:t>At the program level, programs enrolling students with higher average GPA showed higher levels of perceived fit. Objective fit varied depending on program characteristics: programs with a higher proportion of boys exhibited higher objective fit according to the correlation index, while students in more popular programs demonstrated higher objective fit according to Euclidean distance.</w:t>
      </w:r>
    </w:p>
    <w:p w14:paraId="272541C6" w14:textId="77777777" w:rsidR="00510D01" w:rsidRDefault="00510D01" w:rsidP="00D36646">
      <w:pPr>
        <w:spacing w:after="0" w:line="360" w:lineRule="auto"/>
        <w:rPr>
          <w:rFonts w:ascii="Calibri" w:hAnsi="Calibri" w:cs="Calibri"/>
          <w:b/>
          <w:bCs/>
          <w:sz w:val="22"/>
          <w:szCs w:val="22"/>
        </w:rPr>
      </w:pPr>
    </w:p>
    <w:p w14:paraId="723A9C14" w14:textId="2B6A46A7" w:rsidR="00883693" w:rsidRPr="00883693" w:rsidRDefault="00883693" w:rsidP="00D36646">
      <w:pPr>
        <w:spacing w:after="0" w:line="360" w:lineRule="auto"/>
        <w:rPr>
          <w:rFonts w:ascii="Calibri" w:hAnsi="Calibri" w:cs="Calibri"/>
          <w:b/>
          <w:bCs/>
          <w:sz w:val="22"/>
          <w:szCs w:val="22"/>
        </w:rPr>
      </w:pPr>
      <w:r w:rsidRPr="00883693">
        <w:rPr>
          <w:rFonts w:ascii="Calibri" w:hAnsi="Calibri" w:cs="Calibri"/>
          <w:b/>
          <w:bCs/>
          <w:sz w:val="22"/>
          <w:szCs w:val="22"/>
        </w:rPr>
        <w:t>Conclusions</w:t>
      </w:r>
    </w:p>
    <w:p w14:paraId="4D829211" w14:textId="77777777" w:rsidR="00883693" w:rsidRPr="00883693" w:rsidRDefault="00883693" w:rsidP="00D36646">
      <w:pPr>
        <w:spacing w:after="0" w:line="360" w:lineRule="auto"/>
        <w:jc w:val="both"/>
        <w:rPr>
          <w:rFonts w:ascii="Calibri" w:hAnsi="Calibri" w:cs="Calibri"/>
          <w:sz w:val="22"/>
          <w:szCs w:val="22"/>
        </w:rPr>
      </w:pPr>
      <w:r w:rsidRPr="00883693">
        <w:rPr>
          <w:rFonts w:ascii="Calibri" w:hAnsi="Calibri" w:cs="Calibri"/>
          <w:sz w:val="22"/>
          <w:szCs w:val="22"/>
        </w:rPr>
        <w:t>The findings highlight the importance of considering both individual and contextual determinants of student–program fit in vocational education. Students’ academic achievement and proactive engagement in career decision-making appear to play a key role in shaping perceptions of congruence with vocational pathways. At the same time, structural characteristics of vocational programs contribute to differences in objective fit across educational contexts. These findings have practical implications for career guidance and educational policy aimed at improving alignment between students’ vocational interests and educational choices.</w:t>
      </w:r>
    </w:p>
    <w:p w14:paraId="443E9529" w14:textId="77777777" w:rsidR="007033A4" w:rsidRDefault="007033A4" w:rsidP="007033A4">
      <w:pPr>
        <w:rPr>
          <w:rFonts w:ascii="Calibri" w:eastAsia="Aptos" w:hAnsi="Calibri" w:cs="Calibri"/>
          <w:color w:val="000000"/>
          <w:sz w:val="22"/>
          <w:szCs w:val="22"/>
        </w:rPr>
      </w:pPr>
    </w:p>
    <w:p w14:paraId="2AC53B58" w14:textId="77777777" w:rsidR="00510D01" w:rsidRDefault="00510D01">
      <w:pPr>
        <w:rPr>
          <w:rFonts w:ascii="Calibri" w:eastAsia="Aptos" w:hAnsi="Calibri" w:cs="Calibri"/>
          <w:color w:val="000000"/>
          <w:sz w:val="22"/>
          <w:szCs w:val="22"/>
        </w:rPr>
      </w:pPr>
      <w:r>
        <w:rPr>
          <w:rFonts w:ascii="Calibri" w:eastAsia="Aptos" w:hAnsi="Calibri" w:cs="Calibri"/>
          <w:color w:val="000000"/>
          <w:sz w:val="22"/>
          <w:szCs w:val="22"/>
        </w:rPr>
        <w:br w:type="page"/>
      </w:r>
    </w:p>
    <w:p w14:paraId="5F256674" w14:textId="6F240987" w:rsidR="007033A4" w:rsidRPr="007033A4" w:rsidRDefault="007033A4" w:rsidP="007033A4">
      <w:pPr>
        <w:rPr>
          <w:rFonts w:ascii="Calibri" w:eastAsia="Aptos" w:hAnsi="Calibri" w:cs="Calibri"/>
          <w:color w:val="000000"/>
          <w:sz w:val="22"/>
          <w:szCs w:val="22"/>
        </w:rPr>
      </w:pPr>
      <w:r w:rsidRPr="007033A4">
        <w:rPr>
          <w:rFonts w:ascii="Calibri" w:eastAsia="Aptos" w:hAnsi="Calibri" w:cs="Calibri"/>
          <w:color w:val="000000"/>
          <w:sz w:val="22"/>
          <w:szCs w:val="22"/>
        </w:rPr>
        <w:lastRenderedPageBreak/>
        <w:t xml:space="preserve">Table </w:t>
      </w:r>
      <w:r w:rsidR="00E833DD">
        <w:rPr>
          <w:rFonts w:ascii="Calibri" w:eastAsia="Aptos" w:hAnsi="Calibri" w:cs="Calibri"/>
          <w:color w:val="000000"/>
          <w:sz w:val="22"/>
          <w:szCs w:val="22"/>
        </w:rPr>
        <w:t>1</w:t>
      </w:r>
      <w:r w:rsidRPr="007033A4">
        <w:rPr>
          <w:rFonts w:ascii="Calibri" w:eastAsia="Aptos" w:hAnsi="Calibri" w:cs="Calibri"/>
          <w:color w:val="000000"/>
          <w:sz w:val="22"/>
          <w:szCs w:val="22"/>
        </w:rPr>
        <w:t>.</w:t>
      </w:r>
    </w:p>
    <w:p w14:paraId="38D86AF3" w14:textId="77777777" w:rsidR="007033A4" w:rsidRPr="007033A4" w:rsidRDefault="007033A4" w:rsidP="007033A4">
      <w:pPr>
        <w:jc w:val="both"/>
        <w:rPr>
          <w:rFonts w:ascii="Calibri" w:eastAsia="Aptos" w:hAnsi="Calibri" w:cs="Calibri"/>
          <w:color w:val="000000"/>
          <w:sz w:val="22"/>
          <w:szCs w:val="22"/>
        </w:rPr>
      </w:pPr>
      <w:r w:rsidRPr="007033A4">
        <w:rPr>
          <w:rFonts w:ascii="Calibri" w:eastAsia="Aptos" w:hAnsi="Calibri" w:cs="Calibri"/>
          <w:color w:val="000000"/>
          <w:sz w:val="22"/>
          <w:szCs w:val="22"/>
        </w:rPr>
        <w:t>Standardized estimates and standard errors from multilevel analyses of models predicting different fit indices</w:t>
      </w:r>
    </w:p>
    <w:tbl>
      <w:tblPr>
        <w:tblStyle w:val="TableGrid1"/>
        <w:tblW w:w="5423" w:type="pct"/>
        <w:tblInd w:w="-3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955"/>
        <w:gridCol w:w="955"/>
        <w:gridCol w:w="956"/>
        <w:gridCol w:w="954"/>
        <w:gridCol w:w="954"/>
        <w:gridCol w:w="956"/>
        <w:gridCol w:w="954"/>
        <w:gridCol w:w="954"/>
        <w:gridCol w:w="954"/>
      </w:tblGrid>
      <w:tr w:rsidR="007033A4" w:rsidRPr="007033A4" w14:paraId="4749C536" w14:textId="77777777" w:rsidTr="007033A4">
        <w:trPr>
          <w:trHeight w:val="441"/>
        </w:trPr>
        <w:tc>
          <w:tcPr>
            <w:tcW w:w="768" w:type="pct"/>
            <w:tcBorders>
              <w:top w:val="single" w:sz="4" w:space="0" w:color="auto"/>
              <w:bottom w:val="single" w:sz="4" w:space="0" w:color="auto"/>
            </w:tcBorders>
          </w:tcPr>
          <w:p w14:paraId="618BBAF3" w14:textId="77777777" w:rsidR="007033A4" w:rsidRPr="007033A4" w:rsidRDefault="007033A4" w:rsidP="007033A4">
            <w:pPr>
              <w:rPr>
                <w:rFonts w:ascii="Calibri" w:eastAsia="Aptos" w:hAnsi="Calibri" w:cs="Calibri"/>
                <w:i/>
                <w:iCs/>
                <w:color w:val="000000"/>
                <w:sz w:val="20"/>
                <w:szCs w:val="20"/>
              </w:rPr>
            </w:pPr>
          </w:p>
        </w:tc>
        <w:tc>
          <w:tcPr>
            <w:tcW w:w="1411" w:type="pct"/>
            <w:gridSpan w:val="3"/>
            <w:vAlign w:val="center"/>
          </w:tcPr>
          <w:p w14:paraId="488FF1D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Model 1: Perceived fit index</w:t>
            </w:r>
          </w:p>
        </w:tc>
        <w:tc>
          <w:tcPr>
            <w:tcW w:w="1411" w:type="pct"/>
            <w:gridSpan w:val="3"/>
            <w:vAlign w:val="center"/>
          </w:tcPr>
          <w:p w14:paraId="553D9EB8"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Model 2: Correlation index</w:t>
            </w:r>
          </w:p>
        </w:tc>
        <w:tc>
          <w:tcPr>
            <w:tcW w:w="1411" w:type="pct"/>
            <w:gridSpan w:val="3"/>
            <w:vAlign w:val="center"/>
          </w:tcPr>
          <w:p w14:paraId="37FEDBFA"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Model 3: Euclid distance index</w:t>
            </w:r>
          </w:p>
        </w:tc>
      </w:tr>
      <w:tr w:rsidR="007033A4" w:rsidRPr="007033A4" w14:paraId="41D36DB4" w14:textId="77777777" w:rsidTr="007033A4">
        <w:trPr>
          <w:trHeight w:val="454"/>
        </w:trPr>
        <w:tc>
          <w:tcPr>
            <w:tcW w:w="768" w:type="pct"/>
            <w:tcBorders>
              <w:top w:val="single" w:sz="4" w:space="0" w:color="auto"/>
              <w:bottom w:val="single" w:sz="4" w:space="0" w:color="auto"/>
            </w:tcBorders>
          </w:tcPr>
          <w:p w14:paraId="741F75B7" w14:textId="77777777" w:rsidR="007033A4" w:rsidRPr="007033A4" w:rsidRDefault="007033A4" w:rsidP="007033A4">
            <w:pPr>
              <w:rPr>
                <w:rFonts w:ascii="Calibri" w:eastAsia="Aptos" w:hAnsi="Calibri" w:cs="Calibri"/>
                <w:i/>
                <w:iCs/>
                <w:color w:val="000000"/>
                <w:sz w:val="20"/>
                <w:szCs w:val="20"/>
              </w:rPr>
            </w:pPr>
          </w:p>
        </w:tc>
        <w:tc>
          <w:tcPr>
            <w:tcW w:w="470" w:type="pct"/>
            <w:tcBorders>
              <w:top w:val="single" w:sz="4" w:space="0" w:color="auto"/>
              <w:bottom w:val="single" w:sz="4" w:space="0" w:color="auto"/>
            </w:tcBorders>
            <w:vAlign w:val="center"/>
          </w:tcPr>
          <w:p w14:paraId="75F3EA28"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Estimate</w:t>
            </w:r>
          </w:p>
        </w:tc>
        <w:tc>
          <w:tcPr>
            <w:tcW w:w="470" w:type="pct"/>
            <w:tcBorders>
              <w:top w:val="single" w:sz="4" w:space="0" w:color="auto"/>
              <w:bottom w:val="single" w:sz="4" w:space="0" w:color="auto"/>
            </w:tcBorders>
            <w:vAlign w:val="center"/>
          </w:tcPr>
          <w:p w14:paraId="296B0A53"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SE</w:t>
            </w:r>
          </w:p>
        </w:tc>
        <w:tc>
          <w:tcPr>
            <w:tcW w:w="470" w:type="pct"/>
            <w:tcBorders>
              <w:top w:val="single" w:sz="4" w:space="0" w:color="auto"/>
              <w:bottom w:val="single" w:sz="4" w:space="0" w:color="auto"/>
            </w:tcBorders>
            <w:vAlign w:val="center"/>
          </w:tcPr>
          <w:p w14:paraId="0A77ED7E"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β</w:t>
            </w:r>
          </w:p>
        </w:tc>
        <w:tc>
          <w:tcPr>
            <w:tcW w:w="470" w:type="pct"/>
            <w:tcBorders>
              <w:top w:val="single" w:sz="4" w:space="0" w:color="auto"/>
              <w:bottom w:val="single" w:sz="4" w:space="0" w:color="auto"/>
            </w:tcBorders>
            <w:vAlign w:val="center"/>
          </w:tcPr>
          <w:p w14:paraId="35DEBE5C"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Estimate</w:t>
            </w:r>
          </w:p>
        </w:tc>
        <w:tc>
          <w:tcPr>
            <w:tcW w:w="470" w:type="pct"/>
            <w:tcBorders>
              <w:top w:val="single" w:sz="4" w:space="0" w:color="auto"/>
              <w:bottom w:val="single" w:sz="4" w:space="0" w:color="auto"/>
            </w:tcBorders>
            <w:vAlign w:val="center"/>
          </w:tcPr>
          <w:p w14:paraId="3D39A31E"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SE</w:t>
            </w:r>
          </w:p>
        </w:tc>
        <w:tc>
          <w:tcPr>
            <w:tcW w:w="470" w:type="pct"/>
            <w:tcBorders>
              <w:top w:val="single" w:sz="4" w:space="0" w:color="auto"/>
              <w:bottom w:val="single" w:sz="4" w:space="0" w:color="auto"/>
            </w:tcBorders>
            <w:vAlign w:val="center"/>
          </w:tcPr>
          <w:p w14:paraId="67338B9D"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β</w:t>
            </w:r>
          </w:p>
        </w:tc>
        <w:tc>
          <w:tcPr>
            <w:tcW w:w="470" w:type="pct"/>
            <w:tcBorders>
              <w:top w:val="single" w:sz="4" w:space="0" w:color="auto"/>
              <w:bottom w:val="single" w:sz="4" w:space="0" w:color="auto"/>
            </w:tcBorders>
            <w:vAlign w:val="center"/>
          </w:tcPr>
          <w:p w14:paraId="3F7FFE72"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Estimate</w:t>
            </w:r>
          </w:p>
        </w:tc>
        <w:tc>
          <w:tcPr>
            <w:tcW w:w="470" w:type="pct"/>
            <w:tcBorders>
              <w:top w:val="single" w:sz="4" w:space="0" w:color="auto"/>
              <w:bottom w:val="single" w:sz="4" w:space="0" w:color="auto"/>
            </w:tcBorders>
            <w:vAlign w:val="center"/>
          </w:tcPr>
          <w:p w14:paraId="2C513149"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SE</w:t>
            </w:r>
          </w:p>
        </w:tc>
        <w:tc>
          <w:tcPr>
            <w:tcW w:w="470" w:type="pct"/>
            <w:tcBorders>
              <w:top w:val="single" w:sz="4" w:space="0" w:color="auto"/>
              <w:bottom w:val="single" w:sz="4" w:space="0" w:color="auto"/>
            </w:tcBorders>
            <w:vAlign w:val="center"/>
          </w:tcPr>
          <w:p w14:paraId="41DC7724"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β</w:t>
            </w:r>
          </w:p>
        </w:tc>
      </w:tr>
      <w:tr w:rsidR="007033A4" w:rsidRPr="007033A4" w14:paraId="0EDB5987" w14:textId="77777777" w:rsidTr="007033A4">
        <w:trPr>
          <w:trHeight w:val="20"/>
        </w:trPr>
        <w:tc>
          <w:tcPr>
            <w:tcW w:w="768" w:type="pct"/>
            <w:tcBorders>
              <w:top w:val="single" w:sz="4" w:space="0" w:color="auto"/>
            </w:tcBorders>
          </w:tcPr>
          <w:p w14:paraId="6724731F" w14:textId="77777777" w:rsidR="007033A4" w:rsidRPr="007033A4" w:rsidRDefault="007033A4" w:rsidP="007033A4">
            <w:pPr>
              <w:rPr>
                <w:rFonts w:ascii="Calibri" w:eastAsia="Aptos" w:hAnsi="Calibri" w:cs="Calibri"/>
                <w:i/>
                <w:iCs/>
                <w:color w:val="000000"/>
                <w:sz w:val="20"/>
                <w:szCs w:val="20"/>
              </w:rPr>
            </w:pPr>
            <w:r w:rsidRPr="007033A4">
              <w:rPr>
                <w:rFonts w:ascii="Calibri" w:eastAsia="Aptos" w:hAnsi="Calibri" w:cs="Calibri"/>
                <w:i/>
                <w:iCs/>
                <w:color w:val="000000"/>
                <w:sz w:val="20"/>
                <w:szCs w:val="20"/>
              </w:rPr>
              <w:t>Student level predictors</w:t>
            </w:r>
          </w:p>
        </w:tc>
        <w:tc>
          <w:tcPr>
            <w:tcW w:w="470" w:type="pct"/>
            <w:tcBorders>
              <w:top w:val="single" w:sz="4" w:space="0" w:color="auto"/>
            </w:tcBorders>
            <w:vAlign w:val="center"/>
          </w:tcPr>
          <w:p w14:paraId="7C615934" w14:textId="77777777" w:rsidR="007033A4" w:rsidRPr="007033A4" w:rsidRDefault="007033A4" w:rsidP="007033A4">
            <w:pPr>
              <w:jc w:val="center"/>
              <w:rPr>
                <w:rFonts w:ascii="Calibri" w:eastAsia="Aptos" w:hAnsi="Calibri" w:cs="Calibri"/>
                <w:color w:val="000000"/>
                <w:sz w:val="20"/>
                <w:szCs w:val="20"/>
              </w:rPr>
            </w:pPr>
          </w:p>
        </w:tc>
        <w:tc>
          <w:tcPr>
            <w:tcW w:w="470" w:type="pct"/>
            <w:tcBorders>
              <w:top w:val="single" w:sz="4" w:space="0" w:color="auto"/>
            </w:tcBorders>
            <w:vAlign w:val="center"/>
          </w:tcPr>
          <w:p w14:paraId="3DA82424" w14:textId="77777777" w:rsidR="007033A4" w:rsidRPr="007033A4" w:rsidRDefault="007033A4" w:rsidP="007033A4">
            <w:pPr>
              <w:jc w:val="center"/>
              <w:rPr>
                <w:rFonts w:ascii="Calibri" w:eastAsia="Aptos" w:hAnsi="Calibri" w:cs="Calibri"/>
                <w:color w:val="000000"/>
                <w:sz w:val="20"/>
                <w:szCs w:val="20"/>
              </w:rPr>
            </w:pPr>
          </w:p>
        </w:tc>
        <w:tc>
          <w:tcPr>
            <w:tcW w:w="470" w:type="pct"/>
            <w:tcBorders>
              <w:top w:val="single" w:sz="4" w:space="0" w:color="auto"/>
            </w:tcBorders>
            <w:vAlign w:val="center"/>
          </w:tcPr>
          <w:p w14:paraId="767F437B" w14:textId="77777777" w:rsidR="007033A4" w:rsidRPr="007033A4" w:rsidRDefault="007033A4" w:rsidP="007033A4">
            <w:pPr>
              <w:jc w:val="center"/>
              <w:rPr>
                <w:rFonts w:ascii="Calibri" w:eastAsia="Aptos" w:hAnsi="Calibri" w:cs="Calibri"/>
                <w:color w:val="000000"/>
                <w:sz w:val="20"/>
                <w:szCs w:val="20"/>
              </w:rPr>
            </w:pPr>
          </w:p>
        </w:tc>
        <w:tc>
          <w:tcPr>
            <w:tcW w:w="470" w:type="pct"/>
            <w:tcBorders>
              <w:top w:val="single" w:sz="4" w:space="0" w:color="auto"/>
            </w:tcBorders>
            <w:vAlign w:val="center"/>
          </w:tcPr>
          <w:p w14:paraId="0B4CADB0" w14:textId="77777777" w:rsidR="007033A4" w:rsidRPr="007033A4" w:rsidRDefault="007033A4" w:rsidP="007033A4">
            <w:pPr>
              <w:jc w:val="center"/>
              <w:rPr>
                <w:rFonts w:ascii="Calibri" w:eastAsia="Aptos" w:hAnsi="Calibri" w:cs="Calibri"/>
                <w:color w:val="000000"/>
                <w:sz w:val="20"/>
                <w:szCs w:val="20"/>
              </w:rPr>
            </w:pPr>
          </w:p>
        </w:tc>
        <w:tc>
          <w:tcPr>
            <w:tcW w:w="470" w:type="pct"/>
            <w:tcBorders>
              <w:top w:val="single" w:sz="4" w:space="0" w:color="auto"/>
            </w:tcBorders>
            <w:vAlign w:val="center"/>
          </w:tcPr>
          <w:p w14:paraId="17AFF0E9" w14:textId="77777777" w:rsidR="007033A4" w:rsidRPr="007033A4" w:rsidRDefault="007033A4" w:rsidP="007033A4">
            <w:pPr>
              <w:jc w:val="center"/>
              <w:rPr>
                <w:rFonts w:ascii="Calibri" w:eastAsia="Aptos" w:hAnsi="Calibri" w:cs="Calibri"/>
                <w:color w:val="000000"/>
                <w:sz w:val="20"/>
                <w:szCs w:val="20"/>
              </w:rPr>
            </w:pPr>
          </w:p>
        </w:tc>
        <w:tc>
          <w:tcPr>
            <w:tcW w:w="470" w:type="pct"/>
            <w:tcBorders>
              <w:top w:val="single" w:sz="4" w:space="0" w:color="auto"/>
            </w:tcBorders>
            <w:vAlign w:val="center"/>
          </w:tcPr>
          <w:p w14:paraId="53B9E86B" w14:textId="77777777" w:rsidR="007033A4" w:rsidRPr="007033A4" w:rsidRDefault="007033A4" w:rsidP="007033A4">
            <w:pPr>
              <w:jc w:val="center"/>
              <w:rPr>
                <w:rFonts w:ascii="Calibri" w:eastAsia="Aptos" w:hAnsi="Calibri" w:cs="Calibri"/>
                <w:color w:val="000000"/>
                <w:sz w:val="20"/>
                <w:szCs w:val="20"/>
              </w:rPr>
            </w:pPr>
          </w:p>
        </w:tc>
        <w:tc>
          <w:tcPr>
            <w:tcW w:w="470" w:type="pct"/>
            <w:tcBorders>
              <w:top w:val="single" w:sz="4" w:space="0" w:color="auto"/>
            </w:tcBorders>
            <w:vAlign w:val="center"/>
          </w:tcPr>
          <w:p w14:paraId="1E163F8B" w14:textId="77777777" w:rsidR="007033A4" w:rsidRPr="007033A4" w:rsidRDefault="007033A4" w:rsidP="007033A4">
            <w:pPr>
              <w:jc w:val="center"/>
              <w:rPr>
                <w:rFonts w:ascii="Calibri" w:eastAsia="Aptos" w:hAnsi="Calibri" w:cs="Calibri"/>
                <w:color w:val="000000"/>
                <w:sz w:val="20"/>
                <w:szCs w:val="20"/>
              </w:rPr>
            </w:pPr>
          </w:p>
        </w:tc>
        <w:tc>
          <w:tcPr>
            <w:tcW w:w="470" w:type="pct"/>
            <w:tcBorders>
              <w:top w:val="single" w:sz="4" w:space="0" w:color="auto"/>
            </w:tcBorders>
            <w:vAlign w:val="center"/>
          </w:tcPr>
          <w:p w14:paraId="569075D6" w14:textId="77777777" w:rsidR="007033A4" w:rsidRPr="007033A4" w:rsidRDefault="007033A4" w:rsidP="007033A4">
            <w:pPr>
              <w:jc w:val="center"/>
              <w:rPr>
                <w:rFonts w:ascii="Calibri" w:eastAsia="Aptos" w:hAnsi="Calibri" w:cs="Calibri"/>
                <w:color w:val="000000"/>
                <w:sz w:val="20"/>
                <w:szCs w:val="20"/>
              </w:rPr>
            </w:pPr>
          </w:p>
        </w:tc>
        <w:tc>
          <w:tcPr>
            <w:tcW w:w="470" w:type="pct"/>
            <w:tcBorders>
              <w:top w:val="single" w:sz="4" w:space="0" w:color="auto"/>
            </w:tcBorders>
            <w:vAlign w:val="center"/>
          </w:tcPr>
          <w:p w14:paraId="7F057160" w14:textId="77777777" w:rsidR="007033A4" w:rsidRPr="007033A4" w:rsidRDefault="007033A4" w:rsidP="007033A4">
            <w:pPr>
              <w:jc w:val="center"/>
              <w:rPr>
                <w:rFonts w:ascii="Calibri" w:eastAsia="Aptos" w:hAnsi="Calibri" w:cs="Calibri"/>
                <w:color w:val="000000"/>
                <w:sz w:val="20"/>
                <w:szCs w:val="20"/>
              </w:rPr>
            </w:pPr>
          </w:p>
        </w:tc>
      </w:tr>
      <w:tr w:rsidR="007033A4" w:rsidRPr="007033A4" w14:paraId="4BDB16C5" w14:textId="77777777" w:rsidTr="007033A4">
        <w:trPr>
          <w:trHeight w:val="20"/>
        </w:trPr>
        <w:tc>
          <w:tcPr>
            <w:tcW w:w="768" w:type="pct"/>
            <w:vAlign w:val="center"/>
          </w:tcPr>
          <w:p w14:paraId="10064805" w14:textId="77777777" w:rsidR="007033A4" w:rsidRPr="007033A4" w:rsidRDefault="007033A4" w:rsidP="007033A4">
            <w:pPr>
              <w:rPr>
                <w:rFonts w:ascii="Calibri" w:eastAsia="Aptos" w:hAnsi="Calibri" w:cs="Calibri"/>
                <w:color w:val="000000"/>
                <w:sz w:val="20"/>
                <w:szCs w:val="20"/>
              </w:rPr>
            </w:pPr>
            <w:r w:rsidRPr="007033A4">
              <w:rPr>
                <w:rFonts w:ascii="Calibri" w:eastAsia="Aptos" w:hAnsi="Calibri" w:cs="Calibri"/>
                <w:color w:val="000000"/>
                <w:sz w:val="20"/>
                <w:szCs w:val="20"/>
              </w:rPr>
              <w:t xml:space="preserve">Gender </w:t>
            </w:r>
          </w:p>
        </w:tc>
        <w:tc>
          <w:tcPr>
            <w:tcW w:w="470" w:type="pct"/>
            <w:vAlign w:val="center"/>
          </w:tcPr>
          <w:p w14:paraId="5C058F3A"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0.08</w:t>
            </w:r>
          </w:p>
        </w:tc>
        <w:tc>
          <w:tcPr>
            <w:tcW w:w="470" w:type="pct"/>
            <w:vAlign w:val="center"/>
          </w:tcPr>
          <w:p w14:paraId="5C5492BD"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0.07</w:t>
            </w:r>
          </w:p>
        </w:tc>
        <w:tc>
          <w:tcPr>
            <w:tcW w:w="470" w:type="pct"/>
            <w:vAlign w:val="center"/>
          </w:tcPr>
          <w:p w14:paraId="338E415D"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0.03</w:t>
            </w:r>
          </w:p>
        </w:tc>
        <w:tc>
          <w:tcPr>
            <w:tcW w:w="470" w:type="pct"/>
            <w:vAlign w:val="center"/>
          </w:tcPr>
          <w:p w14:paraId="736E6B6B"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-0.23</w:t>
            </w:r>
          </w:p>
        </w:tc>
        <w:tc>
          <w:tcPr>
            <w:tcW w:w="470" w:type="pct"/>
            <w:vAlign w:val="center"/>
          </w:tcPr>
          <w:p w14:paraId="6E1BD184"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0.03</w:t>
            </w:r>
          </w:p>
        </w:tc>
        <w:tc>
          <w:tcPr>
            <w:tcW w:w="470" w:type="pct"/>
            <w:vAlign w:val="center"/>
          </w:tcPr>
          <w:p w14:paraId="3C41B9A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-0.16**</w:t>
            </w:r>
          </w:p>
        </w:tc>
        <w:tc>
          <w:tcPr>
            <w:tcW w:w="470" w:type="pct"/>
            <w:vAlign w:val="center"/>
          </w:tcPr>
          <w:p w14:paraId="407C0985"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-43.65</w:t>
            </w:r>
          </w:p>
        </w:tc>
        <w:tc>
          <w:tcPr>
            <w:tcW w:w="470" w:type="pct"/>
            <w:vAlign w:val="center"/>
          </w:tcPr>
          <w:p w14:paraId="71860296"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5.14</w:t>
            </w:r>
          </w:p>
        </w:tc>
        <w:tc>
          <w:tcPr>
            <w:tcW w:w="470" w:type="pct"/>
            <w:vAlign w:val="center"/>
          </w:tcPr>
          <w:p w14:paraId="3D1E3B70"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-0.18***</w:t>
            </w:r>
          </w:p>
        </w:tc>
      </w:tr>
      <w:tr w:rsidR="007033A4" w:rsidRPr="007033A4" w14:paraId="028CDE4A" w14:textId="77777777" w:rsidTr="007033A4">
        <w:trPr>
          <w:trHeight w:val="20"/>
        </w:trPr>
        <w:tc>
          <w:tcPr>
            <w:tcW w:w="768" w:type="pct"/>
            <w:vAlign w:val="center"/>
          </w:tcPr>
          <w:p w14:paraId="2F0570AA" w14:textId="77777777" w:rsidR="007033A4" w:rsidRPr="007033A4" w:rsidRDefault="007033A4" w:rsidP="007033A4">
            <w:pPr>
              <w:rPr>
                <w:rFonts w:ascii="Calibri" w:eastAsia="Aptos" w:hAnsi="Calibri" w:cs="Calibri"/>
                <w:color w:val="000000"/>
                <w:sz w:val="20"/>
                <w:szCs w:val="20"/>
              </w:rPr>
            </w:pPr>
            <w:r w:rsidRPr="007033A4">
              <w:rPr>
                <w:rFonts w:ascii="Calibri" w:eastAsia="Aptos" w:hAnsi="Calibri" w:cs="Calibri"/>
                <w:color w:val="000000"/>
                <w:sz w:val="20"/>
                <w:szCs w:val="20"/>
              </w:rPr>
              <w:t>GPA</w:t>
            </w:r>
          </w:p>
        </w:tc>
        <w:tc>
          <w:tcPr>
            <w:tcW w:w="470" w:type="pct"/>
            <w:vAlign w:val="center"/>
          </w:tcPr>
          <w:p w14:paraId="7EBFEF36"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0.40</w:t>
            </w:r>
          </w:p>
        </w:tc>
        <w:tc>
          <w:tcPr>
            <w:tcW w:w="470" w:type="pct"/>
            <w:vAlign w:val="center"/>
          </w:tcPr>
          <w:p w14:paraId="2448F96F"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0.08</w:t>
            </w:r>
          </w:p>
        </w:tc>
        <w:tc>
          <w:tcPr>
            <w:tcW w:w="470" w:type="pct"/>
            <w:vAlign w:val="center"/>
          </w:tcPr>
          <w:p w14:paraId="1E95D2E5"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0.13***</w:t>
            </w:r>
          </w:p>
        </w:tc>
        <w:tc>
          <w:tcPr>
            <w:tcW w:w="470" w:type="pct"/>
            <w:vAlign w:val="center"/>
          </w:tcPr>
          <w:p w14:paraId="74C85E2D"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0.10</w:t>
            </w:r>
          </w:p>
        </w:tc>
        <w:tc>
          <w:tcPr>
            <w:tcW w:w="470" w:type="pct"/>
            <w:vAlign w:val="center"/>
          </w:tcPr>
          <w:p w14:paraId="45D1CD06"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0.03</w:t>
            </w:r>
          </w:p>
        </w:tc>
        <w:tc>
          <w:tcPr>
            <w:tcW w:w="470" w:type="pct"/>
            <w:vAlign w:val="center"/>
          </w:tcPr>
          <w:p w14:paraId="1CB32F95"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0.07**</w:t>
            </w:r>
          </w:p>
        </w:tc>
        <w:tc>
          <w:tcPr>
            <w:tcW w:w="470" w:type="pct"/>
            <w:vAlign w:val="center"/>
          </w:tcPr>
          <w:p w14:paraId="213516C9"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14.41</w:t>
            </w:r>
          </w:p>
        </w:tc>
        <w:tc>
          <w:tcPr>
            <w:tcW w:w="470" w:type="pct"/>
            <w:vAlign w:val="center"/>
          </w:tcPr>
          <w:p w14:paraId="0CB7E494"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5.20</w:t>
            </w:r>
          </w:p>
        </w:tc>
        <w:tc>
          <w:tcPr>
            <w:tcW w:w="470" w:type="pct"/>
            <w:vAlign w:val="center"/>
          </w:tcPr>
          <w:p w14:paraId="05C8C72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0.06**</w:t>
            </w:r>
          </w:p>
        </w:tc>
      </w:tr>
      <w:tr w:rsidR="007033A4" w:rsidRPr="007033A4" w14:paraId="38C6225D" w14:textId="77777777" w:rsidTr="007033A4">
        <w:trPr>
          <w:trHeight w:val="20"/>
        </w:trPr>
        <w:tc>
          <w:tcPr>
            <w:tcW w:w="768" w:type="pct"/>
            <w:vAlign w:val="center"/>
          </w:tcPr>
          <w:p w14:paraId="71387C6B" w14:textId="77777777" w:rsidR="007033A4" w:rsidRPr="007033A4" w:rsidRDefault="007033A4" w:rsidP="007033A4">
            <w:pPr>
              <w:rPr>
                <w:rFonts w:ascii="Calibri" w:eastAsia="Aptos" w:hAnsi="Calibri" w:cs="Calibri"/>
                <w:color w:val="000000"/>
                <w:sz w:val="20"/>
                <w:szCs w:val="20"/>
              </w:rPr>
            </w:pPr>
            <w:r w:rsidRPr="007033A4">
              <w:rPr>
                <w:rFonts w:ascii="Calibri" w:eastAsia="Aptos" w:hAnsi="Calibri" w:cs="Calibri"/>
                <w:color w:val="000000"/>
                <w:sz w:val="20"/>
                <w:szCs w:val="20"/>
              </w:rPr>
              <w:t>First choice</w:t>
            </w:r>
          </w:p>
        </w:tc>
        <w:tc>
          <w:tcPr>
            <w:tcW w:w="470" w:type="pct"/>
            <w:vAlign w:val="center"/>
          </w:tcPr>
          <w:p w14:paraId="1F0A164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0.09</w:t>
            </w:r>
          </w:p>
        </w:tc>
        <w:tc>
          <w:tcPr>
            <w:tcW w:w="470" w:type="pct"/>
            <w:vAlign w:val="center"/>
          </w:tcPr>
          <w:p w14:paraId="61056082"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0.06</w:t>
            </w:r>
          </w:p>
        </w:tc>
        <w:tc>
          <w:tcPr>
            <w:tcW w:w="470" w:type="pct"/>
            <w:vAlign w:val="center"/>
          </w:tcPr>
          <w:p w14:paraId="2654365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0.04</w:t>
            </w:r>
          </w:p>
        </w:tc>
        <w:tc>
          <w:tcPr>
            <w:tcW w:w="470" w:type="pct"/>
            <w:vAlign w:val="center"/>
          </w:tcPr>
          <w:p w14:paraId="07B57CA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0.04</w:t>
            </w:r>
          </w:p>
        </w:tc>
        <w:tc>
          <w:tcPr>
            <w:tcW w:w="470" w:type="pct"/>
            <w:vAlign w:val="center"/>
          </w:tcPr>
          <w:p w14:paraId="587BCC5D"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0.03</w:t>
            </w:r>
          </w:p>
        </w:tc>
        <w:tc>
          <w:tcPr>
            <w:tcW w:w="470" w:type="pct"/>
            <w:vAlign w:val="center"/>
          </w:tcPr>
          <w:p w14:paraId="205BE062"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0.03</w:t>
            </w:r>
          </w:p>
        </w:tc>
        <w:tc>
          <w:tcPr>
            <w:tcW w:w="470" w:type="pct"/>
            <w:vAlign w:val="center"/>
          </w:tcPr>
          <w:p w14:paraId="7FBBC5D9"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12.52</w:t>
            </w:r>
          </w:p>
        </w:tc>
        <w:tc>
          <w:tcPr>
            <w:tcW w:w="470" w:type="pct"/>
            <w:vAlign w:val="center"/>
          </w:tcPr>
          <w:p w14:paraId="61A2032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4.37</w:t>
            </w:r>
          </w:p>
        </w:tc>
        <w:tc>
          <w:tcPr>
            <w:tcW w:w="470" w:type="pct"/>
            <w:vAlign w:val="center"/>
          </w:tcPr>
          <w:p w14:paraId="1F5FC99C"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0.06**</w:t>
            </w:r>
          </w:p>
        </w:tc>
      </w:tr>
      <w:tr w:rsidR="007033A4" w:rsidRPr="007033A4" w14:paraId="4548B9DE" w14:textId="77777777" w:rsidTr="007033A4">
        <w:trPr>
          <w:trHeight w:val="20"/>
        </w:trPr>
        <w:tc>
          <w:tcPr>
            <w:tcW w:w="768" w:type="pct"/>
            <w:vAlign w:val="center"/>
          </w:tcPr>
          <w:p w14:paraId="24212892" w14:textId="77777777" w:rsidR="007033A4" w:rsidRPr="007033A4" w:rsidRDefault="007033A4" w:rsidP="007033A4">
            <w:pPr>
              <w:rPr>
                <w:rFonts w:ascii="Calibri" w:eastAsia="Aptos" w:hAnsi="Calibri" w:cs="Calibri"/>
                <w:color w:val="000000"/>
                <w:sz w:val="20"/>
                <w:szCs w:val="20"/>
              </w:rPr>
            </w:pPr>
            <w:r w:rsidRPr="007033A4">
              <w:rPr>
                <w:rFonts w:ascii="Calibri" w:eastAsia="Aptos" w:hAnsi="Calibri" w:cs="Calibri"/>
                <w:color w:val="000000"/>
                <w:sz w:val="20"/>
                <w:szCs w:val="20"/>
              </w:rPr>
              <w:t>Readiness-confidence</w:t>
            </w:r>
          </w:p>
        </w:tc>
        <w:tc>
          <w:tcPr>
            <w:tcW w:w="470" w:type="pct"/>
            <w:vAlign w:val="center"/>
          </w:tcPr>
          <w:p w14:paraId="271E3A43"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0.33</w:t>
            </w:r>
          </w:p>
        </w:tc>
        <w:tc>
          <w:tcPr>
            <w:tcW w:w="470" w:type="pct"/>
            <w:vAlign w:val="center"/>
          </w:tcPr>
          <w:p w14:paraId="4DADF248"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0.04</w:t>
            </w:r>
          </w:p>
        </w:tc>
        <w:tc>
          <w:tcPr>
            <w:tcW w:w="470" w:type="pct"/>
            <w:vAlign w:val="center"/>
          </w:tcPr>
          <w:p w14:paraId="25349B1C"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0.27***</w:t>
            </w:r>
          </w:p>
        </w:tc>
        <w:tc>
          <w:tcPr>
            <w:tcW w:w="470" w:type="pct"/>
            <w:vAlign w:val="center"/>
          </w:tcPr>
          <w:p w14:paraId="6E2F4AAD"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0.06</w:t>
            </w:r>
          </w:p>
        </w:tc>
        <w:tc>
          <w:tcPr>
            <w:tcW w:w="470" w:type="pct"/>
            <w:vAlign w:val="center"/>
          </w:tcPr>
          <w:p w14:paraId="2750AFF5"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0.02</w:t>
            </w:r>
          </w:p>
        </w:tc>
        <w:tc>
          <w:tcPr>
            <w:tcW w:w="470" w:type="pct"/>
            <w:vAlign w:val="center"/>
          </w:tcPr>
          <w:p w14:paraId="5D7B0D10"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0.10***</w:t>
            </w:r>
          </w:p>
        </w:tc>
        <w:tc>
          <w:tcPr>
            <w:tcW w:w="470" w:type="pct"/>
            <w:vAlign w:val="center"/>
          </w:tcPr>
          <w:p w14:paraId="54B10E74"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2.79</w:t>
            </w:r>
          </w:p>
        </w:tc>
        <w:tc>
          <w:tcPr>
            <w:tcW w:w="470" w:type="pct"/>
            <w:vAlign w:val="center"/>
          </w:tcPr>
          <w:p w14:paraId="27846AB5"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2.46</w:t>
            </w:r>
          </w:p>
        </w:tc>
        <w:tc>
          <w:tcPr>
            <w:tcW w:w="470" w:type="pct"/>
            <w:vAlign w:val="center"/>
          </w:tcPr>
          <w:p w14:paraId="1DFE712E"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0.03</w:t>
            </w:r>
          </w:p>
        </w:tc>
      </w:tr>
      <w:tr w:rsidR="007033A4" w:rsidRPr="007033A4" w14:paraId="772AEEED" w14:textId="77777777" w:rsidTr="007033A4">
        <w:trPr>
          <w:trHeight w:val="20"/>
        </w:trPr>
        <w:tc>
          <w:tcPr>
            <w:tcW w:w="768" w:type="pct"/>
            <w:vAlign w:val="center"/>
          </w:tcPr>
          <w:p w14:paraId="120F506B" w14:textId="77777777" w:rsidR="007033A4" w:rsidRPr="007033A4" w:rsidRDefault="007033A4" w:rsidP="007033A4">
            <w:pPr>
              <w:rPr>
                <w:rFonts w:ascii="Calibri" w:eastAsia="Aptos" w:hAnsi="Calibri" w:cs="Calibri"/>
                <w:color w:val="000000"/>
                <w:sz w:val="20"/>
                <w:szCs w:val="20"/>
              </w:rPr>
            </w:pPr>
            <w:r w:rsidRPr="007033A4">
              <w:rPr>
                <w:rFonts w:ascii="Calibri" w:eastAsia="Aptos" w:hAnsi="Calibri" w:cs="Calibri"/>
                <w:color w:val="000000"/>
                <w:sz w:val="20"/>
                <w:szCs w:val="20"/>
              </w:rPr>
              <w:t>Autonomy</w:t>
            </w:r>
          </w:p>
        </w:tc>
        <w:tc>
          <w:tcPr>
            <w:tcW w:w="470" w:type="pct"/>
            <w:vAlign w:val="center"/>
          </w:tcPr>
          <w:p w14:paraId="708CD962"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0.10</w:t>
            </w:r>
          </w:p>
        </w:tc>
        <w:tc>
          <w:tcPr>
            <w:tcW w:w="470" w:type="pct"/>
            <w:vAlign w:val="center"/>
          </w:tcPr>
          <w:p w14:paraId="667C6D80"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0.04</w:t>
            </w:r>
          </w:p>
        </w:tc>
        <w:tc>
          <w:tcPr>
            <w:tcW w:w="470" w:type="pct"/>
            <w:vAlign w:val="center"/>
          </w:tcPr>
          <w:p w14:paraId="4E81ACBA"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0.07**</w:t>
            </w:r>
          </w:p>
        </w:tc>
        <w:tc>
          <w:tcPr>
            <w:tcW w:w="470" w:type="pct"/>
            <w:vAlign w:val="center"/>
          </w:tcPr>
          <w:p w14:paraId="5FCC449E"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0.03</w:t>
            </w:r>
          </w:p>
        </w:tc>
        <w:tc>
          <w:tcPr>
            <w:tcW w:w="470" w:type="pct"/>
            <w:vAlign w:val="center"/>
          </w:tcPr>
          <w:p w14:paraId="3A715490"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0.02</w:t>
            </w:r>
          </w:p>
        </w:tc>
        <w:tc>
          <w:tcPr>
            <w:tcW w:w="470" w:type="pct"/>
            <w:vAlign w:val="center"/>
          </w:tcPr>
          <w:p w14:paraId="28C5F91F"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0.03</w:t>
            </w:r>
          </w:p>
        </w:tc>
        <w:tc>
          <w:tcPr>
            <w:tcW w:w="470" w:type="pct"/>
            <w:vAlign w:val="center"/>
          </w:tcPr>
          <w:p w14:paraId="4DF2E7D0"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3.80</w:t>
            </w:r>
          </w:p>
        </w:tc>
        <w:tc>
          <w:tcPr>
            <w:tcW w:w="470" w:type="pct"/>
            <w:vAlign w:val="center"/>
          </w:tcPr>
          <w:p w14:paraId="7AB3F053"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2.53</w:t>
            </w:r>
          </w:p>
        </w:tc>
        <w:tc>
          <w:tcPr>
            <w:tcW w:w="470" w:type="pct"/>
            <w:vAlign w:val="center"/>
          </w:tcPr>
          <w:p w14:paraId="64179138"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0.04</w:t>
            </w:r>
          </w:p>
        </w:tc>
      </w:tr>
      <w:tr w:rsidR="007033A4" w:rsidRPr="007033A4" w14:paraId="37472F6D" w14:textId="77777777" w:rsidTr="007033A4">
        <w:trPr>
          <w:trHeight w:val="20"/>
        </w:trPr>
        <w:tc>
          <w:tcPr>
            <w:tcW w:w="768" w:type="pct"/>
            <w:vAlign w:val="center"/>
          </w:tcPr>
          <w:p w14:paraId="451CF548" w14:textId="77777777" w:rsidR="007033A4" w:rsidRPr="007033A4" w:rsidRDefault="007033A4" w:rsidP="007033A4">
            <w:pPr>
              <w:rPr>
                <w:rFonts w:ascii="Calibri" w:eastAsia="Aptos" w:hAnsi="Calibri" w:cs="Calibri"/>
                <w:color w:val="000000"/>
                <w:sz w:val="20"/>
                <w:szCs w:val="20"/>
              </w:rPr>
            </w:pPr>
            <w:r w:rsidRPr="007033A4">
              <w:rPr>
                <w:rFonts w:ascii="Calibri" w:eastAsia="Aptos" w:hAnsi="Calibri" w:cs="Calibri"/>
                <w:color w:val="000000"/>
                <w:sz w:val="20"/>
                <w:szCs w:val="20"/>
              </w:rPr>
              <w:t>Disengagement</w:t>
            </w:r>
          </w:p>
        </w:tc>
        <w:tc>
          <w:tcPr>
            <w:tcW w:w="470" w:type="pct"/>
            <w:vAlign w:val="center"/>
          </w:tcPr>
          <w:p w14:paraId="02FA9650"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-0.07</w:t>
            </w:r>
          </w:p>
        </w:tc>
        <w:tc>
          <w:tcPr>
            <w:tcW w:w="470" w:type="pct"/>
            <w:vAlign w:val="center"/>
          </w:tcPr>
          <w:p w14:paraId="626535A8"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0.03</w:t>
            </w:r>
          </w:p>
        </w:tc>
        <w:tc>
          <w:tcPr>
            <w:tcW w:w="470" w:type="pct"/>
            <w:vAlign w:val="center"/>
          </w:tcPr>
          <w:p w14:paraId="5FC84985"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-0.06*</w:t>
            </w:r>
          </w:p>
        </w:tc>
        <w:tc>
          <w:tcPr>
            <w:tcW w:w="470" w:type="pct"/>
            <w:vAlign w:val="center"/>
          </w:tcPr>
          <w:p w14:paraId="21B95BD8"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0.01</w:t>
            </w:r>
          </w:p>
        </w:tc>
        <w:tc>
          <w:tcPr>
            <w:tcW w:w="470" w:type="pct"/>
            <w:vAlign w:val="center"/>
          </w:tcPr>
          <w:p w14:paraId="5F052FDB"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0.01</w:t>
            </w:r>
          </w:p>
        </w:tc>
        <w:tc>
          <w:tcPr>
            <w:tcW w:w="470" w:type="pct"/>
            <w:vAlign w:val="center"/>
          </w:tcPr>
          <w:p w14:paraId="6509BBD9"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0.01</w:t>
            </w:r>
          </w:p>
        </w:tc>
        <w:tc>
          <w:tcPr>
            <w:tcW w:w="470" w:type="pct"/>
            <w:vAlign w:val="center"/>
          </w:tcPr>
          <w:p w14:paraId="41786520"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4.24</w:t>
            </w:r>
          </w:p>
        </w:tc>
        <w:tc>
          <w:tcPr>
            <w:tcW w:w="470" w:type="pct"/>
            <w:vAlign w:val="center"/>
          </w:tcPr>
          <w:p w14:paraId="42CC48AD"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1.99</w:t>
            </w:r>
          </w:p>
        </w:tc>
        <w:tc>
          <w:tcPr>
            <w:tcW w:w="470" w:type="pct"/>
            <w:vAlign w:val="center"/>
          </w:tcPr>
          <w:p w14:paraId="320CFCB3"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0.05*</w:t>
            </w:r>
          </w:p>
        </w:tc>
      </w:tr>
      <w:tr w:rsidR="007033A4" w:rsidRPr="007033A4" w14:paraId="11E2B6CA" w14:textId="77777777" w:rsidTr="007033A4">
        <w:trPr>
          <w:trHeight w:val="20"/>
        </w:trPr>
        <w:tc>
          <w:tcPr>
            <w:tcW w:w="768" w:type="pct"/>
          </w:tcPr>
          <w:p w14:paraId="40F33E9E" w14:textId="77777777" w:rsidR="007033A4" w:rsidRPr="007033A4" w:rsidRDefault="007033A4" w:rsidP="007033A4">
            <w:pPr>
              <w:rPr>
                <w:rFonts w:ascii="Calibri" w:eastAsia="Aptos" w:hAnsi="Calibri" w:cs="Calibri"/>
                <w:i/>
                <w:iCs/>
                <w:color w:val="000000"/>
                <w:sz w:val="20"/>
                <w:szCs w:val="20"/>
              </w:rPr>
            </w:pPr>
            <w:r w:rsidRPr="007033A4">
              <w:rPr>
                <w:rFonts w:ascii="Calibri" w:eastAsia="Aptos" w:hAnsi="Calibri" w:cs="Calibri"/>
                <w:i/>
                <w:iCs/>
                <w:color w:val="000000"/>
                <w:sz w:val="20"/>
                <w:szCs w:val="20"/>
              </w:rPr>
              <w:t>Program level predictors</w:t>
            </w:r>
          </w:p>
        </w:tc>
        <w:tc>
          <w:tcPr>
            <w:tcW w:w="470" w:type="pct"/>
            <w:vAlign w:val="center"/>
          </w:tcPr>
          <w:p w14:paraId="4EB5FAF4" w14:textId="77777777" w:rsidR="007033A4" w:rsidRPr="007033A4" w:rsidRDefault="007033A4" w:rsidP="007033A4">
            <w:pPr>
              <w:jc w:val="center"/>
              <w:rPr>
                <w:rFonts w:ascii="Calibri" w:eastAsia="Aptos" w:hAnsi="Calibri" w:cs="Calibri"/>
                <w:color w:val="000000"/>
                <w:sz w:val="20"/>
                <w:szCs w:val="20"/>
              </w:rPr>
            </w:pPr>
          </w:p>
        </w:tc>
        <w:tc>
          <w:tcPr>
            <w:tcW w:w="470" w:type="pct"/>
            <w:vAlign w:val="center"/>
          </w:tcPr>
          <w:p w14:paraId="36694E63" w14:textId="77777777" w:rsidR="007033A4" w:rsidRPr="007033A4" w:rsidRDefault="007033A4" w:rsidP="007033A4">
            <w:pPr>
              <w:jc w:val="center"/>
              <w:rPr>
                <w:rFonts w:ascii="Calibri" w:eastAsia="Aptos" w:hAnsi="Calibri" w:cs="Calibri"/>
                <w:color w:val="000000"/>
                <w:sz w:val="20"/>
                <w:szCs w:val="20"/>
              </w:rPr>
            </w:pPr>
          </w:p>
        </w:tc>
        <w:tc>
          <w:tcPr>
            <w:tcW w:w="470" w:type="pct"/>
            <w:vAlign w:val="center"/>
          </w:tcPr>
          <w:p w14:paraId="00F10D73" w14:textId="77777777" w:rsidR="007033A4" w:rsidRPr="007033A4" w:rsidRDefault="007033A4" w:rsidP="007033A4">
            <w:pPr>
              <w:jc w:val="center"/>
              <w:rPr>
                <w:rFonts w:ascii="Calibri" w:eastAsia="Aptos" w:hAnsi="Calibri" w:cs="Calibri"/>
                <w:color w:val="000000"/>
                <w:sz w:val="20"/>
                <w:szCs w:val="20"/>
              </w:rPr>
            </w:pPr>
          </w:p>
        </w:tc>
        <w:tc>
          <w:tcPr>
            <w:tcW w:w="470" w:type="pct"/>
            <w:vAlign w:val="center"/>
          </w:tcPr>
          <w:p w14:paraId="3A9DB451" w14:textId="77777777" w:rsidR="007033A4" w:rsidRPr="007033A4" w:rsidRDefault="007033A4" w:rsidP="007033A4">
            <w:pPr>
              <w:jc w:val="center"/>
              <w:rPr>
                <w:rFonts w:ascii="Calibri" w:eastAsia="Aptos" w:hAnsi="Calibri" w:cs="Calibri"/>
                <w:color w:val="000000"/>
                <w:sz w:val="20"/>
                <w:szCs w:val="20"/>
              </w:rPr>
            </w:pPr>
          </w:p>
        </w:tc>
        <w:tc>
          <w:tcPr>
            <w:tcW w:w="470" w:type="pct"/>
            <w:vAlign w:val="center"/>
          </w:tcPr>
          <w:p w14:paraId="4F1B6277" w14:textId="77777777" w:rsidR="007033A4" w:rsidRPr="007033A4" w:rsidRDefault="007033A4" w:rsidP="007033A4">
            <w:pPr>
              <w:jc w:val="center"/>
              <w:rPr>
                <w:rFonts w:ascii="Calibri" w:eastAsia="Aptos" w:hAnsi="Calibri" w:cs="Calibri"/>
                <w:color w:val="000000"/>
                <w:sz w:val="20"/>
                <w:szCs w:val="20"/>
              </w:rPr>
            </w:pPr>
          </w:p>
        </w:tc>
        <w:tc>
          <w:tcPr>
            <w:tcW w:w="470" w:type="pct"/>
            <w:vAlign w:val="center"/>
          </w:tcPr>
          <w:p w14:paraId="689D48C5" w14:textId="77777777" w:rsidR="007033A4" w:rsidRPr="007033A4" w:rsidRDefault="007033A4" w:rsidP="007033A4">
            <w:pPr>
              <w:jc w:val="center"/>
              <w:rPr>
                <w:rFonts w:ascii="Calibri" w:eastAsia="Aptos" w:hAnsi="Calibri" w:cs="Calibri"/>
                <w:color w:val="000000"/>
                <w:sz w:val="20"/>
                <w:szCs w:val="20"/>
              </w:rPr>
            </w:pPr>
          </w:p>
        </w:tc>
        <w:tc>
          <w:tcPr>
            <w:tcW w:w="470" w:type="pct"/>
            <w:vAlign w:val="center"/>
          </w:tcPr>
          <w:p w14:paraId="74FD89BA" w14:textId="77777777" w:rsidR="007033A4" w:rsidRPr="007033A4" w:rsidRDefault="007033A4" w:rsidP="007033A4">
            <w:pPr>
              <w:jc w:val="center"/>
              <w:rPr>
                <w:rFonts w:ascii="Calibri" w:eastAsia="Aptos" w:hAnsi="Calibri" w:cs="Calibri"/>
                <w:color w:val="000000"/>
                <w:sz w:val="20"/>
                <w:szCs w:val="20"/>
              </w:rPr>
            </w:pPr>
          </w:p>
        </w:tc>
        <w:tc>
          <w:tcPr>
            <w:tcW w:w="470" w:type="pct"/>
            <w:vAlign w:val="center"/>
          </w:tcPr>
          <w:p w14:paraId="3D998E72" w14:textId="77777777" w:rsidR="007033A4" w:rsidRPr="007033A4" w:rsidRDefault="007033A4" w:rsidP="007033A4">
            <w:pPr>
              <w:jc w:val="center"/>
              <w:rPr>
                <w:rFonts w:ascii="Calibri" w:eastAsia="Aptos" w:hAnsi="Calibri" w:cs="Calibri"/>
                <w:color w:val="000000"/>
                <w:sz w:val="20"/>
                <w:szCs w:val="20"/>
              </w:rPr>
            </w:pPr>
          </w:p>
        </w:tc>
        <w:tc>
          <w:tcPr>
            <w:tcW w:w="470" w:type="pct"/>
            <w:vAlign w:val="center"/>
          </w:tcPr>
          <w:p w14:paraId="46FA7837" w14:textId="77777777" w:rsidR="007033A4" w:rsidRPr="007033A4" w:rsidRDefault="007033A4" w:rsidP="007033A4">
            <w:pPr>
              <w:jc w:val="center"/>
              <w:rPr>
                <w:rFonts w:ascii="Calibri" w:eastAsia="Aptos" w:hAnsi="Calibri" w:cs="Calibri"/>
                <w:color w:val="000000"/>
                <w:sz w:val="20"/>
                <w:szCs w:val="20"/>
              </w:rPr>
            </w:pPr>
          </w:p>
        </w:tc>
      </w:tr>
      <w:tr w:rsidR="007033A4" w:rsidRPr="007033A4" w14:paraId="4D6CCE65" w14:textId="77777777" w:rsidTr="007033A4">
        <w:trPr>
          <w:trHeight w:val="20"/>
        </w:trPr>
        <w:tc>
          <w:tcPr>
            <w:tcW w:w="768" w:type="pct"/>
            <w:vAlign w:val="center"/>
          </w:tcPr>
          <w:p w14:paraId="418B30EF" w14:textId="77777777" w:rsidR="007033A4" w:rsidRPr="007033A4" w:rsidRDefault="007033A4" w:rsidP="007033A4">
            <w:pPr>
              <w:rPr>
                <w:rFonts w:ascii="Calibri" w:eastAsia="Aptos" w:hAnsi="Calibri" w:cs="Calibri"/>
                <w:color w:val="000000"/>
                <w:sz w:val="20"/>
                <w:szCs w:val="20"/>
              </w:rPr>
            </w:pPr>
            <w:r w:rsidRPr="007033A4">
              <w:rPr>
                <w:rFonts w:ascii="Calibri" w:eastAsia="Aptos" w:hAnsi="Calibri" w:cs="Calibri"/>
                <w:color w:val="000000"/>
                <w:sz w:val="20"/>
                <w:szCs w:val="20"/>
              </w:rPr>
              <w:t>Gender</w:t>
            </w:r>
          </w:p>
        </w:tc>
        <w:tc>
          <w:tcPr>
            <w:tcW w:w="470" w:type="pct"/>
            <w:vAlign w:val="center"/>
          </w:tcPr>
          <w:p w14:paraId="13E11A9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0.17</w:t>
            </w:r>
          </w:p>
        </w:tc>
        <w:tc>
          <w:tcPr>
            <w:tcW w:w="470" w:type="pct"/>
            <w:vAlign w:val="center"/>
          </w:tcPr>
          <w:p w14:paraId="3DC5DD8F"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0.11</w:t>
            </w:r>
          </w:p>
        </w:tc>
        <w:tc>
          <w:tcPr>
            <w:tcW w:w="470" w:type="pct"/>
            <w:vAlign w:val="center"/>
          </w:tcPr>
          <w:p w14:paraId="6AD19475"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0.06</w:t>
            </w:r>
          </w:p>
        </w:tc>
        <w:tc>
          <w:tcPr>
            <w:tcW w:w="470" w:type="pct"/>
            <w:vAlign w:val="center"/>
          </w:tcPr>
          <w:p w14:paraId="053940B9"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-0.47***</w:t>
            </w:r>
          </w:p>
        </w:tc>
        <w:tc>
          <w:tcPr>
            <w:tcW w:w="470" w:type="pct"/>
            <w:vAlign w:val="center"/>
          </w:tcPr>
          <w:p w14:paraId="0074A232"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0.09</w:t>
            </w:r>
          </w:p>
        </w:tc>
        <w:tc>
          <w:tcPr>
            <w:tcW w:w="470" w:type="pct"/>
            <w:vAlign w:val="center"/>
          </w:tcPr>
          <w:p w14:paraId="157F195B"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-0.35***</w:t>
            </w:r>
          </w:p>
        </w:tc>
        <w:tc>
          <w:tcPr>
            <w:tcW w:w="470" w:type="pct"/>
            <w:vAlign w:val="center"/>
          </w:tcPr>
          <w:p w14:paraId="47FC6C96"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33.22</w:t>
            </w:r>
          </w:p>
        </w:tc>
        <w:tc>
          <w:tcPr>
            <w:tcW w:w="470" w:type="pct"/>
            <w:vAlign w:val="center"/>
          </w:tcPr>
          <w:p w14:paraId="39DE8222"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17.58</w:t>
            </w:r>
          </w:p>
        </w:tc>
        <w:tc>
          <w:tcPr>
            <w:tcW w:w="470" w:type="pct"/>
            <w:vAlign w:val="center"/>
          </w:tcPr>
          <w:p w14:paraId="28332706"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0.15</w:t>
            </w:r>
          </w:p>
        </w:tc>
      </w:tr>
      <w:tr w:rsidR="007033A4" w:rsidRPr="007033A4" w14:paraId="35FAD5A1" w14:textId="77777777" w:rsidTr="007033A4">
        <w:trPr>
          <w:trHeight w:val="20"/>
        </w:trPr>
        <w:tc>
          <w:tcPr>
            <w:tcW w:w="768" w:type="pct"/>
            <w:vAlign w:val="center"/>
          </w:tcPr>
          <w:p w14:paraId="6236E1E4" w14:textId="77777777" w:rsidR="007033A4" w:rsidRPr="007033A4" w:rsidRDefault="007033A4" w:rsidP="007033A4">
            <w:pPr>
              <w:rPr>
                <w:rFonts w:ascii="Calibri" w:eastAsia="Aptos" w:hAnsi="Calibri" w:cs="Calibri"/>
                <w:color w:val="000000"/>
                <w:sz w:val="20"/>
                <w:szCs w:val="20"/>
              </w:rPr>
            </w:pPr>
            <w:r w:rsidRPr="007033A4">
              <w:rPr>
                <w:rFonts w:ascii="Calibri" w:eastAsia="Aptos" w:hAnsi="Calibri" w:cs="Calibri"/>
                <w:color w:val="000000"/>
                <w:sz w:val="20"/>
                <w:szCs w:val="20"/>
              </w:rPr>
              <w:t>GPA</w:t>
            </w:r>
          </w:p>
        </w:tc>
        <w:tc>
          <w:tcPr>
            <w:tcW w:w="470" w:type="pct"/>
            <w:vAlign w:val="center"/>
          </w:tcPr>
          <w:p w14:paraId="6E84C290"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0.60</w:t>
            </w:r>
          </w:p>
        </w:tc>
        <w:tc>
          <w:tcPr>
            <w:tcW w:w="470" w:type="pct"/>
            <w:vAlign w:val="center"/>
          </w:tcPr>
          <w:p w14:paraId="76290D3D"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0.10</w:t>
            </w:r>
          </w:p>
        </w:tc>
        <w:tc>
          <w:tcPr>
            <w:tcW w:w="470" w:type="pct"/>
            <w:vAlign w:val="center"/>
          </w:tcPr>
          <w:p w14:paraId="1FEDD1FA"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0.24***</w:t>
            </w:r>
          </w:p>
        </w:tc>
        <w:tc>
          <w:tcPr>
            <w:tcW w:w="470" w:type="pct"/>
            <w:vAlign w:val="center"/>
          </w:tcPr>
          <w:p w14:paraId="019D1E32"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0.11</w:t>
            </w:r>
          </w:p>
        </w:tc>
        <w:tc>
          <w:tcPr>
            <w:tcW w:w="470" w:type="pct"/>
            <w:vAlign w:val="center"/>
          </w:tcPr>
          <w:p w14:paraId="039C0463"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0.08</w:t>
            </w:r>
          </w:p>
        </w:tc>
        <w:tc>
          <w:tcPr>
            <w:tcW w:w="470" w:type="pct"/>
            <w:vAlign w:val="center"/>
          </w:tcPr>
          <w:p w14:paraId="1361017E"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0.09</w:t>
            </w:r>
          </w:p>
        </w:tc>
        <w:tc>
          <w:tcPr>
            <w:tcW w:w="470" w:type="pct"/>
            <w:vAlign w:val="center"/>
          </w:tcPr>
          <w:p w14:paraId="0B82EE3D"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19.85</w:t>
            </w:r>
          </w:p>
        </w:tc>
        <w:tc>
          <w:tcPr>
            <w:tcW w:w="470" w:type="pct"/>
            <w:vAlign w:val="center"/>
          </w:tcPr>
          <w:p w14:paraId="38FA5BDB"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15.53</w:t>
            </w:r>
          </w:p>
        </w:tc>
        <w:tc>
          <w:tcPr>
            <w:tcW w:w="470" w:type="pct"/>
            <w:vAlign w:val="center"/>
          </w:tcPr>
          <w:p w14:paraId="77A2A758"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0.10</w:t>
            </w:r>
          </w:p>
        </w:tc>
      </w:tr>
      <w:tr w:rsidR="007033A4" w:rsidRPr="007033A4" w14:paraId="441D0929" w14:textId="77777777" w:rsidTr="007033A4">
        <w:trPr>
          <w:trHeight w:val="20"/>
        </w:trPr>
        <w:tc>
          <w:tcPr>
            <w:tcW w:w="768" w:type="pct"/>
            <w:vAlign w:val="center"/>
          </w:tcPr>
          <w:p w14:paraId="72E2424C" w14:textId="77777777" w:rsidR="007033A4" w:rsidRPr="007033A4" w:rsidRDefault="007033A4" w:rsidP="007033A4">
            <w:pPr>
              <w:rPr>
                <w:rFonts w:ascii="Calibri" w:eastAsia="Aptos" w:hAnsi="Calibri" w:cs="Calibri"/>
                <w:color w:val="000000"/>
                <w:sz w:val="20"/>
                <w:szCs w:val="20"/>
              </w:rPr>
            </w:pPr>
            <w:r w:rsidRPr="007033A4">
              <w:rPr>
                <w:rFonts w:ascii="Calibri" w:eastAsia="Aptos" w:hAnsi="Calibri" w:cs="Calibri"/>
                <w:color w:val="000000"/>
                <w:sz w:val="20"/>
                <w:szCs w:val="20"/>
              </w:rPr>
              <w:t>Popularity</w:t>
            </w:r>
          </w:p>
        </w:tc>
        <w:tc>
          <w:tcPr>
            <w:tcW w:w="470" w:type="pct"/>
            <w:vAlign w:val="center"/>
          </w:tcPr>
          <w:p w14:paraId="6D166261"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-0.28</w:t>
            </w:r>
          </w:p>
        </w:tc>
        <w:tc>
          <w:tcPr>
            <w:tcW w:w="470" w:type="pct"/>
            <w:vAlign w:val="center"/>
          </w:tcPr>
          <w:p w14:paraId="0EC91E59"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0.15</w:t>
            </w:r>
          </w:p>
        </w:tc>
        <w:tc>
          <w:tcPr>
            <w:tcW w:w="470" w:type="pct"/>
            <w:vAlign w:val="center"/>
          </w:tcPr>
          <w:p w14:paraId="549E009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-0.07</w:t>
            </w:r>
          </w:p>
        </w:tc>
        <w:tc>
          <w:tcPr>
            <w:tcW w:w="470" w:type="pct"/>
            <w:vAlign w:val="center"/>
          </w:tcPr>
          <w:p w14:paraId="4C898CE7"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-0.21</w:t>
            </w:r>
          </w:p>
        </w:tc>
        <w:tc>
          <w:tcPr>
            <w:tcW w:w="470" w:type="pct"/>
            <w:vAlign w:val="center"/>
          </w:tcPr>
          <w:p w14:paraId="53EF50E9"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0.12</w:t>
            </w:r>
          </w:p>
        </w:tc>
        <w:tc>
          <w:tcPr>
            <w:tcW w:w="470" w:type="pct"/>
            <w:vAlign w:val="center"/>
          </w:tcPr>
          <w:p w14:paraId="1EFFD011"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-0.11</w:t>
            </w:r>
          </w:p>
        </w:tc>
        <w:tc>
          <w:tcPr>
            <w:tcW w:w="470" w:type="pct"/>
            <w:vAlign w:val="center"/>
          </w:tcPr>
          <w:p w14:paraId="56DDD259"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-66.29</w:t>
            </w:r>
          </w:p>
        </w:tc>
        <w:tc>
          <w:tcPr>
            <w:tcW w:w="470" w:type="pct"/>
            <w:vAlign w:val="center"/>
          </w:tcPr>
          <w:p w14:paraId="16DB86B0"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24.09</w:t>
            </w:r>
          </w:p>
        </w:tc>
        <w:tc>
          <w:tcPr>
            <w:tcW w:w="470" w:type="pct"/>
            <w:vAlign w:val="center"/>
          </w:tcPr>
          <w:p w14:paraId="7ECAC60E" w14:textId="77777777" w:rsidR="007033A4" w:rsidRPr="007033A4" w:rsidRDefault="007033A4" w:rsidP="007033A4">
            <w:pPr>
              <w:jc w:val="center"/>
              <w:rPr>
                <w:rFonts w:ascii="Calibri" w:eastAsia="Aptos" w:hAnsi="Calibri" w:cs="Calibri"/>
                <w:color w:val="000000"/>
                <w:sz w:val="20"/>
                <w:szCs w:val="20"/>
              </w:rPr>
            </w:pPr>
            <w:r w:rsidRPr="007033A4">
              <w:rPr>
                <w:rFonts w:ascii="Calibri" w:eastAsia="Aptos" w:hAnsi="Calibri" w:cs="Calibri"/>
                <w:color w:val="000000"/>
                <w:sz w:val="20"/>
                <w:szCs w:val="20"/>
              </w:rPr>
              <w:t>-0.21**</w:t>
            </w:r>
          </w:p>
        </w:tc>
      </w:tr>
    </w:tbl>
    <w:p w14:paraId="28F55053" w14:textId="201479F4" w:rsidR="007033A4" w:rsidRPr="007033A4" w:rsidRDefault="007033A4" w:rsidP="007033A4">
      <w:pPr>
        <w:spacing w:line="240" w:lineRule="auto"/>
        <w:rPr>
          <w:rFonts w:ascii="Calibri" w:eastAsia="Aptos" w:hAnsi="Calibri" w:cs="Calibri"/>
          <w:color w:val="000000"/>
          <w:sz w:val="20"/>
          <w:szCs w:val="20"/>
        </w:rPr>
      </w:pPr>
      <w:r w:rsidRPr="007033A4">
        <w:rPr>
          <w:rFonts w:ascii="Calibri" w:eastAsia="Aptos" w:hAnsi="Calibri" w:cs="Calibri"/>
          <w:i/>
          <w:iCs/>
          <w:color w:val="000000"/>
          <w:sz w:val="20"/>
          <w:szCs w:val="20"/>
        </w:rPr>
        <w:t>Note</w:t>
      </w:r>
      <w:r w:rsidRPr="007033A4">
        <w:rPr>
          <w:rFonts w:ascii="Calibri" w:eastAsia="Aptos" w:hAnsi="Calibri" w:cs="Calibri"/>
          <w:color w:val="000000"/>
          <w:sz w:val="20"/>
          <w:szCs w:val="20"/>
        </w:rPr>
        <w:t>. Student level predictors are group-mean centered, while program level predictors are grand-mean centered</w:t>
      </w:r>
      <w:r w:rsidR="00510D01">
        <w:rPr>
          <w:rFonts w:ascii="Calibri" w:eastAsia="Aptos" w:hAnsi="Calibri" w:cs="Calibri"/>
          <w:color w:val="000000"/>
          <w:sz w:val="20"/>
          <w:szCs w:val="20"/>
        </w:rPr>
        <w:t>;</w:t>
      </w:r>
      <w:r w:rsidRPr="007033A4">
        <w:rPr>
          <w:rFonts w:ascii="Calibri" w:eastAsia="Aptos" w:hAnsi="Calibri" w:cs="Calibri"/>
          <w:color w:val="000000"/>
          <w:sz w:val="20"/>
          <w:szCs w:val="20"/>
        </w:rPr>
        <w:t xml:space="preserve"> *p&lt;.05, **p&lt;</w:t>
      </w:r>
      <w:proofErr w:type="gramStart"/>
      <w:r w:rsidRPr="007033A4">
        <w:rPr>
          <w:rFonts w:ascii="Calibri" w:eastAsia="Aptos" w:hAnsi="Calibri" w:cs="Calibri"/>
          <w:color w:val="000000"/>
          <w:sz w:val="20"/>
          <w:szCs w:val="20"/>
        </w:rPr>
        <w:t>.01, *</w:t>
      </w:r>
      <w:proofErr w:type="gramEnd"/>
      <w:r w:rsidRPr="007033A4">
        <w:rPr>
          <w:rFonts w:ascii="Calibri" w:eastAsia="Aptos" w:hAnsi="Calibri" w:cs="Calibri"/>
          <w:color w:val="000000"/>
          <w:sz w:val="20"/>
          <w:szCs w:val="20"/>
        </w:rPr>
        <w:t>**p&lt;.001***</w:t>
      </w:r>
    </w:p>
    <w:p w14:paraId="1D8B0A99" w14:textId="77777777" w:rsidR="00E833DD" w:rsidRDefault="00E833DD" w:rsidP="00E833DD">
      <w:pPr>
        <w:rPr>
          <w:rFonts w:ascii="Calibri" w:hAnsi="Calibri" w:cs="Calibri"/>
          <w:b/>
          <w:bCs/>
          <w:sz w:val="22"/>
          <w:szCs w:val="22"/>
        </w:rPr>
      </w:pPr>
    </w:p>
    <w:p w14:paraId="396639D1" w14:textId="44E84425" w:rsidR="00883693" w:rsidRPr="00883693" w:rsidRDefault="00883693" w:rsidP="00E833DD">
      <w:pPr>
        <w:rPr>
          <w:rFonts w:ascii="Calibri" w:hAnsi="Calibri" w:cs="Calibri"/>
          <w:b/>
          <w:bCs/>
          <w:sz w:val="22"/>
          <w:szCs w:val="22"/>
        </w:rPr>
      </w:pPr>
      <w:r w:rsidRPr="00883693">
        <w:rPr>
          <w:rFonts w:ascii="Calibri" w:hAnsi="Calibri" w:cs="Calibri"/>
          <w:b/>
          <w:bCs/>
          <w:sz w:val="22"/>
          <w:szCs w:val="22"/>
        </w:rPr>
        <w:t>References</w:t>
      </w:r>
    </w:p>
    <w:p w14:paraId="21C4D29B" w14:textId="77777777" w:rsidR="00883693" w:rsidRPr="00883693" w:rsidRDefault="00883693" w:rsidP="00E833DD">
      <w:pPr>
        <w:spacing w:after="0" w:line="360" w:lineRule="auto"/>
        <w:ind w:left="720" w:hanging="720"/>
        <w:jc w:val="both"/>
        <w:rPr>
          <w:rFonts w:ascii="Calibri" w:hAnsi="Calibri" w:cs="Calibri"/>
          <w:sz w:val="22"/>
          <w:szCs w:val="22"/>
        </w:rPr>
      </w:pPr>
      <w:r w:rsidRPr="00883693">
        <w:rPr>
          <w:rFonts w:ascii="Calibri" w:hAnsi="Calibri" w:cs="Calibri"/>
          <w:sz w:val="22"/>
          <w:szCs w:val="22"/>
        </w:rPr>
        <w:t xml:space="preserve">Holland, J. L. (1997). </w:t>
      </w:r>
      <w:r w:rsidRPr="00883693">
        <w:rPr>
          <w:rFonts w:ascii="Calibri" w:hAnsi="Calibri" w:cs="Calibri"/>
          <w:i/>
          <w:iCs/>
          <w:sz w:val="22"/>
          <w:szCs w:val="22"/>
        </w:rPr>
        <w:t>Making vocational choices: A theory of vocational personalities and work environments</w:t>
      </w:r>
      <w:r w:rsidRPr="00883693">
        <w:rPr>
          <w:rFonts w:ascii="Calibri" w:hAnsi="Calibri" w:cs="Calibri"/>
          <w:sz w:val="22"/>
          <w:szCs w:val="22"/>
        </w:rPr>
        <w:t xml:space="preserve"> (3rd ed.). Psychological Assessment Resources.</w:t>
      </w:r>
    </w:p>
    <w:p w14:paraId="16D04952" w14:textId="77777777" w:rsidR="00883693" w:rsidRPr="00883693" w:rsidRDefault="00883693" w:rsidP="00E833DD">
      <w:pPr>
        <w:spacing w:after="0" w:line="360" w:lineRule="auto"/>
        <w:ind w:left="720" w:hanging="720"/>
        <w:jc w:val="both"/>
        <w:rPr>
          <w:rFonts w:ascii="Calibri" w:hAnsi="Calibri" w:cs="Calibri"/>
          <w:sz w:val="22"/>
          <w:szCs w:val="22"/>
        </w:rPr>
      </w:pPr>
      <w:r w:rsidRPr="00883693">
        <w:rPr>
          <w:rFonts w:ascii="Calibri" w:hAnsi="Calibri" w:cs="Calibri"/>
          <w:sz w:val="22"/>
          <w:szCs w:val="22"/>
        </w:rPr>
        <w:t xml:space="preserve">Prediger, D. J., &amp; Vansickle, T. R. (1992). Locating occupations on Holland’s hexagon: Beyond RIASEC. </w:t>
      </w:r>
      <w:r w:rsidRPr="00883693">
        <w:rPr>
          <w:rFonts w:ascii="Calibri" w:hAnsi="Calibri" w:cs="Calibri"/>
          <w:i/>
          <w:iCs/>
          <w:sz w:val="22"/>
          <w:szCs w:val="22"/>
        </w:rPr>
        <w:t>Journal of Vocational Behavior, 40</w:t>
      </w:r>
      <w:r w:rsidRPr="00883693">
        <w:rPr>
          <w:rFonts w:ascii="Calibri" w:hAnsi="Calibri" w:cs="Calibri"/>
          <w:sz w:val="22"/>
          <w:szCs w:val="22"/>
        </w:rPr>
        <w:t xml:space="preserve">(1), 111–128. </w:t>
      </w:r>
      <w:hyperlink r:id="rId5" w:history="1">
        <w:r w:rsidRPr="00883693">
          <w:rPr>
            <w:rStyle w:val="Hyperlink"/>
            <w:rFonts w:ascii="Calibri" w:hAnsi="Calibri" w:cs="Calibri"/>
            <w:sz w:val="22"/>
            <w:szCs w:val="22"/>
          </w:rPr>
          <w:t>https://doi.org/10.1016/0001-8791(92)90034-3</w:t>
        </w:r>
      </w:hyperlink>
    </w:p>
    <w:p w14:paraId="4F998D6E" w14:textId="77777777" w:rsidR="00883693" w:rsidRPr="00883693" w:rsidRDefault="00883693" w:rsidP="00E833DD">
      <w:pPr>
        <w:spacing w:after="0" w:line="360" w:lineRule="auto"/>
        <w:ind w:left="720" w:hanging="720"/>
        <w:jc w:val="both"/>
        <w:rPr>
          <w:rFonts w:ascii="Calibri" w:hAnsi="Calibri" w:cs="Calibri"/>
          <w:sz w:val="22"/>
          <w:szCs w:val="22"/>
        </w:rPr>
      </w:pPr>
      <w:r w:rsidRPr="00883693">
        <w:rPr>
          <w:rFonts w:ascii="Calibri" w:hAnsi="Calibri" w:cs="Calibri"/>
          <w:sz w:val="22"/>
          <w:szCs w:val="22"/>
        </w:rPr>
        <w:t xml:space="preserve">Tracey, T. J. G. (2010). Development of an abbreviated Personal Globe Inventory using item response theory: The PGI-Short. </w:t>
      </w:r>
      <w:r w:rsidRPr="00883693">
        <w:rPr>
          <w:rFonts w:ascii="Calibri" w:hAnsi="Calibri" w:cs="Calibri"/>
          <w:i/>
          <w:iCs/>
          <w:sz w:val="22"/>
          <w:szCs w:val="22"/>
        </w:rPr>
        <w:t>Journal of Vocational Behavior, 76</w:t>
      </w:r>
      <w:r w:rsidRPr="00883693">
        <w:rPr>
          <w:rFonts w:ascii="Calibri" w:hAnsi="Calibri" w:cs="Calibri"/>
          <w:sz w:val="22"/>
          <w:szCs w:val="22"/>
        </w:rPr>
        <w:t xml:space="preserve">(1), 1–12. </w:t>
      </w:r>
      <w:hyperlink r:id="rId6" w:history="1">
        <w:r w:rsidRPr="00883693">
          <w:rPr>
            <w:rStyle w:val="Hyperlink"/>
            <w:rFonts w:ascii="Calibri" w:hAnsi="Calibri" w:cs="Calibri"/>
            <w:sz w:val="22"/>
            <w:szCs w:val="22"/>
          </w:rPr>
          <w:t>https://doi.org/10.1016/j.jvb.2009.06.007</w:t>
        </w:r>
      </w:hyperlink>
    </w:p>
    <w:p w14:paraId="50D3891B" w14:textId="77777777" w:rsidR="00883693" w:rsidRPr="00883693" w:rsidRDefault="00883693" w:rsidP="00E833DD">
      <w:pPr>
        <w:spacing w:after="0" w:line="360" w:lineRule="auto"/>
        <w:ind w:left="720" w:hanging="720"/>
        <w:jc w:val="both"/>
        <w:rPr>
          <w:rFonts w:ascii="Calibri" w:hAnsi="Calibri" w:cs="Calibri"/>
          <w:sz w:val="22"/>
          <w:szCs w:val="22"/>
        </w:rPr>
      </w:pPr>
      <w:r w:rsidRPr="00883693">
        <w:rPr>
          <w:rFonts w:ascii="Calibri" w:hAnsi="Calibri" w:cs="Calibri"/>
          <w:sz w:val="22"/>
          <w:szCs w:val="22"/>
        </w:rPr>
        <w:t xml:space="preserve">Tracey, T. J. G., &amp; Robbins, S. B. (2006). The interest–major congruence and college success relation: A longitudinal study. </w:t>
      </w:r>
      <w:r w:rsidRPr="00883693">
        <w:rPr>
          <w:rFonts w:ascii="Calibri" w:hAnsi="Calibri" w:cs="Calibri"/>
          <w:i/>
          <w:iCs/>
          <w:sz w:val="22"/>
          <w:szCs w:val="22"/>
        </w:rPr>
        <w:t>Journal of Vocational Behavior, 69</w:t>
      </w:r>
      <w:r w:rsidRPr="00883693">
        <w:rPr>
          <w:rFonts w:ascii="Calibri" w:hAnsi="Calibri" w:cs="Calibri"/>
          <w:sz w:val="22"/>
          <w:szCs w:val="22"/>
        </w:rPr>
        <w:t xml:space="preserve">(1), 64–89. </w:t>
      </w:r>
      <w:hyperlink r:id="rId7" w:history="1">
        <w:r w:rsidRPr="00883693">
          <w:rPr>
            <w:rStyle w:val="Hyperlink"/>
            <w:rFonts w:ascii="Calibri" w:hAnsi="Calibri" w:cs="Calibri"/>
            <w:sz w:val="22"/>
            <w:szCs w:val="22"/>
          </w:rPr>
          <w:t>https://doi.org/10.1016/j.jvb.2005.11.003</w:t>
        </w:r>
      </w:hyperlink>
    </w:p>
    <w:p w14:paraId="09A33875" w14:textId="7971015E" w:rsidR="00721DF5" w:rsidRPr="007033A4" w:rsidRDefault="00E833DD" w:rsidP="00F0462E">
      <w:pPr>
        <w:spacing w:after="0" w:line="360" w:lineRule="auto"/>
        <w:ind w:left="720" w:hanging="720"/>
        <w:rPr>
          <w:rFonts w:ascii="Calibri" w:hAnsi="Calibri" w:cs="Calibri"/>
          <w:sz w:val="22"/>
          <w:szCs w:val="22"/>
        </w:rPr>
      </w:pPr>
      <w:r w:rsidRPr="00E833DD">
        <w:rPr>
          <w:rFonts w:ascii="Calibri" w:hAnsi="Calibri" w:cs="Calibri"/>
          <w:sz w:val="22"/>
          <w:szCs w:val="22"/>
        </w:rPr>
        <w:t>Tracey, T. J. G., Allen, J., &amp; Robbins, S. B. (2012). Moderation of the relation between person–environment congruence and academic success: Environmental constraint, personal flexibility and method. </w:t>
      </w:r>
      <w:r w:rsidRPr="00E833DD">
        <w:rPr>
          <w:rFonts w:ascii="Calibri" w:hAnsi="Calibri" w:cs="Calibri"/>
          <w:i/>
          <w:iCs/>
          <w:sz w:val="22"/>
          <w:szCs w:val="22"/>
        </w:rPr>
        <w:t>Journal of Vocational Behavior, 80</w:t>
      </w:r>
      <w:r w:rsidRPr="00E833DD">
        <w:rPr>
          <w:rFonts w:ascii="Calibri" w:hAnsi="Calibri" w:cs="Calibri"/>
          <w:sz w:val="22"/>
          <w:szCs w:val="22"/>
        </w:rPr>
        <w:t>(1), 38–49. </w:t>
      </w:r>
      <w:hyperlink r:id="rId8" w:tgtFrame="_blank" w:history="1">
        <w:r w:rsidRPr="00E833DD">
          <w:rPr>
            <w:rStyle w:val="Hyperlink"/>
            <w:rFonts w:ascii="Calibri" w:hAnsi="Calibri" w:cs="Calibri"/>
            <w:sz w:val="22"/>
            <w:szCs w:val="22"/>
          </w:rPr>
          <w:t>https://doi.org/10.1016/j.jvb.2011.03.005</w:t>
        </w:r>
      </w:hyperlink>
    </w:p>
    <w:sectPr w:rsidR="00721DF5" w:rsidRPr="007033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B13DB"/>
    <w:multiLevelType w:val="multilevel"/>
    <w:tmpl w:val="B734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56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DF5"/>
    <w:rsid w:val="00011562"/>
    <w:rsid w:val="00037F8D"/>
    <w:rsid w:val="001C0AE5"/>
    <w:rsid w:val="002150D2"/>
    <w:rsid w:val="003A6945"/>
    <w:rsid w:val="003D11FE"/>
    <w:rsid w:val="00510D01"/>
    <w:rsid w:val="00560EF8"/>
    <w:rsid w:val="006B24FC"/>
    <w:rsid w:val="007033A4"/>
    <w:rsid w:val="00721DF5"/>
    <w:rsid w:val="00883693"/>
    <w:rsid w:val="008B2AA0"/>
    <w:rsid w:val="00D36646"/>
    <w:rsid w:val="00E833DD"/>
    <w:rsid w:val="00ED2C2A"/>
    <w:rsid w:val="00F0462E"/>
    <w:rsid w:val="00FE1418"/>
    <w:rsid w:val="00FE5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24E48"/>
  <w15:chartTrackingRefBased/>
  <w15:docId w15:val="{1F1BA22A-ACE1-40C8-9874-2D34FFC6D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1D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1D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1D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1D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1D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1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D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1D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1D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1D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1D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1D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D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D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DF5"/>
    <w:rPr>
      <w:rFonts w:eastAsiaTheme="majorEastAsia" w:cstheme="majorBidi"/>
      <w:color w:val="272727" w:themeColor="text1" w:themeTint="D8"/>
    </w:rPr>
  </w:style>
  <w:style w:type="paragraph" w:styleId="Title">
    <w:name w:val="Title"/>
    <w:basedOn w:val="Normal"/>
    <w:next w:val="Normal"/>
    <w:link w:val="TitleChar"/>
    <w:uiPriority w:val="10"/>
    <w:qFormat/>
    <w:rsid w:val="00721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D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D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DF5"/>
    <w:pPr>
      <w:spacing w:before="160"/>
      <w:jc w:val="center"/>
    </w:pPr>
    <w:rPr>
      <w:i/>
      <w:iCs/>
      <w:color w:val="404040" w:themeColor="text1" w:themeTint="BF"/>
    </w:rPr>
  </w:style>
  <w:style w:type="character" w:customStyle="1" w:styleId="QuoteChar">
    <w:name w:val="Quote Char"/>
    <w:basedOn w:val="DefaultParagraphFont"/>
    <w:link w:val="Quote"/>
    <w:uiPriority w:val="29"/>
    <w:rsid w:val="00721DF5"/>
    <w:rPr>
      <w:i/>
      <w:iCs/>
      <w:color w:val="404040" w:themeColor="text1" w:themeTint="BF"/>
    </w:rPr>
  </w:style>
  <w:style w:type="paragraph" w:styleId="ListParagraph">
    <w:name w:val="List Paragraph"/>
    <w:basedOn w:val="Normal"/>
    <w:uiPriority w:val="34"/>
    <w:qFormat/>
    <w:rsid w:val="00721DF5"/>
    <w:pPr>
      <w:ind w:left="720"/>
      <w:contextualSpacing/>
    </w:pPr>
  </w:style>
  <w:style w:type="character" w:styleId="IntenseEmphasis">
    <w:name w:val="Intense Emphasis"/>
    <w:basedOn w:val="DefaultParagraphFont"/>
    <w:uiPriority w:val="21"/>
    <w:qFormat/>
    <w:rsid w:val="00721DF5"/>
    <w:rPr>
      <w:i/>
      <w:iCs/>
      <w:color w:val="0F4761" w:themeColor="accent1" w:themeShade="BF"/>
    </w:rPr>
  </w:style>
  <w:style w:type="paragraph" w:styleId="IntenseQuote">
    <w:name w:val="Intense Quote"/>
    <w:basedOn w:val="Normal"/>
    <w:next w:val="Normal"/>
    <w:link w:val="IntenseQuoteChar"/>
    <w:uiPriority w:val="30"/>
    <w:qFormat/>
    <w:rsid w:val="00721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1DF5"/>
    <w:rPr>
      <w:i/>
      <w:iCs/>
      <w:color w:val="0F4761" w:themeColor="accent1" w:themeShade="BF"/>
    </w:rPr>
  </w:style>
  <w:style w:type="character" w:styleId="IntenseReference">
    <w:name w:val="Intense Reference"/>
    <w:basedOn w:val="DefaultParagraphFont"/>
    <w:uiPriority w:val="32"/>
    <w:qFormat/>
    <w:rsid w:val="00721DF5"/>
    <w:rPr>
      <w:b/>
      <w:bCs/>
      <w:smallCaps/>
      <w:color w:val="0F4761" w:themeColor="accent1" w:themeShade="BF"/>
      <w:spacing w:val="5"/>
    </w:rPr>
  </w:style>
  <w:style w:type="character" w:styleId="Hyperlink">
    <w:name w:val="Hyperlink"/>
    <w:basedOn w:val="DefaultParagraphFont"/>
    <w:uiPriority w:val="99"/>
    <w:unhideWhenUsed/>
    <w:rsid w:val="00ED2C2A"/>
    <w:rPr>
      <w:color w:val="467886" w:themeColor="hyperlink"/>
      <w:u w:val="single"/>
    </w:rPr>
  </w:style>
  <w:style w:type="character" w:styleId="UnresolvedMention">
    <w:name w:val="Unresolved Mention"/>
    <w:basedOn w:val="DefaultParagraphFont"/>
    <w:uiPriority w:val="99"/>
    <w:semiHidden/>
    <w:unhideWhenUsed/>
    <w:rsid w:val="00ED2C2A"/>
    <w:rPr>
      <w:color w:val="605E5C"/>
      <w:shd w:val="clear" w:color="auto" w:fill="E1DFDD"/>
    </w:rPr>
  </w:style>
  <w:style w:type="character" w:styleId="FollowedHyperlink">
    <w:name w:val="FollowedHyperlink"/>
    <w:basedOn w:val="DefaultParagraphFont"/>
    <w:uiPriority w:val="99"/>
    <w:semiHidden/>
    <w:unhideWhenUsed/>
    <w:rsid w:val="00ED2C2A"/>
    <w:rPr>
      <w:color w:val="96607D" w:themeColor="followedHyperlink"/>
      <w:u w:val="single"/>
    </w:rPr>
  </w:style>
  <w:style w:type="table" w:customStyle="1" w:styleId="TableGrid1">
    <w:name w:val="Table Grid1"/>
    <w:basedOn w:val="TableNormal"/>
    <w:next w:val="TableGrid"/>
    <w:uiPriority w:val="39"/>
    <w:rsid w:val="00703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03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net.apa.org/doi/10.1016/j.jvb.2011.03.005" TargetMode="External"/><Relationship Id="rId3" Type="http://schemas.openxmlformats.org/officeDocument/2006/relationships/settings" Target="settings.xml"/><Relationship Id="rId7" Type="http://schemas.openxmlformats.org/officeDocument/2006/relationships/hyperlink" Target="https://doi.org/10.1016/j.jvb.2005.11.0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jvb.2009.06.007" TargetMode="External"/><Relationship Id="rId5" Type="http://schemas.openxmlformats.org/officeDocument/2006/relationships/hyperlink" Target="https://doi.org/10.1016/0001-8791(92)9003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1736</Words>
  <Characters>9898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Babarovic</dc:creator>
  <cp:keywords/>
  <dc:description/>
  <cp:lastModifiedBy>Toni Babarovic</cp:lastModifiedBy>
  <cp:revision>4</cp:revision>
  <dcterms:created xsi:type="dcterms:W3CDTF">2026-04-13T14:53:00Z</dcterms:created>
  <dcterms:modified xsi:type="dcterms:W3CDTF">2026-04-14T09:33:00Z</dcterms:modified>
</cp:coreProperties>
</file>