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AAD58" w14:textId="71DA8042" w:rsidR="0002002F" w:rsidRDefault="0002002F" w:rsidP="000630A7">
      <w:pPr>
        <w:jc w:val="center"/>
        <w:rPr>
          <w:rFonts w:ascii="Arial" w:hAnsi="Arial" w:cs="Arial"/>
          <w:b/>
          <w:bCs/>
        </w:rPr>
      </w:pPr>
      <w:r w:rsidRPr="000630A7">
        <w:rPr>
          <w:rFonts w:ascii="Arial" w:hAnsi="Arial" w:cs="Arial"/>
          <w:b/>
          <w:bCs/>
        </w:rPr>
        <w:t>Submission for IAEVG Conference</w:t>
      </w:r>
      <w:r w:rsidRPr="000630A7">
        <w:rPr>
          <w:rFonts w:ascii="Arial" w:hAnsi="Arial" w:cs="Arial"/>
          <w:b/>
          <w:bCs/>
        </w:rPr>
        <w:br/>
      </w:r>
      <w:r w:rsidRPr="000630A7">
        <w:rPr>
          <w:rFonts w:ascii="Arial" w:hAnsi="Arial" w:cs="Arial"/>
          <w:b/>
          <w:bCs/>
        </w:rPr>
        <w:t>Creative Resilience: Developing a New Framework for Career Development</w:t>
      </w:r>
    </w:p>
    <w:p w14:paraId="3430F450" w14:textId="69EDD581" w:rsidR="000630A7" w:rsidRPr="00A00D56" w:rsidRDefault="000630A7" w:rsidP="000630A7">
      <w:pPr>
        <w:jc w:val="center"/>
        <w:rPr>
          <w:rFonts w:ascii="Arial" w:hAnsi="Arial" w:cs="Arial"/>
        </w:rPr>
      </w:pPr>
      <w:r>
        <w:rPr>
          <w:rFonts w:ascii="Arial" w:hAnsi="Arial" w:cs="Arial"/>
          <w:b/>
          <w:bCs/>
        </w:rPr>
        <w:t>Dirk W. Matthews</w:t>
      </w:r>
    </w:p>
    <w:p w14:paraId="3D7EBD67" w14:textId="6879F40D" w:rsidR="0002002F" w:rsidRPr="00A00D56" w:rsidRDefault="0002002F">
      <w:pPr>
        <w:rPr>
          <w:rFonts w:ascii="Arial" w:hAnsi="Arial" w:cs="Arial"/>
        </w:rPr>
      </w:pPr>
      <w:r w:rsidRPr="000630A7">
        <w:rPr>
          <w:rFonts w:ascii="Arial" w:hAnsi="Arial" w:cs="Arial"/>
          <w:b/>
          <w:bCs/>
        </w:rPr>
        <w:t>Title of workshop</w:t>
      </w:r>
      <w:r w:rsidRPr="000630A7">
        <w:rPr>
          <w:rFonts w:ascii="Arial" w:hAnsi="Arial" w:cs="Arial"/>
          <w:b/>
          <w:bCs/>
        </w:rPr>
        <w:t>:</w:t>
      </w:r>
      <w:r w:rsidRPr="00A00D56">
        <w:rPr>
          <w:rFonts w:ascii="Arial" w:hAnsi="Arial" w:cs="Arial"/>
        </w:rPr>
        <w:t xml:space="preserve"> </w:t>
      </w:r>
      <w:r w:rsidRPr="00A00D56">
        <w:rPr>
          <w:rFonts w:ascii="Arial" w:hAnsi="Arial" w:cs="Arial"/>
        </w:rPr>
        <w:t>Creative Resilience: Developing a New Framework for Career Development</w:t>
      </w:r>
    </w:p>
    <w:p w14:paraId="663B1FC0" w14:textId="1A0C105A" w:rsidR="0002002F" w:rsidRPr="00A00D56" w:rsidRDefault="000630A7">
      <w:pPr>
        <w:rPr>
          <w:rFonts w:ascii="Arial" w:hAnsi="Arial" w:cs="Arial"/>
        </w:rPr>
      </w:pPr>
      <w:r>
        <w:rPr>
          <w:rFonts w:ascii="Arial" w:hAnsi="Arial" w:cs="Arial"/>
          <w:b/>
          <w:bCs/>
        </w:rPr>
        <w:t xml:space="preserve">Conference Themes: </w:t>
      </w:r>
      <w:r w:rsidR="0002002F" w:rsidRPr="00A00D56">
        <w:rPr>
          <w:rFonts w:ascii="Arial" w:hAnsi="Arial" w:cs="Arial"/>
        </w:rPr>
        <w:t>Career Theory and Research for Future Directions in Practice.</w:t>
      </w:r>
    </w:p>
    <w:p w14:paraId="4CEFB02A" w14:textId="2121474E" w:rsidR="0002002F" w:rsidRPr="00A00D56" w:rsidRDefault="0002002F">
      <w:pPr>
        <w:rPr>
          <w:rFonts w:ascii="Arial" w:hAnsi="Arial" w:cs="Arial"/>
        </w:rPr>
      </w:pPr>
      <w:r w:rsidRPr="000630A7">
        <w:rPr>
          <w:rFonts w:ascii="Arial" w:hAnsi="Arial" w:cs="Arial"/>
          <w:b/>
          <w:bCs/>
        </w:rPr>
        <w:t>Presentation languag</w:t>
      </w:r>
      <w:r w:rsidR="000630A7">
        <w:rPr>
          <w:rFonts w:ascii="Arial" w:hAnsi="Arial" w:cs="Arial"/>
          <w:b/>
          <w:bCs/>
        </w:rPr>
        <w:t>e</w:t>
      </w:r>
      <w:r w:rsidRPr="00A00D56">
        <w:rPr>
          <w:rFonts w:ascii="Arial" w:hAnsi="Arial" w:cs="Arial"/>
        </w:rPr>
        <w:t>: English</w:t>
      </w:r>
    </w:p>
    <w:p w14:paraId="4514C6C7" w14:textId="14B941C6" w:rsidR="0002002F" w:rsidRPr="00A00D56" w:rsidRDefault="0002002F">
      <w:pPr>
        <w:rPr>
          <w:rFonts w:ascii="Arial" w:hAnsi="Arial" w:cs="Arial"/>
        </w:rPr>
      </w:pPr>
      <w:r w:rsidRPr="000630A7">
        <w:rPr>
          <w:rFonts w:ascii="Arial" w:hAnsi="Arial" w:cs="Arial"/>
          <w:b/>
          <w:bCs/>
        </w:rPr>
        <w:t xml:space="preserve">Abstract </w:t>
      </w:r>
    </w:p>
    <w:p w14:paraId="1769845E" w14:textId="7D557214" w:rsidR="00FE6710" w:rsidRPr="00A00D56" w:rsidRDefault="00FE6710" w:rsidP="00FE6710">
      <w:pPr>
        <w:rPr>
          <w:rFonts w:ascii="Arial" w:eastAsia="Arial" w:hAnsi="Arial" w:cs="Arial"/>
          <w:color w:val="000000" w:themeColor="text1"/>
        </w:rPr>
      </w:pPr>
      <w:r w:rsidRPr="00A00D56">
        <w:rPr>
          <w:rFonts w:ascii="Arial" w:eastAsia="Arial" w:hAnsi="Arial" w:cs="Arial"/>
          <w:color w:val="000000" w:themeColor="text1"/>
        </w:rPr>
        <w:t>There is a significant focus on cultivating resilience through career development amid rapid change. The integration of creativity into these discussions typically centers on a skill that employers highly value: creative problem-solving. This approach positions creativity as a product of resilience. The Creative Resilience Framework positions creativity as an operative process for building resilience and developing agency in individuals.</w:t>
      </w:r>
    </w:p>
    <w:p w14:paraId="3638644D" w14:textId="520652D7" w:rsidR="00FE6710" w:rsidRPr="00A00D56" w:rsidRDefault="00FE6710" w:rsidP="00FE6710">
      <w:pPr>
        <w:rPr>
          <w:rFonts w:ascii="Arial" w:eastAsia="Arial" w:hAnsi="Arial" w:cs="Arial"/>
          <w:color w:val="000000" w:themeColor="text1"/>
        </w:rPr>
      </w:pPr>
      <w:r w:rsidRPr="00A00D56">
        <w:rPr>
          <w:rFonts w:ascii="Arial" w:eastAsia="Arial" w:hAnsi="Arial" w:cs="Arial"/>
          <w:color w:val="000000" w:themeColor="text1"/>
        </w:rPr>
        <w:t>Drawing on current trends in resilience and career development theory, a process is proposed to cultivate agency through creative practice. The externalization of constraints allows for the acceptance of anxiety as a catalyst for creative exploration, an engagement of the creative process, and the production of an actionable plan.</w:t>
      </w:r>
    </w:p>
    <w:p w14:paraId="18CFF25F" w14:textId="57A4D965" w:rsidR="0002002F" w:rsidRPr="00A00D56" w:rsidRDefault="00FE6710">
      <w:pPr>
        <w:rPr>
          <w:rFonts w:ascii="Arial" w:eastAsia="Arial" w:hAnsi="Arial" w:cs="Arial"/>
          <w:color w:val="000000" w:themeColor="text1"/>
        </w:rPr>
      </w:pPr>
      <w:r w:rsidRPr="00A00D56">
        <w:rPr>
          <w:rFonts w:ascii="Arial" w:eastAsia="Arial" w:hAnsi="Arial" w:cs="Arial"/>
          <w:color w:val="000000" w:themeColor="text1"/>
        </w:rPr>
        <w:t>The foundation of the Creative Resilience Framework draws from the author’s experience guiding creative individuals through career development as a faculty member in higher education, and clinical work. The recently developed Framework examines the predominant theories in resilience (Bonanno, Masten, Norris), career construction (Savickas), and flow states of creativity (Csikszentmihalyi). This approach is especially relevant for educators, counselors, organizational leaders, and professionals serving diverse global populations.</w:t>
      </w:r>
    </w:p>
    <w:p w14:paraId="0ADAD79A" w14:textId="4B908486" w:rsidR="00FE6710" w:rsidRPr="00A00D56" w:rsidRDefault="0002002F">
      <w:pPr>
        <w:rPr>
          <w:rFonts w:ascii="Arial" w:hAnsi="Arial" w:cs="Arial"/>
        </w:rPr>
      </w:pPr>
      <w:r w:rsidRPr="000630A7">
        <w:rPr>
          <w:rFonts w:ascii="Arial" w:hAnsi="Arial" w:cs="Arial"/>
          <w:b/>
          <w:bCs/>
        </w:rPr>
        <w:t>Keywords:</w:t>
      </w:r>
      <w:r w:rsidRPr="00A00D56">
        <w:rPr>
          <w:rFonts w:ascii="Arial" w:hAnsi="Arial" w:cs="Arial"/>
        </w:rPr>
        <w:t xml:space="preserve"> </w:t>
      </w:r>
      <w:r w:rsidR="00732451" w:rsidRPr="00A00D56">
        <w:rPr>
          <w:rFonts w:ascii="Arial" w:hAnsi="Arial" w:cs="Arial"/>
        </w:rPr>
        <w:t xml:space="preserve">Creativity, Resilience, Agency, Career Development, </w:t>
      </w:r>
      <w:r w:rsidR="00732451" w:rsidRPr="00A00D56">
        <w:rPr>
          <w:rFonts w:ascii="Arial" w:hAnsi="Arial" w:cs="Arial"/>
        </w:rPr>
        <w:t>Theory</w:t>
      </w:r>
    </w:p>
    <w:p w14:paraId="77BDF2D6" w14:textId="399D2AE6" w:rsidR="0002002F" w:rsidRPr="00A00D56" w:rsidRDefault="0002002F">
      <w:pPr>
        <w:rPr>
          <w:rFonts w:ascii="Arial" w:hAnsi="Arial" w:cs="Arial"/>
        </w:rPr>
      </w:pPr>
      <w:r w:rsidRPr="00A00D56">
        <w:rPr>
          <w:rFonts w:ascii="Arial" w:hAnsi="Arial" w:cs="Arial"/>
        </w:rPr>
        <w:t>A workshop proposal should consist of introduction, objectives, theoretical basis, methodology, results, conclusions and bibliographical references. Specify the content, target audience, and the format of the workshop (interactive, presentation</w:t>
      </w:r>
      <w:r w:rsidR="00FE6710" w:rsidRPr="00A00D56">
        <w:rPr>
          <w:rFonts w:ascii="Arial" w:hAnsi="Arial" w:cs="Arial"/>
        </w:rPr>
        <w:t>-</w:t>
      </w:r>
      <w:r w:rsidRPr="00A00D56">
        <w:rPr>
          <w:rFonts w:ascii="Arial" w:hAnsi="Arial" w:cs="Arial"/>
        </w:rPr>
        <w:t>based, or</w:t>
      </w:r>
      <w:r w:rsidR="000630A7">
        <w:rPr>
          <w:rFonts w:ascii="Arial" w:hAnsi="Arial" w:cs="Arial"/>
        </w:rPr>
        <w:t xml:space="preserve"> </w:t>
      </w:r>
      <w:r w:rsidRPr="00A00D56">
        <w:rPr>
          <w:rFonts w:ascii="Arial" w:hAnsi="Arial" w:cs="Arial"/>
        </w:rPr>
        <w:t xml:space="preserve">experiential). </w:t>
      </w:r>
    </w:p>
    <w:p w14:paraId="1062EDD4" w14:textId="77777777" w:rsidR="00A00D56" w:rsidRPr="00A00D56" w:rsidRDefault="00A00D56" w:rsidP="00A00D56">
      <w:pPr>
        <w:rPr>
          <w:rFonts w:ascii="Arial" w:hAnsi="Arial" w:cs="Arial"/>
        </w:rPr>
      </w:pPr>
      <w:r w:rsidRPr="00A00D56">
        <w:rPr>
          <w:rFonts w:ascii="Arial" w:hAnsi="Arial" w:cs="Arial"/>
          <w:b/>
          <w:bCs/>
        </w:rPr>
        <w:t>Introduction</w:t>
      </w:r>
    </w:p>
    <w:p w14:paraId="3E4A971D" w14:textId="26DCCECC" w:rsidR="00A00D56" w:rsidRPr="00A00D56" w:rsidRDefault="00A00D56" w:rsidP="00A00D56">
      <w:pPr>
        <w:rPr>
          <w:rFonts w:ascii="Arial" w:hAnsi="Arial" w:cs="Arial"/>
        </w:rPr>
      </w:pPr>
      <w:r w:rsidRPr="00A00D56">
        <w:rPr>
          <w:rFonts w:ascii="Arial" w:hAnsi="Arial" w:cs="Arial"/>
        </w:rPr>
        <w:t xml:space="preserve">Creativity is a misunderstood concept. The term often evokes the work of artists, filmmakers, and performers. Creativity is essential to the career development process. It </w:t>
      </w:r>
      <w:r w:rsidR="00A26480">
        <w:rPr>
          <w:rFonts w:ascii="Arial" w:hAnsi="Arial" w:cs="Arial"/>
        </w:rPr>
        <w:t>manifests</w:t>
      </w:r>
      <w:r w:rsidRPr="00A00D56">
        <w:rPr>
          <w:rFonts w:ascii="Arial" w:hAnsi="Arial" w:cs="Arial"/>
        </w:rPr>
        <w:t xml:space="preserve"> </w:t>
      </w:r>
      <w:r w:rsidR="00A26480">
        <w:rPr>
          <w:rFonts w:ascii="Arial" w:hAnsi="Arial" w:cs="Arial"/>
        </w:rPr>
        <w:t>as</w:t>
      </w:r>
      <w:r w:rsidRPr="00A00D56">
        <w:rPr>
          <w:rFonts w:ascii="Arial" w:hAnsi="Arial" w:cs="Arial"/>
        </w:rPr>
        <w:t xml:space="preserve"> adaptive capacities in individuals, provides opportunities </w:t>
      </w:r>
      <w:r w:rsidR="00A26480">
        <w:rPr>
          <w:rFonts w:ascii="Arial" w:hAnsi="Arial" w:cs="Arial"/>
        </w:rPr>
        <w:t>for</w:t>
      </w:r>
      <w:r w:rsidRPr="00A00D56">
        <w:rPr>
          <w:rFonts w:ascii="Arial" w:hAnsi="Arial" w:cs="Arial"/>
        </w:rPr>
        <w:t xml:space="preserve"> </w:t>
      </w:r>
      <w:proofErr w:type="gramStart"/>
      <w:r w:rsidR="00A26480" w:rsidRPr="00A00D56">
        <w:rPr>
          <w:rFonts w:ascii="Arial" w:hAnsi="Arial" w:cs="Arial"/>
        </w:rPr>
        <w:t>meaning</w:t>
      </w:r>
      <w:r w:rsidR="00A26480">
        <w:rPr>
          <w:rFonts w:ascii="Arial" w:hAnsi="Arial" w:cs="Arial"/>
        </w:rPr>
        <w:t>-</w:t>
      </w:r>
      <w:r w:rsidR="00A26480" w:rsidRPr="00A00D56">
        <w:rPr>
          <w:rFonts w:ascii="Arial" w:hAnsi="Arial" w:cs="Arial"/>
        </w:rPr>
        <w:lastRenderedPageBreak/>
        <w:t>making</w:t>
      </w:r>
      <w:proofErr w:type="gramEnd"/>
      <w:r w:rsidRPr="00A00D56">
        <w:rPr>
          <w:rFonts w:ascii="Arial" w:hAnsi="Arial" w:cs="Arial"/>
        </w:rPr>
        <w:t>, and creates a sense of agency. As career practitioners, we u</w:t>
      </w:r>
      <w:r w:rsidR="00A26480">
        <w:rPr>
          <w:rFonts w:ascii="Arial" w:hAnsi="Arial" w:cs="Arial"/>
        </w:rPr>
        <w:t>s</w:t>
      </w:r>
      <w:r w:rsidRPr="00A00D56">
        <w:rPr>
          <w:rFonts w:ascii="Arial" w:hAnsi="Arial" w:cs="Arial"/>
        </w:rPr>
        <w:t xml:space="preserve">e creativity </w:t>
      </w:r>
      <w:r w:rsidR="00A26480">
        <w:rPr>
          <w:rFonts w:ascii="Arial" w:hAnsi="Arial" w:cs="Arial"/>
        </w:rPr>
        <w:t>to</w:t>
      </w:r>
      <w:r w:rsidRPr="00A00D56">
        <w:rPr>
          <w:rFonts w:ascii="Arial" w:hAnsi="Arial" w:cs="Arial"/>
        </w:rPr>
        <w:t xml:space="preserve"> guid</w:t>
      </w:r>
      <w:r w:rsidR="00A26480">
        <w:rPr>
          <w:rFonts w:ascii="Arial" w:hAnsi="Arial" w:cs="Arial"/>
        </w:rPr>
        <w:t>e</w:t>
      </w:r>
      <w:r w:rsidRPr="00A00D56">
        <w:rPr>
          <w:rFonts w:ascii="Arial" w:hAnsi="Arial" w:cs="Arial"/>
        </w:rPr>
        <w:t xml:space="preserve"> individuals and job seekers </w:t>
      </w:r>
      <w:r w:rsidR="00A26480">
        <w:rPr>
          <w:rFonts w:ascii="Arial" w:hAnsi="Arial" w:cs="Arial"/>
        </w:rPr>
        <w:t>as they explore</w:t>
      </w:r>
      <w:r w:rsidRPr="00A00D56">
        <w:rPr>
          <w:rFonts w:ascii="Arial" w:hAnsi="Arial" w:cs="Arial"/>
        </w:rPr>
        <w:t xml:space="preserve"> new possibilities.</w:t>
      </w:r>
    </w:p>
    <w:p w14:paraId="4E93F6BF" w14:textId="77777777" w:rsidR="00A00D56" w:rsidRDefault="00A00D56" w:rsidP="00A00D56">
      <w:pPr>
        <w:rPr>
          <w:rFonts w:ascii="Arial" w:hAnsi="Arial" w:cs="Arial"/>
        </w:rPr>
      </w:pPr>
      <w:r w:rsidRPr="00A00D56">
        <w:rPr>
          <w:rFonts w:ascii="Arial" w:hAnsi="Arial" w:cs="Arial"/>
        </w:rPr>
        <w:t>There is a significant focus on cultivating resilience through career development amid rapid change. The integration of creativity into these discussions typically centers on a skill that employers highly value: creative problem-solving. This approach positions creativity as a product of resilience. The Creative Resilience Framework positions creativity as an operative process for building resilience and developing agency in individuals.</w:t>
      </w:r>
    </w:p>
    <w:p w14:paraId="21E30044" w14:textId="63FBA491" w:rsidR="00A26480" w:rsidRPr="00A00D56" w:rsidRDefault="00A26480" w:rsidP="00A00D56">
      <w:pPr>
        <w:rPr>
          <w:rFonts w:ascii="Arial" w:hAnsi="Arial" w:cs="Arial"/>
        </w:rPr>
      </w:pPr>
      <w:r>
        <w:rPr>
          <w:rFonts w:ascii="Arial" w:hAnsi="Arial" w:cs="Arial"/>
        </w:rPr>
        <w:t>The career paths of those exploring work in what can be referred to as ‘creative fields’ (graphic design, arts, filmmaking, photography, performance, etc.) provide a basis to examine unique approaches that have universal relevance. Given the work in these areas is primarily project based, the introduction of an obstacle or a limitation provides an opportunity for a creative solution that circumvents rather than resolves the limitation. Through cultivation of anyone’s creativity, this approach of viewing a challenge as an external element rather than an internal flaw facilitates agency in the individual.</w:t>
      </w:r>
    </w:p>
    <w:p w14:paraId="50282B22" w14:textId="77777777" w:rsidR="000630A7" w:rsidRDefault="00A00D56" w:rsidP="002915C3">
      <w:pPr>
        <w:rPr>
          <w:rFonts w:ascii="Arial" w:hAnsi="Arial" w:cs="Arial"/>
        </w:rPr>
      </w:pPr>
      <w:r w:rsidRPr="00A00D56">
        <w:rPr>
          <w:rFonts w:ascii="Arial" w:hAnsi="Arial" w:cs="Arial"/>
        </w:rPr>
        <w:t>In work spanning over 28 years as an adjunct professor at one of the world's largest film schools, as a leader in career development in an arts and media college, and over 40 years as a photographer, filmmaker, and writer, the disconnection between those seeking or practicing in creative fields and the term "career" becomes clear. By examining how individuals in the creative arts approach the career process, a Creative Resilience Framework arises to explore career development while democratizing the creative process, making it accessible and essential in response to rapid change.</w:t>
      </w:r>
    </w:p>
    <w:p w14:paraId="4156E57E" w14:textId="1402F2C5" w:rsidR="002915C3" w:rsidRPr="002915C3" w:rsidRDefault="002915C3" w:rsidP="002915C3">
      <w:pPr>
        <w:rPr>
          <w:rFonts w:ascii="Arial" w:hAnsi="Arial" w:cs="Arial"/>
        </w:rPr>
      </w:pPr>
      <w:r w:rsidRPr="002915C3">
        <w:rPr>
          <w:rFonts w:ascii="Arial" w:hAnsi="Arial" w:cs="Arial"/>
          <w:b/>
          <w:bCs/>
        </w:rPr>
        <w:t>Theoretical Basis</w:t>
      </w:r>
    </w:p>
    <w:p w14:paraId="3DAEECFD" w14:textId="029088C6" w:rsidR="002915C3" w:rsidRPr="002915C3" w:rsidRDefault="002915C3" w:rsidP="002915C3">
      <w:pPr>
        <w:rPr>
          <w:rFonts w:ascii="Arial" w:hAnsi="Arial" w:cs="Arial"/>
        </w:rPr>
      </w:pPr>
      <w:r w:rsidRPr="002915C3">
        <w:rPr>
          <w:rFonts w:ascii="Arial" w:hAnsi="Arial" w:cs="Arial"/>
        </w:rPr>
        <w:t xml:space="preserve">The early 20th century brought the expansion of Freud's theories, primarily by Carl Jung. Jung proposed a collective unconscious that unified humanity and first </w:t>
      </w:r>
      <w:r>
        <w:rPr>
          <w:rFonts w:ascii="Arial" w:hAnsi="Arial" w:cs="Arial"/>
          <w:kern w:val="0"/>
          <w14:ligatures w14:val="none"/>
        </w:rPr>
        <w:t>posited that creativity was a process, with the work a byproduct of that</w:t>
      </w:r>
      <w:r w:rsidRPr="002915C3">
        <w:rPr>
          <w:rFonts w:ascii="Arial" w:hAnsi="Arial" w:cs="Arial"/>
        </w:rPr>
        <w:t xml:space="preserve"> process. Jung saw Active Imagination as a way for individuals to focus on and explore uncomfortable feelings through drawing, painting, and writing, serving as a bridge to the subconscious rather than as a pathological resistance.</w:t>
      </w:r>
    </w:p>
    <w:p w14:paraId="7AC6740F" w14:textId="77777777" w:rsidR="002915C3" w:rsidRPr="002915C3" w:rsidRDefault="002915C3" w:rsidP="002915C3">
      <w:pPr>
        <w:rPr>
          <w:rFonts w:ascii="Arial" w:hAnsi="Arial" w:cs="Arial"/>
        </w:rPr>
      </w:pPr>
      <w:r w:rsidRPr="002915C3">
        <w:rPr>
          <w:rFonts w:ascii="Arial" w:hAnsi="Arial" w:cs="Arial"/>
        </w:rPr>
        <w:t>Flow theory offers a more current view of the process behind creativity. Mihaly Csikszentmihalyi theorized that individuals could enter a state of complete absorption and immersion in an activity, especially when losing track of time and self-awareness. This state is considered the Flow state. Different activities can trigger a flow state in different individuals. At its core, the Flow state is the closest description of the creative process.</w:t>
      </w:r>
    </w:p>
    <w:p w14:paraId="255713D5" w14:textId="300BA0B4" w:rsidR="002915C3" w:rsidRPr="002915C3" w:rsidRDefault="002915C3" w:rsidP="002915C3">
      <w:pPr>
        <w:rPr>
          <w:rFonts w:ascii="Arial" w:hAnsi="Arial" w:cs="Arial"/>
        </w:rPr>
      </w:pPr>
      <w:r w:rsidRPr="002915C3">
        <w:rPr>
          <w:rFonts w:ascii="Arial" w:hAnsi="Arial" w:cs="Arial"/>
        </w:rPr>
        <w:t xml:space="preserve">Savickas' Career Construction Theory positions narrative as the operative unit in the career development process, conceptualizing individuals as storied rather than </w:t>
      </w:r>
      <w:r w:rsidRPr="002915C3">
        <w:rPr>
          <w:rFonts w:ascii="Arial" w:hAnsi="Arial" w:cs="Arial"/>
        </w:rPr>
        <w:lastRenderedPageBreak/>
        <w:t xml:space="preserve">possessing static traits. This approach addresses what, how, and why people construct their careers as they translate their storied identity into work </w:t>
      </w:r>
      <w:proofErr w:type="gramStart"/>
      <w:r w:rsidRPr="002915C3">
        <w:rPr>
          <w:rFonts w:ascii="Arial" w:hAnsi="Arial" w:cs="Arial"/>
        </w:rPr>
        <w:t>roles</w:t>
      </w:r>
      <w:r>
        <w:rPr>
          <w:rFonts w:ascii="Arial" w:hAnsi="Arial" w:cs="Arial"/>
        </w:rPr>
        <w:t>, and</w:t>
      </w:r>
      <w:proofErr w:type="gramEnd"/>
      <w:r>
        <w:rPr>
          <w:rFonts w:ascii="Arial" w:hAnsi="Arial" w:cs="Arial"/>
        </w:rPr>
        <w:t xml:space="preserve"> informs the narrative approach as a method to develop form to the creative </w:t>
      </w:r>
      <w:proofErr w:type="gramStart"/>
      <w:r>
        <w:rPr>
          <w:rFonts w:ascii="Arial" w:hAnsi="Arial" w:cs="Arial"/>
        </w:rPr>
        <w:t>process.</w:t>
      </w:r>
      <w:r w:rsidRPr="002915C3">
        <w:rPr>
          <w:rFonts w:ascii="Arial" w:hAnsi="Arial" w:cs="Arial"/>
        </w:rPr>
        <w:t>(</w:t>
      </w:r>
      <w:proofErr w:type="gramEnd"/>
      <w:r w:rsidRPr="002915C3">
        <w:rPr>
          <w:rFonts w:ascii="Arial" w:hAnsi="Arial" w:cs="Arial"/>
        </w:rPr>
        <w:t>Savickas, 2005).</w:t>
      </w:r>
    </w:p>
    <w:p w14:paraId="645270AA" w14:textId="1AAB23AA" w:rsidR="002915C3" w:rsidRPr="002915C3" w:rsidRDefault="002915C3" w:rsidP="002915C3">
      <w:pPr>
        <w:rPr>
          <w:rFonts w:ascii="Arial" w:hAnsi="Arial" w:cs="Arial"/>
        </w:rPr>
      </w:pPr>
      <w:r>
        <w:rPr>
          <w:rFonts w:ascii="Arial" w:hAnsi="Arial" w:cs="Arial"/>
        </w:rPr>
        <w:t xml:space="preserve">Savickas’ approach allows individuals to reframe experiences, and it is this reflection that leads them to see resilience in their personal story. </w:t>
      </w:r>
      <w:r w:rsidRPr="002915C3">
        <w:rPr>
          <w:rFonts w:ascii="Arial" w:hAnsi="Arial" w:cs="Arial"/>
        </w:rPr>
        <w:t xml:space="preserve">Resilience is understood across the literature as adaptive functioning over time in the aftermath of adversity (Southwick, </w:t>
      </w:r>
      <w:r>
        <w:rPr>
          <w:rFonts w:ascii="Arial" w:hAnsi="Arial" w:cs="Arial"/>
        </w:rPr>
        <w:t>et al.</w:t>
      </w:r>
      <w:r w:rsidRPr="002915C3">
        <w:rPr>
          <w:rFonts w:ascii="Arial" w:hAnsi="Arial" w:cs="Arial"/>
        </w:rPr>
        <w:t>, 2014.</w:t>
      </w:r>
      <w:r>
        <w:rPr>
          <w:rFonts w:ascii="Arial" w:hAnsi="Arial" w:cs="Arial"/>
        </w:rPr>
        <w:t>)</w:t>
      </w:r>
      <w:r w:rsidRPr="002915C3">
        <w:rPr>
          <w:rFonts w:ascii="Arial" w:hAnsi="Arial" w:cs="Arial"/>
        </w:rPr>
        <w:t xml:space="preserve"> European Journal of </w:t>
      </w:r>
      <w:proofErr w:type="spellStart"/>
      <w:r w:rsidRPr="002915C3">
        <w:rPr>
          <w:rFonts w:ascii="Arial" w:hAnsi="Arial" w:cs="Arial"/>
        </w:rPr>
        <w:t>Psychotraumatology</w:t>
      </w:r>
      <w:proofErr w:type="spellEnd"/>
      <w:r w:rsidRPr="002915C3">
        <w:rPr>
          <w:rFonts w:ascii="Arial" w:hAnsi="Arial" w:cs="Arial"/>
        </w:rPr>
        <w:t xml:space="preserve">. Bonanno distinguishes between minimal-impact resilience and emergent resilience, emphasizing that resilience is situational and shaped by a person's ability to adapt their responses in real time. Masten positions resilience not as a fixed trait but as a human capacity for adaptation. Norris extends this to community-level resilience as a set of capacities and strategies for navigating disruption (Norris, Stevens, </w:t>
      </w:r>
      <w:proofErr w:type="spellStart"/>
      <w:r w:rsidRPr="002915C3">
        <w:rPr>
          <w:rFonts w:ascii="Arial" w:hAnsi="Arial" w:cs="Arial"/>
        </w:rPr>
        <w:t>Pfefferbaum</w:t>
      </w:r>
      <w:proofErr w:type="spellEnd"/>
      <w:r w:rsidRPr="002915C3">
        <w:rPr>
          <w:rFonts w:ascii="Arial" w:hAnsi="Arial" w:cs="Arial"/>
        </w:rPr>
        <w:t xml:space="preserve">, Wyche, &amp; </w:t>
      </w:r>
      <w:proofErr w:type="spellStart"/>
      <w:r w:rsidRPr="002915C3">
        <w:rPr>
          <w:rFonts w:ascii="Arial" w:hAnsi="Arial" w:cs="Arial"/>
        </w:rPr>
        <w:t>Pfefferbaum</w:t>
      </w:r>
      <w:proofErr w:type="spellEnd"/>
      <w:r w:rsidRPr="002915C3">
        <w:rPr>
          <w:rFonts w:ascii="Arial" w:hAnsi="Arial" w:cs="Arial"/>
        </w:rPr>
        <w:t>, 2008).</w:t>
      </w:r>
    </w:p>
    <w:p w14:paraId="3B0F340B" w14:textId="1DF27A42" w:rsidR="00A00D56" w:rsidRPr="00A00D56" w:rsidRDefault="000630A7" w:rsidP="00A00D56">
      <w:pPr>
        <w:rPr>
          <w:rFonts w:ascii="Arial" w:hAnsi="Arial" w:cs="Arial"/>
        </w:rPr>
      </w:pPr>
      <w:r>
        <w:rPr>
          <w:rFonts w:ascii="Arial" w:hAnsi="Arial" w:cs="Arial"/>
        </w:rPr>
        <w:t xml:space="preserve">The Creative Resilience Framework unifies these approaches by activating the creative process to craft a narrative that serves as a catalyst for resilience. </w:t>
      </w:r>
    </w:p>
    <w:p w14:paraId="14FD5051" w14:textId="30154545" w:rsidR="00A00D56" w:rsidRPr="000630A7" w:rsidRDefault="00A00D56" w:rsidP="00A00D56">
      <w:pPr>
        <w:rPr>
          <w:rFonts w:ascii="Arial" w:hAnsi="Arial" w:cs="Arial"/>
          <w:b/>
          <w:bCs/>
        </w:rPr>
      </w:pPr>
      <w:r w:rsidRPr="000630A7">
        <w:rPr>
          <w:rFonts w:ascii="Arial" w:hAnsi="Arial" w:cs="Arial"/>
          <w:b/>
          <w:bCs/>
        </w:rPr>
        <w:t>Objectives:</w:t>
      </w:r>
    </w:p>
    <w:p w14:paraId="462AE010" w14:textId="77777777" w:rsidR="00A00D56" w:rsidRPr="00A00D56" w:rsidRDefault="00A00D56" w:rsidP="00A00D56">
      <w:pPr>
        <w:pStyle w:val="ListParagraph"/>
        <w:numPr>
          <w:ilvl w:val="0"/>
          <w:numId w:val="1"/>
        </w:numPr>
        <w:rPr>
          <w:rFonts w:ascii="Arial" w:hAnsi="Arial" w:cs="Arial"/>
        </w:rPr>
      </w:pPr>
      <w:r w:rsidRPr="00A00D56">
        <w:rPr>
          <w:rFonts w:ascii="Arial" w:hAnsi="Arial" w:cs="Arial"/>
        </w:rPr>
        <w:t>Relate the Creative Resilience Framework to predominant theories in career development and resilience</w:t>
      </w:r>
    </w:p>
    <w:p w14:paraId="57A4F1A9" w14:textId="77777777" w:rsidR="00A00D56" w:rsidRPr="00A00D56" w:rsidRDefault="00A00D56" w:rsidP="00A00D56">
      <w:pPr>
        <w:pStyle w:val="ListParagraph"/>
        <w:numPr>
          <w:ilvl w:val="0"/>
          <w:numId w:val="1"/>
        </w:numPr>
        <w:rPr>
          <w:rFonts w:ascii="Arial" w:hAnsi="Arial" w:cs="Arial"/>
        </w:rPr>
      </w:pPr>
      <w:r w:rsidRPr="00A00D56">
        <w:rPr>
          <w:rFonts w:ascii="Arial" w:hAnsi="Arial" w:cs="Arial"/>
        </w:rPr>
        <w:t>Reframe career disruption as a developmental and symbolic threshold</w:t>
      </w:r>
    </w:p>
    <w:p w14:paraId="5CD0A99E" w14:textId="0BD90959" w:rsidR="00A00D56" w:rsidRPr="000630A7" w:rsidRDefault="00A00D56" w:rsidP="000630A7">
      <w:pPr>
        <w:pStyle w:val="ListParagraph"/>
        <w:numPr>
          <w:ilvl w:val="0"/>
          <w:numId w:val="1"/>
        </w:numPr>
        <w:rPr>
          <w:rFonts w:ascii="Arial" w:hAnsi="Arial" w:cs="Arial"/>
        </w:rPr>
      </w:pPr>
      <w:r w:rsidRPr="00A00D56">
        <w:rPr>
          <w:rFonts w:ascii="Arial" w:hAnsi="Arial" w:cs="Arial"/>
        </w:rPr>
        <w:t>Add techniques to their work that support meaning-making and transformation in career development</w:t>
      </w:r>
    </w:p>
    <w:p w14:paraId="694A38A8" w14:textId="34970AD1" w:rsidR="0002002F" w:rsidRPr="000630A7" w:rsidRDefault="0002002F">
      <w:pPr>
        <w:rPr>
          <w:rFonts w:ascii="Arial" w:hAnsi="Arial" w:cs="Arial"/>
          <w:b/>
          <w:bCs/>
        </w:rPr>
      </w:pPr>
      <w:r w:rsidRPr="000630A7">
        <w:rPr>
          <w:rFonts w:ascii="Arial" w:hAnsi="Arial" w:cs="Arial"/>
          <w:b/>
          <w:bCs/>
        </w:rPr>
        <w:t>Bibliographic references</w:t>
      </w:r>
      <w:r w:rsidR="000630A7" w:rsidRPr="000630A7">
        <w:rPr>
          <w:rFonts w:ascii="Arial" w:hAnsi="Arial" w:cs="Arial"/>
          <w:b/>
          <w:bCs/>
        </w:rPr>
        <w:t>:</w:t>
      </w:r>
    </w:p>
    <w:p w14:paraId="1A09BD33" w14:textId="77777777" w:rsidR="000630A7" w:rsidRPr="000630A7" w:rsidRDefault="000630A7" w:rsidP="000630A7">
      <w:pPr>
        <w:rPr>
          <w:rFonts w:ascii="Arial" w:hAnsi="Arial" w:cs="Arial"/>
        </w:rPr>
      </w:pPr>
      <w:r w:rsidRPr="000630A7">
        <w:rPr>
          <w:rFonts w:ascii="Arial" w:hAnsi="Arial" w:cs="Arial"/>
        </w:rPr>
        <w:t xml:space="preserve">Bonanno, G. A., &amp; Diminich, E. D. (2013). Annual research review: Positive adjustment to adversity — trajectories of minimal-impact resilience and emergent resilience. </w:t>
      </w:r>
      <w:r w:rsidRPr="000630A7">
        <w:rPr>
          <w:rFonts w:ascii="Arial" w:hAnsi="Arial" w:cs="Arial"/>
          <w:i/>
          <w:iCs/>
        </w:rPr>
        <w:t>Journal of Child Psychology and Psychiatry, 54</w:t>
      </w:r>
      <w:r w:rsidRPr="000630A7">
        <w:rPr>
          <w:rFonts w:ascii="Arial" w:hAnsi="Arial" w:cs="Arial"/>
        </w:rPr>
        <w:t xml:space="preserve">(4), 378–401. </w:t>
      </w:r>
      <w:hyperlink r:id="rId5" w:history="1">
        <w:r w:rsidRPr="000630A7">
          <w:rPr>
            <w:rStyle w:val="Hyperlink"/>
            <w:rFonts w:ascii="Arial" w:hAnsi="Arial" w:cs="Arial"/>
          </w:rPr>
          <w:t>https://doi.org/10.1111/jcpp.12021</w:t>
        </w:r>
      </w:hyperlink>
    </w:p>
    <w:p w14:paraId="02AC00B5" w14:textId="77777777" w:rsidR="000630A7" w:rsidRPr="000630A7" w:rsidRDefault="000630A7" w:rsidP="000630A7">
      <w:pPr>
        <w:rPr>
          <w:rFonts w:ascii="Arial" w:hAnsi="Arial" w:cs="Arial"/>
        </w:rPr>
      </w:pPr>
      <w:r w:rsidRPr="000630A7">
        <w:rPr>
          <w:rFonts w:ascii="Arial" w:hAnsi="Arial" w:cs="Arial"/>
        </w:rPr>
        <w:t xml:space="preserve">Csikszentmihalyi, M. (1990). </w:t>
      </w:r>
      <w:r w:rsidRPr="000630A7">
        <w:rPr>
          <w:rFonts w:ascii="Arial" w:hAnsi="Arial" w:cs="Arial"/>
          <w:i/>
          <w:iCs/>
        </w:rPr>
        <w:t>Flow: The psychology of optimal experience.</w:t>
      </w:r>
      <w:r w:rsidRPr="000630A7">
        <w:rPr>
          <w:rFonts w:ascii="Arial" w:hAnsi="Arial" w:cs="Arial"/>
        </w:rPr>
        <w:t xml:space="preserve"> Harper &amp; Row.</w:t>
      </w:r>
    </w:p>
    <w:p w14:paraId="1BA3D58E" w14:textId="77777777" w:rsidR="000630A7" w:rsidRPr="000630A7" w:rsidRDefault="000630A7" w:rsidP="000630A7">
      <w:pPr>
        <w:rPr>
          <w:rFonts w:ascii="Arial" w:hAnsi="Arial" w:cs="Arial"/>
        </w:rPr>
      </w:pPr>
      <w:r w:rsidRPr="000630A7">
        <w:rPr>
          <w:rFonts w:ascii="Arial" w:hAnsi="Arial" w:cs="Arial"/>
        </w:rPr>
        <w:t xml:space="preserve">Jung, C. G. (1916). </w:t>
      </w:r>
      <w:r w:rsidRPr="000630A7">
        <w:rPr>
          <w:rFonts w:ascii="Arial" w:hAnsi="Arial" w:cs="Arial"/>
          <w:i/>
          <w:iCs/>
        </w:rPr>
        <w:t>The transcendent function.</w:t>
      </w:r>
      <w:r w:rsidRPr="000630A7">
        <w:rPr>
          <w:rFonts w:ascii="Arial" w:hAnsi="Arial" w:cs="Arial"/>
        </w:rPr>
        <w:t xml:space="preserve"> (Collected Works, Vol. 8). Princeton University Press.</w:t>
      </w:r>
    </w:p>
    <w:p w14:paraId="77446C18" w14:textId="77777777" w:rsidR="000630A7" w:rsidRPr="000630A7" w:rsidRDefault="000630A7" w:rsidP="000630A7">
      <w:pPr>
        <w:rPr>
          <w:rFonts w:ascii="Arial" w:hAnsi="Arial" w:cs="Arial"/>
        </w:rPr>
      </w:pPr>
      <w:r w:rsidRPr="000630A7">
        <w:rPr>
          <w:rFonts w:ascii="Arial" w:hAnsi="Arial" w:cs="Arial"/>
        </w:rPr>
        <w:t xml:space="preserve">Norris, F. H., Stevens, S. P., Pfefferbaum, B., Wyche, K. F., &amp; </w:t>
      </w:r>
      <w:proofErr w:type="spellStart"/>
      <w:r w:rsidRPr="000630A7">
        <w:rPr>
          <w:rFonts w:ascii="Arial" w:hAnsi="Arial" w:cs="Arial"/>
        </w:rPr>
        <w:t>Pfefferbaum</w:t>
      </w:r>
      <w:proofErr w:type="spellEnd"/>
      <w:r w:rsidRPr="000630A7">
        <w:rPr>
          <w:rFonts w:ascii="Arial" w:hAnsi="Arial" w:cs="Arial"/>
        </w:rPr>
        <w:t xml:space="preserve">, R. L. (2008). Community resilience as a metaphor, theory, set of capacities, and strategy for disaster readiness. </w:t>
      </w:r>
      <w:r w:rsidRPr="000630A7">
        <w:rPr>
          <w:rFonts w:ascii="Arial" w:hAnsi="Arial" w:cs="Arial"/>
          <w:i/>
          <w:iCs/>
        </w:rPr>
        <w:t>American Journal of Community Psychology, 41</w:t>
      </w:r>
      <w:r w:rsidRPr="000630A7">
        <w:rPr>
          <w:rFonts w:ascii="Arial" w:hAnsi="Arial" w:cs="Arial"/>
        </w:rPr>
        <w:t xml:space="preserve">(1–2), 127–150. </w:t>
      </w:r>
      <w:hyperlink r:id="rId6" w:history="1">
        <w:r w:rsidRPr="000630A7">
          <w:rPr>
            <w:rStyle w:val="Hyperlink"/>
            <w:rFonts w:ascii="Arial" w:hAnsi="Arial" w:cs="Arial"/>
          </w:rPr>
          <w:t>https://doi.org/10.1007/s10464-007-9156-6</w:t>
        </w:r>
      </w:hyperlink>
    </w:p>
    <w:p w14:paraId="16F3DED0" w14:textId="77777777" w:rsidR="000630A7" w:rsidRPr="000630A7" w:rsidRDefault="000630A7" w:rsidP="000630A7">
      <w:pPr>
        <w:rPr>
          <w:rFonts w:ascii="Arial" w:hAnsi="Arial" w:cs="Arial"/>
        </w:rPr>
      </w:pPr>
      <w:r w:rsidRPr="000630A7">
        <w:rPr>
          <w:rFonts w:ascii="Arial" w:hAnsi="Arial" w:cs="Arial"/>
        </w:rPr>
        <w:lastRenderedPageBreak/>
        <w:t xml:space="preserve">Savickas, M. L. (2005). The theory and practice of career construction. In S. D. Brown &amp; R. W. Lent (Eds.), </w:t>
      </w:r>
      <w:r w:rsidRPr="000630A7">
        <w:rPr>
          <w:rFonts w:ascii="Arial" w:hAnsi="Arial" w:cs="Arial"/>
          <w:i/>
          <w:iCs/>
        </w:rPr>
        <w:t>Career development and counseling: Putting theory and research to work</w:t>
      </w:r>
      <w:r w:rsidRPr="000630A7">
        <w:rPr>
          <w:rFonts w:ascii="Arial" w:hAnsi="Arial" w:cs="Arial"/>
        </w:rPr>
        <w:t xml:space="preserve"> (pp. 42–70). Wiley.</w:t>
      </w:r>
    </w:p>
    <w:p w14:paraId="24B7A26A" w14:textId="77777777" w:rsidR="000630A7" w:rsidRPr="000630A7" w:rsidRDefault="000630A7" w:rsidP="000630A7">
      <w:pPr>
        <w:rPr>
          <w:rFonts w:ascii="Arial" w:hAnsi="Arial" w:cs="Arial"/>
        </w:rPr>
      </w:pPr>
      <w:r w:rsidRPr="000630A7">
        <w:rPr>
          <w:rFonts w:ascii="Arial" w:hAnsi="Arial" w:cs="Arial"/>
        </w:rPr>
        <w:t xml:space="preserve">Savickas, M. L. (2012). Life design: A paradigm for career intervention in the 21st century. </w:t>
      </w:r>
      <w:r w:rsidRPr="000630A7">
        <w:rPr>
          <w:rFonts w:ascii="Arial" w:hAnsi="Arial" w:cs="Arial"/>
          <w:i/>
          <w:iCs/>
        </w:rPr>
        <w:t>Journal of Counseling and Development, 90</w:t>
      </w:r>
      <w:r w:rsidRPr="000630A7">
        <w:rPr>
          <w:rFonts w:ascii="Arial" w:hAnsi="Arial" w:cs="Arial"/>
        </w:rPr>
        <w:t xml:space="preserve">(1), 13–19. </w:t>
      </w:r>
      <w:hyperlink r:id="rId7" w:history="1">
        <w:r w:rsidRPr="000630A7">
          <w:rPr>
            <w:rStyle w:val="Hyperlink"/>
            <w:rFonts w:ascii="Arial" w:hAnsi="Arial" w:cs="Arial"/>
          </w:rPr>
          <w:t>https://doi.org/10.1111/j.1556-6676.2012.00002.x</w:t>
        </w:r>
      </w:hyperlink>
    </w:p>
    <w:p w14:paraId="33DE6F9C" w14:textId="77777777" w:rsidR="000630A7" w:rsidRPr="000630A7" w:rsidRDefault="000630A7" w:rsidP="000630A7">
      <w:pPr>
        <w:rPr>
          <w:rFonts w:ascii="Arial" w:hAnsi="Arial" w:cs="Arial"/>
        </w:rPr>
      </w:pPr>
      <w:r w:rsidRPr="000630A7">
        <w:rPr>
          <w:rFonts w:ascii="Arial" w:hAnsi="Arial" w:cs="Arial"/>
        </w:rPr>
        <w:t xml:space="preserve">Southwick, S. M., Bonanno, G. A., Masten, A. S., Panter-Brick, C., &amp; Yehuda, R. (2014). Resilience definitions, theory, and challenges: Interdisciplinary perspectives. </w:t>
      </w:r>
      <w:r w:rsidRPr="000630A7">
        <w:rPr>
          <w:rFonts w:ascii="Arial" w:hAnsi="Arial" w:cs="Arial"/>
          <w:i/>
          <w:iCs/>
        </w:rPr>
        <w:t xml:space="preserve">European Journal of </w:t>
      </w:r>
      <w:proofErr w:type="spellStart"/>
      <w:r w:rsidRPr="000630A7">
        <w:rPr>
          <w:rFonts w:ascii="Arial" w:hAnsi="Arial" w:cs="Arial"/>
          <w:i/>
          <w:iCs/>
        </w:rPr>
        <w:t>Psychotraumatology</w:t>
      </w:r>
      <w:proofErr w:type="spellEnd"/>
      <w:r w:rsidRPr="000630A7">
        <w:rPr>
          <w:rFonts w:ascii="Arial" w:hAnsi="Arial" w:cs="Arial"/>
          <w:i/>
          <w:iCs/>
        </w:rPr>
        <w:t>, 5</w:t>
      </w:r>
      <w:r w:rsidRPr="000630A7">
        <w:rPr>
          <w:rFonts w:ascii="Arial" w:hAnsi="Arial" w:cs="Arial"/>
        </w:rPr>
        <w:t xml:space="preserve">(1), Article 25338. </w:t>
      </w:r>
      <w:hyperlink r:id="rId8" w:history="1">
        <w:r w:rsidRPr="000630A7">
          <w:rPr>
            <w:rStyle w:val="Hyperlink"/>
            <w:rFonts w:ascii="Arial" w:hAnsi="Arial" w:cs="Arial"/>
          </w:rPr>
          <w:t>https://doi.org/10.3402/ejpt.v5.25338</w:t>
        </w:r>
      </w:hyperlink>
    </w:p>
    <w:p w14:paraId="304303EB" w14:textId="76B10EC4" w:rsidR="0002002F" w:rsidRPr="00A00D56" w:rsidRDefault="0002002F">
      <w:pPr>
        <w:rPr>
          <w:rFonts w:ascii="Arial" w:hAnsi="Arial" w:cs="Arial"/>
        </w:rPr>
      </w:pPr>
    </w:p>
    <w:sectPr w:rsidR="0002002F" w:rsidRPr="00A00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F6DCD"/>
    <w:multiLevelType w:val="hybridMultilevel"/>
    <w:tmpl w:val="44E8F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851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02F"/>
    <w:rsid w:val="0002002F"/>
    <w:rsid w:val="000630A7"/>
    <w:rsid w:val="002609B4"/>
    <w:rsid w:val="002915C3"/>
    <w:rsid w:val="005F0FF2"/>
    <w:rsid w:val="00732451"/>
    <w:rsid w:val="00A00D56"/>
    <w:rsid w:val="00A26480"/>
    <w:rsid w:val="00E0757D"/>
    <w:rsid w:val="00E263B0"/>
    <w:rsid w:val="00FE6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5EAE"/>
  <w15:chartTrackingRefBased/>
  <w15:docId w15:val="{F570DCCB-F5C1-984A-B1B7-EC780FC0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02F"/>
    <w:rPr>
      <w:rFonts w:eastAsiaTheme="majorEastAsia" w:cstheme="majorBidi"/>
      <w:color w:val="272727" w:themeColor="text1" w:themeTint="D8"/>
    </w:rPr>
  </w:style>
  <w:style w:type="paragraph" w:styleId="Title">
    <w:name w:val="Title"/>
    <w:basedOn w:val="Normal"/>
    <w:next w:val="Normal"/>
    <w:link w:val="TitleChar"/>
    <w:uiPriority w:val="10"/>
    <w:qFormat/>
    <w:rsid w:val="00020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02F"/>
    <w:pPr>
      <w:spacing w:before="160"/>
      <w:jc w:val="center"/>
    </w:pPr>
    <w:rPr>
      <w:i/>
      <w:iCs/>
      <w:color w:val="404040" w:themeColor="text1" w:themeTint="BF"/>
    </w:rPr>
  </w:style>
  <w:style w:type="character" w:customStyle="1" w:styleId="QuoteChar">
    <w:name w:val="Quote Char"/>
    <w:basedOn w:val="DefaultParagraphFont"/>
    <w:link w:val="Quote"/>
    <w:uiPriority w:val="29"/>
    <w:rsid w:val="0002002F"/>
    <w:rPr>
      <w:i/>
      <w:iCs/>
      <w:color w:val="404040" w:themeColor="text1" w:themeTint="BF"/>
    </w:rPr>
  </w:style>
  <w:style w:type="paragraph" w:styleId="ListParagraph">
    <w:name w:val="List Paragraph"/>
    <w:basedOn w:val="Normal"/>
    <w:uiPriority w:val="34"/>
    <w:qFormat/>
    <w:rsid w:val="0002002F"/>
    <w:pPr>
      <w:ind w:left="720"/>
      <w:contextualSpacing/>
    </w:pPr>
  </w:style>
  <w:style w:type="character" w:styleId="IntenseEmphasis">
    <w:name w:val="Intense Emphasis"/>
    <w:basedOn w:val="DefaultParagraphFont"/>
    <w:uiPriority w:val="21"/>
    <w:qFormat/>
    <w:rsid w:val="0002002F"/>
    <w:rPr>
      <w:i/>
      <w:iCs/>
      <w:color w:val="0F4761" w:themeColor="accent1" w:themeShade="BF"/>
    </w:rPr>
  </w:style>
  <w:style w:type="paragraph" w:styleId="IntenseQuote">
    <w:name w:val="Intense Quote"/>
    <w:basedOn w:val="Normal"/>
    <w:next w:val="Normal"/>
    <w:link w:val="IntenseQuoteChar"/>
    <w:uiPriority w:val="30"/>
    <w:qFormat/>
    <w:rsid w:val="00020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02F"/>
    <w:rPr>
      <w:i/>
      <w:iCs/>
      <w:color w:val="0F4761" w:themeColor="accent1" w:themeShade="BF"/>
    </w:rPr>
  </w:style>
  <w:style w:type="character" w:styleId="IntenseReference">
    <w:name w:val="Intense Reference"/>
    <w:basedOn w:val="DefaultParagraphFont"/>
    <w:uiPriority w:val="32"/>
    <w:qFormat/>
    <w:rsid w:val="0002002F"/>
    <w:rPr>
      <w:b/>
      <w:bCs/>
      <w:smallCaps/>
      <w:color w:val="0F4761" w:themeColor="accent1" w:themeShade="BF"/>
      <w:spacing w:val="5"/>
    </w:rPr>
  </w:style>
  <w:style w:type="character" w:styleId="Hyperlink">
    <w:name w:val="Hyperlink"/>
    <w:basedOn w:val="DefaultParagraphFont"/>
    <w:uiPriority w:val="99"/>
    <w:unhideWhenUsed/>
    <w:rsid w:val="00A26480"/>
    <w:rPr>
      <w:color w:val="467886" w:themeColor="hyperlink"/>
      <w:u w:val="single"/>
    </w:rPr>
  </w:style>
  <w:style w:type="character" w:styleId="UnresolvedMention">
    <w:name w:val="Unresolved Mention"/>
    <w:basedOn w:val="DefaultParagraphFont"/>
    <w:uiPriority w:val="99"/>
    <w:semiHidden/>
    <w:unhideWhenUsed/>
    <w:rsid w:val="00A26480"/>
    <w:rPr>
      <w:color w:val="605E5C"/>
      <w:shd w:val="clear" w:color="auto" w:fill="E1DFDD"/>
    </w:rPr>
  </w:style>
  <w:style w:type="character" w:styleId="FollowedHyperlink">
    <w:name w:val="FollowedHyperlink"/>
    <w:basedOn w:val="DefaultParagraphFont"/>
    <w:uiPriority w:val="99"/>
    <w:semiHidden/>
    <w:unhideWhenUsed/>
    <w:rsid w:val="00E263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402/ejpt.v5.25338" TargetMode="External"/><Relationship Id="rId3" Type="http://schemas.openxmlformats.org/officeDocument/2006/relationships/settings" Target="settings.xml"/><Relationship Id="rId7" Type="http://schemas.openxmlformats.org/officeDocument/2006/relationships/hyperlink" Target="https://doi.org/10.1111/j.1556-6676.2012.00002.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s10464-007-9156-6" TargetMode="External"/><Relationship Id="rId5" Type="http://schemas.openxmlformats.org/officeDocument/2006/relationships/hyperlink" Target="https://doi.org/10.1111/jcpp.1202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1051</Words>
  <Characters>7231</Characters>
  <Application>Microsoft Office Word</Application>
  <DocSecurity>0</DocSecurity>
  <Lines>99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Dirk</dc:creator>
  <cp:keywords/>
  <dc:description/>
  <cp:lastModifiedBy>Matthews, Dirk</cp:lastModifiedBy>
  <cp:revision>2</cp:revision>
  <dcterms:created xsi:type="dcterms:W3CDTF">2026-04-17T21:05:00Z</dcterms:created>
  <dcterms:modified xsi:type="dcterms:W3CDTF">2026-04-18T01:06:00Z</dcterms:modified>
</cp:coreProperties>
</file>