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DB6D" w14:textId="77777777" w:rsidR="00E148F3" w:rsidRPr="00E148F3" w:rsidRDefault="00E148F3" w:rsidP="00E148F3">
      <w:pPr>
        <w:jc w:val="center"/>
        <w:rPr>
          <w:rFonts w:ascii="Calibri" w:hAnsi="Calibri" w:cs="Calibri"/>
          <w:b/>
          <w:bCs/>
          <w:sz w:val="32"/>
          <w:szCs w:val="32"/>
          <w:rtl/>
        </w:rPr>
      </w:pPr>
      <w:r w:rsidRPr="00E148F3">
        <w:rPr>
          <w:rFonts w:ascii="Calibri" w:hAnsi="Calibri" w:cs="Calibri"/>
          <w:b/>
          <w:bCs/>
          <w:sz w:val="32"/>
          <w:szCs w:val="32"/>
        </w:rPr>
        <w:t>Generative AI for Mapping Skills Gaps Between Graduate Outcomes and Labor Market Needs in Palestine</w:t>
      </w:r>
    </w:p>
    <w:p w14:paraId="5C6DD8C3" w14:textId="24DC30EE" w:rsidR="006D334C" w:rsidRPr="006D334C" w:rsidRDefault="006D334C" w:rsidP="006D334C">
      <w:pPr>
        <w:spacing w:line="360" w:lineRule="auto"/>
        <w:jc w:val="center"/>
        <w:rPr>
          <w:rFonts w:ascii="Calibri" w:hAnsi="Calibri" w:cs="Calibri"/>
          <w:b/>
          <w:bCs/>
          <w:sz w:val="22"/>
          <w:szCs w:val="22"/>
        </w:rPr>
      </w:pPr>
      <w:r w:rsidRPr="006D334C">
        <w:rPr>
          <w:rFonts w:ascii="Calibri" w:hAnsi="Calibri" w:cs="Calibri"/>
          <w:b/>
          <w:bCs/>
          <w:sz w:val="22"/>
          <w:szCs w:val="22"/>
        </w:rPr>
        <w:t>Majed Sayed Ahmad, Dr. Ibrahim Iriqat, Asia Qawasmi</w:t>
      </w:r>
    </w:p>
    <w:p w14:paraId="7D2192B1" w14:textId="77777777" w:rsidR="006D334C" w:rsidRPr="006D334C" w:rsidRDefault="006D334C" w:rsidP="006D334C">
      <w:pPr>
        <w:spacing w:line="360" w:lineRule="auto"/>
        <w:jc w:val="center"/>
        <w:rPr>
          <w:rFonts w:ascii="Calibri" w:hAnsi="Calibri" w:cs="Calibri"/>
          <w:b/>
          <w:bCs/>
          <w:sz w:val="22"/>
          <w:szCs w:val="22"/>
        </w:rPr>
      </w:pPr>
      <w:r w:rsidRPr="006D334C">
        <w:rPr>
          <w:rFonts w:ascii="Calibri" w:hAnsi="Calibri" w:cs="Calibri"/>
          <w:b/>
          <w:bCs/>
          <w:sz w:val="22"/>
          <w:szCs w:val="22"/>
        </w:rPr>
        <w:t>Smart University College for Modern Education (SUME), Hebron, Palestine</w:t>
      </w:r>
    </w:p>
    <w:p w14:paraId="0C05990C" w14:textId="77777777" w:rsidR="006D334C" w:rsidRPr="006D334C" w:rsidRDefault="006D334C" w:rsidP="006D334C">
      <w:pPr>
        <w:spacing w:line="360" w:lineRule="auto"/>
        <w:jc w:val="center"/>
        <w:rPr>
          <w:rFonts w:ascii="Calibri" w:hAnsi="Calibri" w:cs="Calibri"/>
          <w:b/>
          <w:bCs/>
          <w:sz w:val="22"/>
          <w:szCs w:val="22"/>
        </w:rPr>
      </w:pPr>
      <w:proofErr w:type="gramStart"/>
      <w:r w:rsidRPr="006D334C">
        <w:rPr>
          <w:rFonts w:ascii="Calibri" w:hAnsi="Calibri" w:cs="Calibri"/>
          <w:b/>
          <w:bCs/>
          <w:sz w:val="22"/>
          <w:szCs w:val="22"/>
        </w:rPr>
        <w:t>m.ahmad@sume.edu.ps  |</w:t>
      </w:r>
      <w:proofErr w:type="gramEnd"/>
      <w:r w:rsidRPr="006D334C">
        <w:rPr>
          <w:rFonts w:ascii="Calibri" w:hAnsi="Calibri" w:cs="Calibri"/>
          <w:b/>
          <w:bCs/>
          <w:sz w:val="22"/>
          <w:szCs w:val="22"/>
        </w:rPr>
        <w:t xml:space="preserve">  </w:t>
      </w:r>
      <w:proofErr w:type="gramStart"/>
      <w:r w:rsidRPr="006D334C">
        <w:rPr>
          <w:rFonts w:ascii="Calibri" w:hAnsi="Calibri" w:cs="Calibri"/>
          <w:b/>
          <w:bCs/>
          <w:sz w:val="22"/>
          <w:szCs w:val="22"/>
        </w:rPr>
        <w:t>i.iriqat@sume.edu.ps  |</w:t>
      </w:r>
      <w:proofErr w:type="gramEnd"/>
      <w:r w:rsidRPr="006D334C">
        <w:rPr>
          <w:rFonts w:ascii="Calibri" w:hAnsi="Calibri" w:cs="Calibri"/>
          <w:b/>
          <w:bCs/>
          <w:sz w:val="22"/>
          <w:szCs w:val="22"/>
        </w:rPr>
        <w:t xml:space="preserve">  a.qawasmi@sume.edu.ps</w:t>
      </w:r>
    </w:p>
    <w:p w14:paraId="4DCD27DE"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t>Keywords</w:t>
      </w:r>
      <w:r w:rsidRPr="006D334C">
        <w:rPr>
          <w:rFonts w:ascii="Calibri" w:hAnsi="Calibri" w:cs="Calibri"/>
          <w:sz w:val="22"/>
          <w:szCs w:val="22"/>
        </w:rPr>
        <w:t xml:space="preserve">: </w:t>
      </w:r>
      <w:r w:rsidRPr="006D334C">
        <w:rPr>
          <w:rFonts w:ascii="Calibri" w:hAnsi="Calibri" w:cs="Calibri"/>
          <w:i/>
          <w:iCs/>
          <w:sz w:val="22"/>
          <w:szCs w:val="22"/>
        </w:rPr>
        <w:t>career guidance; labor market intelligence; ESCO taxonomy; skills gap analysis; employability</w:t>
      </w:r>
      <w:r w:rsidRPr="006D334C">
        <w:rPr>
          <w:rFonts w:ascii="Calibri" w:hAnsi="Calibri" w:cs="Calibri"/>
          <w:sz w:val="22"/>
          <w:szCs w:val="22"/>
        </w:rPr>
        <w:t>.</w:t>
      </w:r>
    </w:p>
    <w:p w14:paraId="527F4691" w14:textId="77777777" w:rsidR="006D334C" w:rsidRPr="006D334C" w:rsidRDefault="006D334C" w:rsidP="006D334C">
      <w:pPr>
        <w:spacing w:line="360" w:lineRule="auto"/>
        <w:jc w:val="lowKashida"/>
        <w:rPr>
          <w:rFonts w:ascii="Calibri" w:hAnsi="Calibri" w:cs="Calibri"/>
          <w:b/>
          <w:bCs/>
          <w:sz w:val="22"/>
          <w:szCs w:val="22"/>
        </w:rPr>
      </w:pPr>
      <w:r w:rsidRPr="006D334C">
        <w:rPr>
          <w:rFonts w:ascii="Calibri" w:hAnsi="Calibri" w:cs="Calibri"/>
          <w:b/>
          <w:bCs/>
          <w:sz w:val="22"/>
          <w:szCs w:val="22"/>
        </w:rPr>
        <w:t>Abstract</w:t>
      </w:r>
    </w:p>
    <w:p w14:paraId="77C2F71F"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Career guidance in high-unemployment contexts depends on precise, real-time knowledge of labor market skill demands. This paper uses generative AI as an analytical tool to identify the gap between higher education outcomes and labor market needs in Palestine. Using a Large Language Model (LLM) with purpose-designed prompts, skills were extracted from 3,985 job postings scraped from Jobs.ps (January–December 2025) and grouped according to the four-tier ESCO competency hierarchy — core, fundamental, field-related, and occupation-specific skills — which serves as the study’s taxonomic framework for skill clustering and comparison (</w:t>
      </w:r>
      <w:proofErr w:type="spellStart"/>
      <w:r w:rsidRPr="006D334C">
        <w:rPr>
          <w:rFonts w:ascii="Calibri" w:hAnsi="Calibri" w:cs="Calibri"/>
          <w:sz w:val="22"/>
          <w:szCs w:val="22"/>
        </w:rPr>
        <w:t>Icociu</w:t>
      </w:r>
      <w:proofErr w:type="spellEnd"/>
      <w:r w:rsidRPr="006D334C">
        <w:rPr>
          <w:rFonts w:ascii="Calibri" w:hAnsi="Calibri" w:cs="Calibri"/>
          <w:sz w:val="22"/>
          <w:szCs w:val="22"/>
        </w:rPr>
        <w:t xml:space="preserve"> et al.; European Commission, 2023). The extracted skill clusters were then compared against a full audit of SUME’s 16 diploma programs (478 courses) using a structured 0–3 coverage scoring instrument, producing a program-level gap matrix. The matrix reveals which competency clusters the Palestinian labor market demands most urgently, how well each program currently develops those competencies, and where the most critical misalignments lie. Findings are translated into two parallel outputs: institutional curriculum interventions (new </w:t>
      </w:r>
      <w:proofErr w:type="spellStart"/>
      <w:r w:rsidRPr="006D334C">
        <w:rPr>
          <w:rFonts w:ascii="Calibri" w:hAnsi="Calibri" w:cs="Calibri"/>
          <w:sz w:val="22"/>
          <w:szCs w:val="22"/>
        </w:rPr>
        <w:t>specialisations</w:t>
      </w:r>
      <w:proofErr w:type="spellEnd"/>
      <w:r w:rsidRPr="006D334C">
        <w:rPr>
          <w:rFonts w:ascii="Calibri" w:hAnsi="Calibri" w:cs="Calibri"/>
          <w:sz w:val="22"/>
          <w:szCs w:val="22"/>
        </w:rPr>
        <w:t>, cross-program modules, and micro-credentials) and a career guidance toolkit (program employability scores, career pathway maps, and student skill-gap development plans). The study offers a replicable, evidence-based model for career guidance practitioners and educational institutions seeking to align graduate outcomes with emerging market realities.</w:t>
      </w:r>
    </w:p>
    <w:p w14:paraId="0D8F6749" w14:textId="45963828" w:rsidR="006D334C" w:rsidRPr="00FC59BD" w:rsidRDefault="006D334C" w:rsidP="00FC59BD">
      <w:pPr>
        <w:pStyle w:val="ListParagraph"/>
        <w:numPr>
          <w:ilvl w:val="0"/>
          <w:numId w:val="4"/>
        </w:numPr>
        <w:spacing w:line="360" w:lineRule="auto"/>
        <w:jc w:val="lowKashida"/>
        <w:rPr>
          <w:rFonts w:ascii="Calibri" w:hAnsi="Calibri" w:cs="Calibri"/>
          <w:b/>
          <w:bCs/>
          <w:sz w:val="22"/>
          <w:szCs w:val="22"/>
        </w:rPr>
      </w:pPr>
      <w:r w:rsidRPr="00FC59BD">
        <w:rPr>
          <w:rFonts w:ascii="Calibri" w:hAnsi="Calibri" w:cs="Calibri"/>
          <w:b/>
          <w:bCs/>
          <w:sz w:val="22"/>
          <w:szCs w:val="22"/>
        </w:rPr>
        <w:t>Introduction</w:t>
      </w:r>
    </w:p>
    <w:p w14:paraId="517A1B48"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Palestine faces a persistent and structurally damaging mismatch between the skills produced by its higher education system and those demanded by its labor market. Youth unemployment exceeds 40% in the West Bank and approaches 80% in Gaza (Palestinian Central Bureau of Statistics, 2024), yet no systematic, data-driven evidence base currently exists that connects specific educational program outcomes to specific market skill requirements. Career guidance practitioners are therefore forced to advise students on </w:t>
      </w:r>
      <w:r w:rsidRPr="006D334C">
        <w:rPr>
          <w:rFonts w:ascii="Calibri" w:hAnsi="Calibri" w:cs="Calibri"/>
          <w:sz w:val="22"/>
          <w:szCs w:val="22"/>
        </w:rPr>
        <w:lastRenderedPageBreak/>
        <w:t>program selection and career planning using anecdotal employer feedback, periodic graduate tracer surveys, and intuition rather than real-time market intelligence.</w:t>
      </w:r>
    </w:p>
    <w:p w14:paraId="54758919" w14:textId="4F2589DE"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The research problem this study addresses is the absence of a continuous, evidence-based mechanism for measuring the gap between what Palestinian higher education produces and what Palestinian employers actually need. Traditional curriculum review cycles are structurally too slow to track the pace at which skill demands evolve, and no </w:t>
      </w:r>
      <w:r w:rsidR="00701E94" w:rsidRPr="006D334C">
        <w:rPr>
          <w:rFonts w:ascii="Calibri" w:hAnsi="Calibri" w:cs="Calibri"/>
          <w:sz w:val="22"/>
          <w:szCs w:val="22"/>
        </w:rPr>
        <w:t>standardized</w:t>
      </w:r>
      <w:r w:rsidRPr="006D334C">
        <w:rPr>
          <w:rFonts w:ascii="Calibri" w:hAnsi="Calibri" w:cs="Calibri"/>
          <w:sz w:val="22"/>
          <w:szCs w:val="22"/>
        </w:rPr>
        <w:t xml:space="preserve"> instrument currently exists to translate job posting data into actionable career guidance or curriculum alignment decisions at the program level.</w:t>
      </w:r>
    </w:p>
    <w:p w14:paraId="3C196C28" w14:textId="63BB920C"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The main aim of this study is to use generative AI as an analytical tool to systematically identify, measure, and </w:t>
      </w:r>
      <w:r w:rsidR="00701E94" w:rsidRPr="006D334C">
        <w:rPr>
          <w:rFonts w:ascii="Calibri" w:hAnsi="Calibri" w:cs="Calibri"/>
          <w:sz w:val="22"/>
          <w:szCs w:val="22"/>
        </w:rPr>
        <w:t>visualize</w:t>
      </w:r>
      <w:r w:rsidRPr="006D334C">
        <w:rPr>
          <w:rFonts w:ascii="Calibri" w:hAnsi="Calibri" w:cs="Calibri"/>
          <w:sz w:val="22"/>
          <w:szCs w:val="22"/>
        </w:rPr>
        <w:t xml:space="preserve"> the skills gap between the labor market needs of the Palestinian economy and the competency outcomes of SUME’s 16 diploma programs, and to translate that gap analysis into practical tools for both curriculum planning and student career guidance.</w:t>
      </w:r>
    </w:p>
    <w:p w14:paraId="36571FD6"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The expected contributions of this work are: (1) methodological — a validated, replicable AI-powered pipeline for extracting and ESCO-mapping skills from Arabic-English job postings in a non-European labor market context; (2) empirical — the first quantified curriculum-to-market gap matrix covering all programs at a Palestinian community college; and (3) practical — a career guidance toolkit and tiered curriculum intervention framework directly usable by advisors, program coordinators, and institutional planners.</w:t>
      </w:r>
    </w:p>
    <w:p w14:paraId="476D1E66"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The study is situated at the intersection of career guidance research, labor market intelligence, and educational policy, contributing to a field where evidence from conflict-affected and developing-economy contexts remains underrepresented in the international literature.</w:t>
      </w:r>
    </w:p>
    <w:p w14:paraId="4033F7BC" w14:textId="643D6EA4"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Research Questions and Objectives</w:t>
      </w:r>
    </w:p>
    <w:p w14:paraId="24B3C87B"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This study is guided by the following research questions:</w:t>
      </w:r>
    </w:p>
    <w:p w14:paraId="201EE0B7" w14:textId="100E916C"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t>RQ1:</w:t>
      </w:r>
      <w:r w:rsidRPr="006D334C">
        <w:rPr>
          <w:rFonts w:ascii="Calibri" w:hAnsi="Calibri" w:cs="Calibri"/>
          <w:sz w:val="22"/>
          <w:szCs w:val="22"/>
        </w:rPr>
        <w:t xml:space="preserve"> What ESCO-mapped competency clusters are most demanded in the Palestinian labor market for entry-level and early-career roles, as evidenced by job postings on Jobs.ps?</w:t>
      </w:r>
    </w:p>
    <w:p w14:paraId="5B9F91A3" w14:textId="293FD0E8"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t>RQ2</w:t>
      </w:r>
      <w:r w:rsidRPr="006D334C">
        <w:rPr>
          <w:rFonts w:ascii="Calibri" w:hAnsi="Calibri" w:cs="Calibri"/>
          <w:sz w:val="22"/>
          <w:szCs w:val="22"/>
        </w:rPr>
        <w:t>: To what extent do the competency outcomes of SUME’s existing diploma programs cover the skill clusters most demanded by the Palestinian labor market, and where are the most critical gaps?</w:t>
      </w:r>
    </w:p>
    <w:p w14:paraId="13A30D28" w14:textId="03FD9500"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t>RQ3:</w:t>
      </w:r>
      <w:r w:rsidRPr="006D334C">
        <w:rPr>
          <w:rFonts w:ascii="Calibri" w:hAnsi="Calibri" w:cs="Calibri"/>
          <w:sz w:val="22"/>
          <w:szCs w:val="22"/>
        </w:rPr>
        <w:t xml:space="preserve"> How do Palestinian market demands compare with regional (MENA) and global (WEF) skill trends, and what implications does this hold for graduates seeking remote or cross-border employment?</w:t>
      </w:r>
    </w:p>
    <w:p w14:paraId="713C836E" w14:textId="4F5FFB75"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lastRenderedPageBreak/>
        <w:t>RQ4:</w:t>
      </w:r>
      <w:r w:rsidRPr="006D334C">
        <w:rPr>
          <w:rFonts w:ascii="Calibri" w:hAnsi="Calibri" w:cs="Calibri"/>
          <w:sz w:val="22"/>
          <w:szCs w:val="22"/>
        </w:rPr>
        <w:t xml:space="preserve"> Which program-specific and cross-program curriculum interventions — new specializations, 2-credit modules, or micro-credentials — are most appropriate to close the identified gaps within each affected specialization?</w:t>
      </w:r>
    </w:p>
    <w:p w14:paraId="398B133D" w14:textId="697AA43C"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b/>
          <w:bCs/>
          <w:sz w:val="22"/>
          <w:szCs w:val="22"/>
        </w:rPr>
        <w:t>RQ5:</w:t>
      </w:r>
      <w:r w:rsidRPr="006D334C">
        <w:rPr>
          <w:rFonts w:ascii="Calibri" w:hAnsi="Calibri" w:cs="Calibri"/>
          <w:sz w:val="22"/>
          <w:szCs w:val="22"/>
        </w:rPr>
        <w:t xml:space="preserve"> How can the gap matrix be operationalized as a career guidance instrument, enabling advisors to provide students with evidence-based program selection advice and personalized skill-gap development plans?</w:t>
      </w:r>
    </w:p>
    <w:p w14:paraId="276DE3CD" w14:textId="36B4139B"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Theoretical Basis and Literature Review</w:t>
      </w:r>
    </w:p>
    <w:p w14:paraId="3DC904BE" w14:textId="6DB28074"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Dynamic Capabilities Theory (Teece, 2007) positions universities and career guidance services as adaptive organizations that must continuously sense labor market shifts and reconfigure their resources to maintain relevance. Human Capital Theory (Becker, 1964) establishes that educational returns are proportional to skills-market alignment; in high-unemployment contexts, even modest misalignment produces severe individual and social costs.</w:t>
      </w:r>
    </w:p>
    <w:p w14:paraId="63C7BB9F" w14:textId="611F7E19"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The study’s skill clustering framework is grounded in </w:t>
      </w:r>
      <w:proofErr w:type="spellStart"/>
      <w:r w:rsidRPr="006D334C">
        <w:rPr>
          <w:rFonts w:ascii="Calibri" w:hAnsi="Calibri" w:cs="Calibri"/>
          <w:sz w:val="22"/>
          <w:szCs w:val="22"/>
        </w:rPr>
        <w:t>Icociu</w:t>
      </w:r>
      <w:proofErr w:type="spellEnd"/>
      <w:r w:rsidRPr="006D334C">
        <w:rPr>
          <w:rFonts w:ascii="Calibri" w:hAnsi="Calibri" w:cs="Calibri"/>
          <w:sz w:val="22"/>
          <w:szCs w:val="22"/>
        </w:rPr>
        <w:t xml:space="preserve"> et al., who formally establish that ESCO — the European classification of Skills, Competences, Qualifications and Occupations — functions as “the bridge connecting the international standards ISCO-08 and ISCED-2013,” translating labor market occupational requirements into four hierarchically organized skill tiers: core (transversal) skills, fundamental skills, field-related skills, and occupation-specific skills. This taxonomy governs how extracted skills are grouped in this study: each skill mentioned in a job posting is assigned to one of these four tiers, and skills within the same tier and functional domain are clustered together for comparison against curriculum coverage. </w:t>
      </w:r>
      <w:proofErr w:type="spellStart"/>
      <w:r w:rsidRPr="006D334C">
        <w:rPr>
          <w:rFonts w:ascii="Calibri" w:hAnsi="Calibri" w:cs="Calibri"/>
          <w:sz w:val="22"/>
          <w:szCs w:val="22"/>
        </w:rPr>
        <w:t>Icociu</w:t>
      </w:r>
      <w:proofErr w:type="spellEnd"/>
      <w:r w:rsidRPr="006D334C">
        <w:rPr>
          <w:rFonts w:ascii="Calibri" w:hAnsi="Calibri" w:cs="Calibri"/>
          <w:sz w:val="22"/>
          <w:szCs w:val="22"/>
        </w:rPr>
        <w:t xml:space="preserve"> et al. further propose that ~70–75% of a graduate’s competency portfolio should reflect internationally portable ESCO skills, with 25–30% addressing local specificity — a principle that directly informs the scope of recommended interventions.</w:t>
      </w:r>
    </w:p>
    <w:p w14:paraId="0075B15C"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The demand-pull paradigm (</w:t>
      </w:r>
      <w:proofErr w:type="spellStart"/>
      <w:r w:rsidRPr="006D334C">
        <w:rPr>
          <w:rFonts w:ascii="Calibri" w:hAnsi="Calibri" w:cs="Calibri"/>
          <w:sz w:val="22"/>
          <w:szCs w:val="22"/>
        </w:rPr>
        <w:t>Icociu</w:t>
      </w:r>
      <w:proofErr w:type="spellEnd"/>
      <w:r w:rsidRPr="006D334C">
        <w:rPr>
          <w:rFonts w:ascii="Calibri" w:hAnsi="Calibri" w:cs="Calibri"/>
          <w:sz w:val="22"/>
          <w:szCs w:val="22"/>
        </w:rPr>
        <w:t xml:space="preserve"> et al.; Pejic-Bach et al., 2020) frames the methodological choice to derive market signals from live job postings rather than periodic employer surveys. Colombo et al. (2021) validate AI-assisted ESCO skill extraction from job advertisements as a reliable real-time LMI method. In the career guidance literature, McMahon and Patton (2006) </w:t>
      </w:r>
      <w:proofErr w:type="spellStart"/>
      <w:r w:rsidRPr="006D334C">
        <w:rPr>
          <w:rFonts w:ascii="Calibri" w:hAnsi="Calibri" w:cs="Calibri"/>
          <w:sz w:val="22"/>
          <w:szCs w:val="22"/>
        </w:rPr>
        <w:t>emphasise</w:t>
      </w:r>
      <w:proofErr w:type="spellEnd"/>
      <w:r w:rsidRPr="006D334C">
        <w:rPr>
          <w:rFonts w:ascii="Calibri" w:hAnsi="Calibri" w:cs="Calibri"/>
          <w:sz w:val="22"/>
          <w:szCs w:val="22"/>
        </w:rPr>
        <w:t xml:space="preserve"> that effective guidance depends on current, local, and structured labor market data — precisely what this study’s pipeline produces.</w:t>
      </w:r>
    </w:p>
    <w:p w14:paraId="3E21CDCB" w14:textId="07780AA1"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Methodology</w:t>
      </w:r>
    </w:p>
    <w:p w14:paraId="2A6D4AAE" w14:textId="77777777" w:rsidR="00701E94" w:rsidRP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t>Data collection and scope</w:t>
      </w:r>
    </w:p>
    <w:p w14:paraId="31E0C781" w14:textId="3DD6C23D"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lastRenderedPageBreak/>
        <w:t>Job postings were scraped from Jobs.ps across the full calendar year January–December 2025, yielding 3,985 postings. A full calendar year was used to capture seasonal and cyclical variation in hiring patterns and to avoid the interpretive ambiguity of a partial-year dataset. Postings were retained from sectors directly relevant to SUME’s 16 diploma programs: information technology, business and administration, accounting and finance, healthcare and nursing, engineering and energy, legal services, design and media, hospitality and food production, and beauty and personal care. To ensure the extracted skill requirements reflect what universities are expected to develop — rather than experience accumulated over a career — postings were filtered to include only those explicitly designated as entry-level, junior, or fresh-graduate roles, or those containing no minimum years-of-experience requirement. This yielded a focused dataset of postings whose skill demands are attributable to educational preparation rather than prior work experience.</w:t>
      </w:r>
    </w:p>
    <w:p w14:paraId="3CB776F4" w14:textId="77777777" w:rsid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t>AI pipeline and ESCO skill extraction</w:t>
      </w:r>
    </w:p>
    <w:p w14:paraId="17526E3E" w14:textId="6CDEDC54"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Because job postings are unstructured and multilingual (Arabic-English), a generative Large Language Model (GPT-5.2) was deployed with purpose-engineered prompts designed to: (a) extract all explicit and implicit skills from each posting; (b) assign each skill to the appropriate tier of ESCO’s four-level hierarchy (core, fundamental, field-related, occupation-specific); and (c) group skills sharing a functional domain into named competency clusters. This ESCO-based grouping principle — not arbitrary thematic labelling — is the basis on which skills are clustered throughout the analysis. To validate reliability, a stratified 5% sample (200 postings) was independently coded by two human experts, yielding 85% inter-rater agreement (Cohen’s κ = 0.81).</w:t>
      </w:r>
    </w:p>
    <w:p w14:paraId="70B29A76" w14:textId="77777777" w:rsid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t>Curriculum audit</w:t>
      </w:r>
    </w:p>
    <w:p w14:paraId="505BF3D9" w14:textId="40E563AB"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SUME’s 16 diploma programs were fully audited against their official academic plan documents: 478 courses across 322 unique course codes were classified by type (College Core, Program Core, </w:t>
      </w:r>
      <w:r w:rsidR="00701E94" w:rsidRPr="006D334C">
        <w:rPr>
          <w:rFonts w:ascii="Calibri" w:hAnsi="Calibri" w:cs="Calibri"/>
          <w:sz w:val="22"/>
          <w:szCs w:val="22"/>
        </w:rPr>
        <w:t>Specialization</w:t>
      </w:r>
      <w:r w:rsidRPr="006D334C">
        <w:rPr>
          <w:rFonts w:ascii="Calibri" w:hAnsi="Calibri" w:cs="Calibri"/>
          <w:sz w:val="22"/>
          <w:szCs w:val="22"/>
        </w:rPr>
        <w:t>, Elective) and mapped to the same ESCO competency clusters using a structured coverage scoring instrument: 0 = skill not addressed; 1 = skill briefly introduced; 2 = skill adequately developed; 3 = skill thoroughly developed through dedicated coursework and/or practice.</w:t>
      </w:r>
    </w:p>
    <w:p w14:paraId="528B5372" w14:textId="77777777" w:rsid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t>Gap matrix and career guidance translation</w:t>
      </w:r>
    </w:p>
    <w:p w14:paraId="72A6B5ED" w14:textId="64921061"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The frequency-ranked ESCO competency clusters are positioned against the 16 programs in a matrix. Gap Score = 3.0 − Average Coverage Score; clusters scoring above 2.5 are classified as critical priority interventions. For each program, a composite Employability Alignment Score is derived and translated </w:t>
      </w:r>
      <w:r w:rsidRPr="006D334C">
        <w:rPr>
          <w:rFonts w:ascii="Calibri" w:hAnsi="Calibri" w:cs="Calibri"/>
          <w:sz w:val="22"/>
          <w:szCs w:val="22"/>
        </w:rPr>
        <w:lastRenderedPageBreak/>
        <w:t>into: career pathway maps linking program competency profiles to specific ISCO-08 occupation groups present in the job posting dataset; and a Skill-Gap Personal Development Plan template for use in student career guidance sessions.</w:t>
      </w:r>
    </w:p>
    <w:p w14:paraId="01717D70" w14:textId="77777777" w:rsid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t>Limitations</w:t>
      </w:r>
    </w:p>
    <w:p w14:paraId="009E4D19" w14:textId="4D103296"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Jobs.ps captures primarily formal and private-sector roles; public-sector and informal employment are potentially underrepresented. ESCO’s European origin may create terminological mismatches with Palestinian occupational language. The entry-level filter, while methodologically justified, reduces dataset size and may exclude some relevant sector-specific postings that do not explicitly state experience requirements.</w:t>
      </w:r>
    </w:p>
    <w:p w14:paraId="54005F45" w14:textId="79E5E190"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Preliminary Results</w:t>
      </w:r>
    </w:p>
    <w:p w14:paraId="2D53B3D5" w14:textId="64A7ADA3"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Preliminary analysis of the filtered entry-level postings reveals five ESCO competency clusters appearing most frequently across all program-relevant sectors: digital literacy and basic computer use (71.5% of postings), oral and written communication in Arabic and English (65.7%), MS Office Suite proficiency (60.2%), project coordination and planning (52.7%), and professional English language use (49.7%). These clusters are cross-sectoral, appearing in NGO coordination, accounting, healthcare, technology, and creative roles alike, confirming that the Palestinian market’s primary unmet need is not advanced technical </w:t>
      </w:r>
      <w:r w:rsidR="00701E94" w:rsidRPr="006D334C">
        <w:rPr>
          <w:rFonts w:ascii="Calibri" w:hAnsi="Calibri" w:cs="Calibri"/>
          <w:sz w:val="22"/>
          <w:szCs w:val="22"/>
        </w:rPr>
        <w:t>specialization</w:t>
      </w:r>
      <w:r w:rsidRPr="006D334C">
        <w:rPr>
          <w:rFonts w:ascii="Calibri" w:hAnsi="Calibri" w:cs="Calibri"/>
          <w:sz w:val="22"/>
          <w:szCs w:val="22"/>
        </w:rPr>
        <w:t xml:space="preserve"> but intermediate digital and professional fluency — what this study terms “digitally fluent </w:t>
      </w:r>
      <w:proofErr w:type="spellStart"/>
      <w:r w:rsidRPr="006D334C">
        <w:rPr>
          <w:rFonts w:ascii="Calibri" w:hAnsi="Calibri" w:cs="Calibri"/>
          <w:sz w:val="22"/>
          <w:szCs w:val="22"/>
        </w:rPr>
        <w:t>generalism</w:t>
      </w:r>
      <w:proofErr w:type="spellEnd"/>
      <w:r w:rsidRPr="006D334C">
        <w:rPr>
          <w:rFonts w:ascii="Calibri" w:hAnsi="Calibri" w:cs="Calibri"/>
          <w:sz w:val="22"/>
          <w:szCs w:val="22"/>
        </w:rPr>
        <w:t>.”</w:t>
      </w:r>
    </w:p>
    <w:p w14:paraId="7F26C88B"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Curriculum audit results reveal that project management, AI tool proficiency, CRM software, and remote work competencies each score an average coverage of 0.13–0.21 across all 16 programs — Gap Scores above 2.7 — despite appearing in more than 50% of entry-level postings. Program-level variation is significant: the Accounting &amp; Financial Technology program achieves stronger alignment on data and finance skills (coverage score 2.1–2.8), while Fashion Design, Beauty &amp; Cosmetology, and Food &amp; Beverage programs show the widest cross-cutting gaps. These program-specific findings directly inform the tiered intervention recommendations in Section 6.</w:t>
      </w:r>
    </w:p>
    <w:p w14:paraId="0DE8785B" w14:textId="643620E6"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Expected Outcomes and Proposed Interventions</w:t>
      </w:r>
    </w:p>
    <w:p w14:paraId="2A5DF847" w14:textId="5AA97974"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The study will produce two parallel, program-specific output sets. The first is a tiered curriculum intervention framework (Table 1) in which each recommended action is tied to the specific programs and specializations where the gap score warrants it, rather than applied uniformly across all programs. For </w:t>
      </w:r>
      <w:r w:rsidRPr="006D334C">
        <w:rPr>
          <w:rFonts w:ascii="Calibri" w:hAnsi="Calibri" w:cs="Calibri"/>
          <w:sz w:val="22"/>
          <w:szCs w:val="22"/>
        </w:rPr>
        <w:lastRenderedPageBreak/>
        <w:t>example, a new AI &amp; Data Analytics specialization is recommended specifically for programs currently serving the accounting, marketing, and web development sectors; a 2-credit Project Management module is recommended as a cross-program requirement for all 16 programs given its 52.7% posting frequency; and micro-credentials in CRM software are targeted specifically at Digital Marketing, Accounting, and English &amp; Public Relations graduates.</w:t>
      </w:r>
    </w:p>
    <w:p w14:paraId="720A7EA0"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The second output is a career guidance toolkit: program-level Employability Alignment Scores framing advisor-student program selection conversations; career pathway maps linking each program’s ESCO competency profile to the specific ISCO-08 occupation groups appearing in the entry-level job posting dataset; and a Skill-Gap Personal Development Plan template enabling students to identify their individual gap relative to a target occupation and select evidence-ranked actions to close it.</w:t>
      </w:r>
    </w:p>
    <w:p w14:paraId="17A8C13B" w14:textId="074653FF"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The gap matrix will be updated annually as new LMI data accumulates, enabling curriculum teams and career guidance offices to monitor gap closure and detect emerging demands. This continuous feedback loop operationalizes the demand-pull model institutionally and is proposed as a replicable template for adoption across Palestinian higher education institutions and career guidance services.</w:t>
      </w:r>
    </w:p>
    <w:p w14:paraId="4009A6B6" w14:textId="3E881B9C" w:rsidR="006D334C" w:rsidRPr="006D334C" w:rsidRDefault="006D334C" w:rsidP="00FC59BD">
      <w:pPr>
        <w:pStyle w:val="ListParagraph"/>
        <w:numPr>
          <w:ilvl w:val="0"/>
          <w:numId w:val="4"/>
        </w:numPr>
        <w:spacing w:line="360" w:lineRule="auto"/>
        <w:jc w:val="lowKashida"/>
        <w:rPr>
          <w:rFonts w:ascii="Calibri" w:hAnsi="Calibri" w:cs="Calibri"/>
          <w:b/>
          <w:bCs/>
          <w:sz w:val="22"/>
          <w:szCs w:val="22"/>
        </w:rPr>
      </w:pPr>
      <w:r w:rsidRPr="006D334C">
        <w:rPr>
          <w:rFonts w:ascii="Calibri" w:hAnsi="Calibri" w:cs="Calibri"/>
          <w:b/>
          <w:bCs/>
          <w:sz w:val="22"/>
          <w:szCs w:val="22"/>
        </w:rPr>
        <w:t>Conclusions</w:t>
      </w:r>
    </w:p>
    <w:p w14:paraId="4D4D6963"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This study demonstrates that generative AI, used as an analytical tool rather than an autonomous decision-maker, can reliably extract, classify, and cluster labor market skill demands from large unstructured job posting datasets and compare them systematically against educational program outcomes. Applied to the Palestinian context, the method reveals a clear and actionable gap: employers seeking entry-level graduates consistently require intermediate digital fluency, project coordination literacy, and professional bilingual communication at levels that most of SUME’s existing diploma curricula do not fully develop.</w:t>
      </w:r>
    </w:p>
    <w:p w14:paraId="2DD0C991"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For career guidance professionals, these findings transform the advisory conversation from intuition-based to evidence-based: advisors can now show students exactly which competencies their chosen program develops, which gaps they will need to address through supplementary learning, and which micro-credentials or elective modules carry the greatest employability return. For institutions, the gap matrix provides a program-specific, annually renewable alignment instrument that replaces slow, committee-driven curriculum review with continuous, data-driven reconfiguration. Together, these contributions advance the career guidance field’s capacity to navigate students toward genuine opportunity in an uncertain and rapidly changing labor market.</w:t>
      </w:r>
    </w:p>
    <w:p w14:paraId="3DD187E8" w14:textId="77777777" w:rsidR="006D334C" w:rsidRPr="006D334C" w:rsidRDefault="006D334C" w:rsidP="006D334C">
      <w:pPr>
        <w:spacing w:line="360" w:lineRule="auto"/>
        <w:jc w:val="lowKashida"/>
        <w:rPr>
          <w:rFonts w:ascii="Calibri" w:hAnsi="Calibri" w:cs="Calibri"/>
          <w:sz w:val="22"/>
          <w:szCs w:val="22"/>
        </w:rPr>
      </w:pPr>
    </w:p>
    <w:p w14:paraId="2A57AD05" w14:textId="77777777" w:rsidR="006D334C" w:rsidRPr="00701E94" w:rsidRDefault="006D334C" w:rsidP="006D334C">
      <w:pPr>
        <w:spacing w:line="360" w:lineRule="auto"/>
        <w:jc w:val="lowKashida"/>
        <w:rPr>
          <w:rFonts w:ascii="Calibri" w:hAnsi="Calibri" w:cs="Calibri"/>
          <w:b/>
          <w:bCs/>
          <w:sz w:val="22"/>
          <w:szCs w:val="22"/>
        </w:rPr>
      </w:pPr>
      <w:r w:rsidRPr="00701E94">
        <w:rPr>
          <w:rFonts w:ascii="Calibri" w:hAnsi="Calibri" w:cs="Calibri"/>
          <w:b/>
          <w:bCs/>
          <w:sz w:val="22"/>
          <w:szCs w:val="22"/>
        </w:rPr>
        <w:lastRenderedPageBreak/>
        <w:t>Table 1</w:t>
      </w:r>
    </w:p>
    <w:p w14:paraId="1CB71F33" w14:textId="2A8E6925" w:rsidR="00701E94" w:rsidRDefault="00701E94" w:rsidP="00701E94">
      <w:pPr>
        <w:pStyle w:val="Caption"/>
        <w:keepNext/>
      </w:pPr>
      <w:r>
        <w:t xml:space="preserve">Table </w:t>
      </w:r>
      <w:fldSimple w:instr=" SEQ Table \* ARABIC ">
        <w:r>
          <w:rPr>
            <w:noProof/>
          </w:rPr>
          <w:t>1</w:t>
        </w:r>
      </w:fldSimple>
      <w:r>
        <w:t xml:space="preserve"> </w:t>
      </w:r>
      <w:r w:rsidRPr="00B20897">
        <w:t>Program-specific curriculum intervention framework derived from the ESCO gap matrix</w:t>
      </w:r>
    </w:p>
    <w:tbl>
      <w:tblPr>
        <w:tblStyle w:val="TableGrid"/>
        <w:tblW w:w="5000" w:type="pct"/>
        <w:tblLook w:val="04A0" w:firstRow="1" w:lastRow="0" w:firstColumn="1" w:lastColumn="0" w:noHBand="0" w:noVBand="1"/>
      </w:tblPr>
      <w:tblGrid>
        <w:gridCol w:w="1833"/>
        <w:gridCol w:w="1790"/>
        <w:gridCol w:w="3332"/>
        <w:gridCol w:w="2395"/>
      </w:tblGrid>
      <w:tr w:rsidR="006D334C" w:rsidRPr="006D334C" w14:paraId="36803E81" w14:textId="77777777" w:rsidTr="006D334C">
        <w:tc>
          <w:tcPr>
            <w:tcW w:w="980" w:type="pct"/>
          </w:tcPr>
          <w:p w14:paraId="671366A9"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Intervention Type</w:t>
            </w:r>
          </w:p>
        </w:tc>
        <w:tc>
          <w:tcPr>
            <w:tcW w:w="957" w:type="pct"/>
          </w:tcPr>
          <w:p w14:paraId="6E564B0A"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Adoption Condition</w:t>
            </w:r>
          </w:p>
        </w:tc>
        <w:tc>
          <w:tcPr>
            <w:tcW w:w="1782" w:type="pct"/>
          </w:tcPr>
          <w:p w14:paraId="7F89C32D"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Target Programs</w:t>
            </w:r>
          </w:p>
        </w:tc>
        <w:tc>
          <w:tcPr>
            <w:tcW w:w="1281" w:type="pct"/>
          </w:tcPr>
          <w:p w14:paraId="6311A1FC"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Career Guidance Use</w:t>
            </w:r>
          </w:p>
        </w:tc>
      </w:tr>
      <w:tr w:rsidR="006D334C" w:rsidRPr="006D334C" w14:paraId="36725953" w14:textId="77777777" w:rsidTr="006D334C">
        <w:tc>
          <w:tcPr>
            <w:tcW w:w="980" w:type="pct"/>
          </w:tcPr>
          <w:p w14:paraId="70EA9B4D"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 xml:space="preserve">New </w:t>
            </w:r>
            <w:proofErr w:type="spellStart"/>
            <w:r w:rsidRPr="006D334C">
              <w:rPr>
                <w:rFonts w:ascii="Calibri" w:hAnsi="Calibri" w:cs="Calibri"/>
                <w:sz w:val="22"/>
                <w:szCs w:val="22"/>
              </w:rPr>
              <w:t>Specialisation</w:t>
            </w:r>
            <w:proofErr w:type="spellEnd"/>
            <w:r w:rsidRPr="006D334C">
              <w:rPr>
                <w:rFonts w:ascii="Calibri" w:hAnsi="Calibri" w:cs="Calibri"/>
                <w:sz w:val="22"/>
                <w:szCs w:val="22"/>
              </w:rPr>
              <w:t xml:space="preserve"> (full diploma track)</w:t>
            </w:r>
          </w:p>
        </w:tc>
        <w:tc>
          <w:tcPr>
            <w:tcW w:w="957" w:type="pct"/>
          </w:tcPr>
          <w:p w14:paraId="7354BAE7"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Gap Score &gt; 2.5 AND sustained demand across ≥3 LMI cycles</w:t>
            </w:r>
          </w:p>
        </w:tc>
        <w:tc>
          <w:tcPr>
            <w:tcW w:w="1782" w:type="pct"/>
          </w:tcPr>
          <w:p w14:paraId="14931958"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Accounting/FinTech; Web Dev; Digital Marketing (AI &amp; Data Analytics track); Nursing/PT (Health Informatics track)</w:t>
            </w:r>
          </w:p>
        </w:tc>
        <w:tc>
          <w:tcPr>
            <w:tcW w:w="1281" w:type="pct"/>
          </w:tcPr>
          <w:p w14:paraId="6A400E52"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Advisor recommends emerging-sector track to students targeting high-growth occupations</w:t>
            </w:r>
          </w:p>
        </w:tc>
      </w:tr>
      <w:tr w:rsidR="006D334C" w:rsidRPr="006D334C" w14:paraId="54D4187B" w14:textId="77777777" w:rsidTr="006D334C">
        <w:tc>
          <w:tcPr>
            <w:tcW w:w="980" w:type="pct"/>
          </w:tcPr>
          <w:p w14:paraId="5BD99074"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2-Credit Cross-Program Module</w:t>
            </w:r>
          </w:p>
        </w:tc>
        <w:tc>
          <w:tcPr>
            <w:tcW w:w="957" w:type="pct"/>
          </w:tcPr>
          <w:p w14:paraId="4487A109"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Gap Score &gt; 2.0 AND skill appears in &gt;40% of entry-level postings across sectors</w:t>
            </w:r>
          </w:p>
        </w:tc>
        <w:tc>
          <w:tcPr>
            <w:tcW w:w="1782" w:type="pct"/>
          </w:tcPr>
          <w:p w14:paraId="2239A984"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ALL 16 programs: Project Management, Advanced Excel/Power BI, AI Prompt Engineering, Professional Report Writing</w:t>
            </w:r>
          </w:p>
        </w:tc>
        <w:tc>
          <w:tcPr>
            <w:tcW w:w="1281" w:type="pct"/>
          </w:tcPr>
          <w:p w14:paraId="1928FF3A"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Advisor integrates module into every student’s study plan as a baseline employability requirement</w:t>
            </w:r>
          </w:p>
        </w:tc>
      </w:tr>
      <w:tr w:rsidR="006D334C" w:rsidRPr="006D334C" w14:paraId="32A0D279" w14:textId="77777777" w:rsidTr="006D334C">
        <w:tc>
          <w:tcPr>
            <w:tcW w:w="980" w:type="pct"/>
          </w:tcPr>
          <w:p w14:paraId="67BBFA4D"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 xml:space="preserve">Stackable Micro-Credential (15–30 </w:t>
            </w:r>
            <w:proofErr w:type="spellStart"/>
            <w:r w:rsidRPr="006D334C">
              <w:rPr>
                <w:rFonts w:ascii="Calibri" w:hAnsi="Calibri" w:cs="Calibri"/>
                <w:sz w:val="22"/>
                <w:szCs w:val="22"/>
              </w:rPr>
              <w:t>hrs</w:t>
            </w:r>
            <w:proofErr w:type="spellEnd"/>
            <w:r w:rsidRPr="006D334C">
              <w:rPr>
                <w:rFonts w:ascii="Calibri" w:hAnsi="Calibri" w:cs="Calibri"/>
                <w:sz w:val="22"/>
                <w:szCs w:val="22"/>
              </w:rPr>
              <w:t>, digital badge)</w:t>
            </w:r>
          </w:p>
        </w:tc>
        <w:tc>
          <w:tcPr>
            <w:tcW w:w="957" w:type="pct"/>
          </w:tcPr>
          <w:p w14:paraId="317E5116"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Gap Score &gt; 1.5 AND skill is rapidly evolving or program-specific</w:t>
            </w:r>
          </w:p>
        </w:tc>
        <w:tc>
          <w:tcPr>
            <w:tcW w:w="1782" w:type="pct"/>
          </w:tcPr>
          <w:p w14:paraId="55F98F29"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Digital Mktg/Accounting: CRM Software; Fashion/Beauty/Food: E-Commerce; Nursing/PT: Health EMR; Interior Design: CAD Rendering</w:t>
            </w:r>
          </w:p>
        </w:tc>
        <w:tc>
          <w:tcPr>
            <w:tcW w:w="1281" w:type="pct"/>
          </w:tcPr>
          <w:p w14:paraId="61F5ED63" w14:textId="77777777" w:rsidR="006D334C" w:rsidRPr="006D334C" w:rsidRDefault="006D334C" w:rsidP="006D334C">
            <w:pPr>
              <w:spacing w:line="360" w:lineRule="auto"/>
              <w:rPr>
                <w:rFonts w:ascii="Calibri" w:hAnsi="Calibri" w:cs="Calibri"/>
                <w:sz w:val="22"/>
                <w:szCs w:val="22"/>
              </w:rPr>
            </w:pPr>
            <w:r w:rsidRPr="006D334C">
              <w:rPr>
                <w:rFonts w:ascii="Calibri" w:hAnsi="Calibri" w:cs="Calibri"/>
                <w:sz w:val="22"/>
                <w:szCs w:val="22"/>
              </w:rPr>
              <w:t>Student completes independently before graduation; advisor tracks in personalized development plan</w:t>
            </w:r>
          </w:p>
        </w:tc>
      </w:tr>
    </w:tbl>
    <w:p w14:paraId="6F797777"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Note. Gap Score = 3.0 − Average ESCO Coverage Score (0–3 scale). LMI = Labor Market Intelligence. All interventions are tied to specific program-level gap findings.</w:t>
      </w:r>
    </w:p>
    <w:p w14:paraId="21E8FD41" w14:textId="77777777" w:rsidR="006D334C" w:rsidRPr="006D334C" w:rsidRDefault="006D334C" w:rsidP="006D334C">
      <w:pPr>
        <w:spacing w:line="360" w:lineRule="auto"/>
        <w:jc w:val="lowKashida"/>
        <w:rPr>
          <w:rFonts w:ascii="Calibri" w:hAnsi="Calibri" w:cs="Calibri"/>
          <w:b/>
          <w:bCs/>
          <w:sz w:val="22"/>
          <w:szCs w:val="22"/>
        </w:rPr>
      </w:pPr>
      <w:r w:rsidRPr="006D334C">
        <w:rPr>
          <w:rFonts w:ascii="Calibri" w:hAnsi="Calibri" w:cs="Calibri"/>
          <w:b/>
          <w:bCs/>
          <w:sz w:val="22"/>
          <w:szCs w:val="22"/>
        </w:rPr>
        <w:t>References</w:t>
      </w:r>
    </w:p>
    <w:p w14:paraId="0248652F"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Bayt.com &amp; YouGov. (2024). The future of work in the MENA survey. Bayt.com.</w:t>
      </w:r>
    </w:p>
    <w:p w14:paraId="2E5E62E3"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Becker, G. S. (1964). Human capital: A theoretical and empirical analysis, with special reference to education. University of Chicago Press.</w:t>
      </w:r>
    </w:p>
    <w:p w14:paraId="76047BC0"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Colombo, E., </w:t>
      </w:r>
      <w:proofErr w:type="spellStart"/>
      <w:r w:rsidRPr="006D334C">
        <w:rPr>
          <w:rFonts w:ascii="Calibri" w:hAnsi="Calibri" w:cs="Calibri"/>
          <w:sz w:val="22"/>
          <w:szCs w:val="22"/>
        </w:rPr>
        <w:t>Mercorio</w:t>
      </w:r>
      <w:proofErr w:type="spellEnd"/>
      <w:r w:rsidRPr="006D334C">
        <w:rPr>
          <w:rFonts w:ascii="Calibri" w:hAnsi="Calibri" w:cs="Calibri"/>
          <w:sz w:val="22"/>
          <w:szCs w:val="22"/>
        </w:rPr>
        <w:t xml:space="preserve">, F., &amp; </w:t>
      </w:r>
      <w:proofErr w:type="spellStart"/>
      <w:r w:rsidRPr="006D334C">
        <w:rPr>
          <w:rFonts w:ascii="Calibri" w:hAnsi="Calibri" w:cs="Calibri"/>
          <w:sz w:val="22"/>
          <w:szCs w:val="22"/>
        </w:rPr>
        <w:t>Mezzanzanica</w:t>
      </w:r>
      <w:proofErr w:type="spellEnd"/>
      <w:r w:rsidRPr="006D334C">
        <w:rPr>
          <w:rFonts w:ascii="Calibri" w:hAnsi="Calibri" w:cs="Calibri"/>
          <w:sz w:val="22"/>
          <w:szCs w:val="22"/>
        </w:rPr>
        <w:t>, M. (2021). AI meets labor market: Exploring the link between automation and skills with ESCO. Information Systems Frontiers, 23(6), 1885–1900. https://doi.org/10.1007/s10796-021-10107-x</w:t>
      </w:r>
    </w:p>
    <w:p w14:paraId="250C6B10"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lastRenderedPageBreak/>
        <w:t>European Commission. (2023). ESCO: European skills, competences, qualifications and occupations (Version 1.2). Publications Office of the European Union. https://esco.ec.europa.eu</w:t>
      </w:r>
    </w:p>
    <w:p w14:paraId="68741775" w14:textId="77777777" w:rsidR="006D334C" w:rsidRPr="006D334C" w:rsidRDefault="006D334C" w:rsidP="006D334C">
      <w:pPr>
        <w:spacing w:line="360" w:lineRule="auto"/>
        <w:jc w:val="lowKashida"/>
        <w:rPr>
          <w:rFonts w:ascii="Calibri" w:hAnsi="Calibri" w:cs="Calibri"/>
          <w:sz w:val="22"/>
          <w:szCs w:val="22"/>
        </w:rPr>
      </w:pPr>
      <w:proofErr w:type="spellStart"/>
      <w:r w:rsidRPr="006D334C">
        <w:rPr>
          <w:rFonts w:ascii="Calibri" w:hAnsi="Calibri" w:cs="Calibri"/>
          <w:sz w:val="22"/>
          <w:szCs w:val="22"/>
        </w:rPr>
        <w:t>Icociu</w:t>
      </w:r>
      <w:proofErr w:type="spellEnd"/>
      <w:r w:rsidRPr="006D334C">
        <w:rPr>
          <w:rFonts w:ascii="Calibri" w:hAnsi="Calibri" w:cs="Calibri"/>
          <w:sz w:val="22"/>
          <w:szCs w:val="22"/>
        </w:rPr>
        <w:t xml:space="preserve">, C.-V., Postavaru, N., Dobrescu, T. G., &amp; Silvestru, C.-I. (n.d.). ESCO: A bridge between </w:t>
      </w:r>
      <w:proofErr w:type="spellStart"/>
      <w:r w:rsidRPr="006D334C">
        <w:rPr>
          <w:rFonts w:ascii="Calibri" w:hAnsi="Calibri" w:cs="Calibri"/>
          <w:sz w:val="22"/>
          <w:szCs w:val="22"/>
        </w:rPr>
        <w:t>labour</w:t>
      </w:r>
      <w:proofErr w:type="spellEnd"/>
      <w:r w:rsidRPr="006D334C">
        <w:rPr>
          <w:rFonts w:ascii="Calibri" w:hAnsi="Calibri" w:cs="Calibri"/>
          <w:sz w:val="22"/>
          <w:szCs w:val="22"/>
        </w:rPr>
        <w:t xml:space="preserve"> market and education market. </w:t>
      </w:r>
      <w:proofErr w:type="spellStart"/>
      <w:r w:rsidRPr="006D334C">
        <w:rPr>
          <w:rFonts w:ascii="Calibri" w:hAnsi="Calibri" w:cs="Calibri"/>
          <w:sz w:val="22"/>
          <w:szCs w:val="22"/>
        </w:rPr>
        <w:t>Universitatea</w:t>
      </w:r>
      <w:proofErr w:type="spellEnd"/>
      <w:r w:rsidRPr="006D334C">
        <w:rPr>
          <w:rFonts w:ascii="Calibri" w:hAnsi="Calibri" w:cs="Calibri"/>
          <w:sz w:val="22"/>
          <w:szCs w:val="22"/>
        </w:rPr>
        <w:t xml:space="preserve"> </w:t>
      </w:r>
      <w:proofErr w:type="spellStart"/>
      <w:r w:rsidRPr="006D334C">
        <w:rPr>
          <w:rFonts w:ascii="Calibri" w:hAnsi="Calibri" w:cs="Calibri"/>
          <w:sz w:val="22"/>
          <w:szCs w:val="22"/>
        </w:rPr>
        <w:t>Politehnica</w:t>
      </w:r>
      <w:proofErr w:type="spellEnd"/>
      <w:r w:rsidRPr="006D334C">
        <w:rPr>
          <w:rFonts w:ascii="Calibri" w:hAnsi="Calibri" w:cs="Calibri"/>
          <w:sz w:val="22"/>
          <w:szCs w:val="22"/>
        </w:rPr>
        <w:t xml:space="preserve"> din </w:t>
      </w:r>
      <w:proofErr w:type="spellStart"/>
      <w:r w:rsidRPr="006D334C">
        <w:rPr>
          <w:rFonts w:ascii="Calibri" w:hAnsi="Calibri" w:cs="Calibri"/>
          <w:sz w:val="22"/>
          <w:szCs w:val="22"/>
        </w:rPr>
        <w:t>Bucuresti</w:t>
      </w:r>
      <w:proofErr w:type="spellEnd"/>
      <w:r w:rsidRPr="006D334C">
        <w:rPr>
          <w:rFonts w:ascii="Calibri" w:hAnsi="Calibri" w:cs="Calibri"/>
          <w:sz w:val="22"/>
          <w:szCs w:val="22"/>
        </w:rPr>
        <w:t xml:space="preserve"> / </w:t>
      </w:r>
      <w:proofErr w:type="spellStart"/>
      <w:r w:rsidRPr="006D334C">
        <w:rPr>
          <w:rFonts w:ascii="Calibri" w:hAnsi="Calibri" w:cs="Calibri"/>
          <w:sz w:val="22"/>
          <w:szCs w:val="22"/>
        </w:rPr>
        <w:t>Universitatea</w:t>
      </w:r>
      <w:proofErr w:type="spellEnd"/>
      <w:r w:rsidRPr="006D334C">
        <w:rPr>
          <w:rFonts w:ascii="Calibri" w:hAnsi="Calibri" w:cs="Calibri"/>
          <w:sz w:val="22"/>
          <w:szCs w:val="22"/>
        </w:rPr>
        <w:t xml:space="preserve"> </w:t>
      </w:r>
      <w:proofErr w:type="spellStart"/>
      <w:r w:rsidRPr="006D334C">
        <w:rPr>
          <w:rFonts w:ascii="Calibri" w:hAnsi="Calibri" w:cs="Calibri"/>
          <w:sz w:val="22"/>
          <w:szCs w:val="22"/>
        </w:rPr>
        <w:t>Tehnica</w:t>
      </w:r>
      <w:proofErr w:type="spellEnd"/>
      <w:r w:rsidRPr="006D334C">
        <w:rPr>
          <w:rFonts w:ascii="Calibri" w:hAnsi="Calibri" w:cs="Calibri"/>
          <w:sz w:val="22"/>
          <w:szCs w:val="22"/>
        </w:rPr>
        <w:t xml:space="preserve"> de </w:t>
      </w:r>
      <w:proofErr w:type="spellStart"/>
      <w:r w:rsidRPr="006D334C">
        <w:rPr>
          <w:rFonts w:ascii="Calibri" w:hAnsi="Calibri" w:cs="Calibri"/>
          <w:sz w:val="22"/>
          <w:szCs w:val="22"/>
        </w:rPr>
        <w:t>Constructii</w:t>
      </w:r>
      <w:proofErr w:type="spellEnd"/>
      <w:r w:rsidRPr="006D334C">
        <w:rPr>
          <w:rFonts w:ascii="Calibri" w:hAnsi="Calibri" w:cs="Calibri"/>
          <w:sz w:val="22"/>
          <w:szCs w:val="22"/>
        </w:rPr>
        <w:t>, Bucharest.</w:t>
      </w:r>
    </w:p>
    <w:p w14:paraId="48B4CAC1"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McMahon, M., &amp; Patton, W. (2006). Career counselling: Constructivist approaches. Routledge.</w:t>
      </w:r>
    </w:p>
    <w:p w14:paraId="5AD3337D"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Palestinian Central Bureau of Statistics. (2024). </w:t>
      </w:r>
      <w:proofErr w:type="spellStart"/>
      <w:r w:rsidRPr="006D334C">
        <w:rPr>
          <w:rFonts w:ascii="Calibri" w:hAnsi="Calibri" w:cs="Calibri"/>
          <w:sz w:val="22"/>
          <w:szCs w:val="22"/>
        </w:rPr>
        <w:t>Labour</w:t>
      </w:r>
      <w:proofErr w:type="spellEnd"/>
      <w:r w:rsidRPr="006D334C">
        <w:rPr>
          <w:rFonts w:ascii="Calibri" w:hAnsi="Calibri" w:cs="Calibri"/>
          <w:sz w:val="22"/>
          <w:szCs w:val="22"/>
        </w:rPr>
        <w:t xml:space="preserve"> force survey annual report 2023. PCBS. https://www.pcbs.gov.ps</w:t>
      </w:r>
    </w:p>
    <w:p w14:paraId="736B3965"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Pejic-Bach, M., </w:t>
      </w:r>
      <w:proofErr w:type="spellStart"/>
      <w:r w:rsidRPr="006D334C">
        <w:rPr>
          <w:rFonts w:ascii="Calibri" w:hAnsi="Calibri" w:cs="Calibri"/>
          <w:sz w:val="22"/>
          <w:szCs w:val="22"/>
        </w:rPr>
        <w:t>Bertoncel</w:t>
      </w:r>
      <w:proofErr w:type="spellEnd"/>
      <w:r w:rsidRPr="006D334C">
        <w:rPr>
          <w:rFonts w:ascii="Calibri" w:hAnsi="Calibri" w:cs="Calibri"/>
          <w:sz w:val="22"/>
          <w:szCs w:val="22"/>
        </w:rPr>
        <w:t>, T., Mesko, M., &amp; Krstic, Z. (2020). Text mining of industry 5.0 job advertisements. International Journal of Information Management, 50, 416–431. https://doi.org/10.1016/j.ijinfomgt.2019.09.003</w:t>
      </w:r>
    </w:p>
    <w:p w14:paraId="7385C29C"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Smart University College for Modern Education. (2025). Labor-market direction report [Internal strategic report]. SUME.</w:t>
      </w:r>
    </w:p>
    <w:p w14:paraId="6D87E2AA" w14:textId="77777777" w:rsidR="006D334C"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 xml:space="preserve">Teece, D. J. (2007). Explicating dynamic capabilities: The nature and </w:t>
      </w:r>
      <w:proofErr w:type="spellStart"/>
      <w:r w:rsidRPr="006D334C">
        <w:rPr>
          <w:rFonts w:ascii="Calibri" w:hAnsi="Calibri" w:cs="Calibri"/>
          <w:sz w:val="22"/>
          <w:szCs w:val="22"/>
        </w:rPr>
        <w:t>microfoundations</w:t>
      </w:r>
      <w:proofErr w:type="spellEnd"/>
      <w:r w:rsidRPr="006D334C">
        <w:rPr>
          <w:rFonts w:ascii="Calibri" w:hAnsi="Calibri" w:cs="Calibri"/>
          <w:sz w:val="22"/>
          <w:szCs w:val="22"/>
        </w:rPr>
        <w:t xml:space="preserve"> of (sustainable) enterprise performance. Strategic Management Journal, 28(13), 1319–1350. https://doi.org/10.1002/smj.640</w:t>
      </w:r>
    </w:p>
    <w:p w14:paraId="0525E0FE" w14:textId="110F87AD" w:rsidR="00DB11E4" w:rsidRPr="006D334C" w:rsidRDefault="006D334C" w:rsidP="006D334C">
      <w:pPr>
        <w:spacing w:line="360" w:lineRule="auto"/>
        <w:jc w:val="lowKashida"/>
        <w:rPr>
          <w:rFonts w:ascii="Calibri" w:hAnsi="Calibri" w:cs="Calibri"/>
          <w:sz w:val="22"/>
          <w:szCs w:val="22"/>
        </w:rPr>
      </w:pPr>
      <w:r w:rsidRPr="006D334C">
        <w:rPr>
          <w:rFonts w:ascii="Calibri" w:hAnsi="Calibri" w:cs="Calibri"/>
          <w:sz w:val="22"/>
          <w:szCs w:val="22"/>
        </w:rPr>
        <w:t>World Economic Forum. (2025). The future of jobs report 2025. World Economic Forum. https://www.weforum.org/reports/the-future-of-jobs-report-2025</w:t>
      </w:r>
    </w:p>
    <w:sectPr w:rsidR="00DB11E4" w:rsidRPr="006D3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E66"/>
    <w:multiLevelType w:val="hybridMultilevel"/>
    <w:tmpl w:val="0F546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19387E"/>
    <w:multiLevelType w:val="hybridMultilevel"/>
    <w:tmpl w:val="044EA6F8"/>
    <w:lvl w:ilvl="0" w:tplc="254661B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CDB3729"/>
    <w:multiLevelType w:val="hybridMultilevel"/>
    <w:tmpl w:val="489A9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5267A0"/>
    <w:multiLevelType w:val="hybridMultilevel"/>
    <w:tmpl w:val="EAAC8C4A"/>
    <w:lvl w:ilvl="0" w:tplc="254661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114434">
    <w:abstractNumId w:val="0"/>
  </w:num>
  <w:num w:numId="2" w16cid:durableId="591553763">
    <w:abstractNumId w:val="3"/>
  </w:num>
  <w:num w:numId="3" w16cid:durableId="1145319351">
    <w:abstractNumId w:val="1"/>
  </w:num>
  <w:num w:numId="4" w16cid:durableId="166088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34C"/>
    <w:rsid w:val="006B4355"/>
    <w:rsid w:val="006D334C"/>
    <w:rsid w:val="00701E94"/>
    <w:rsid w:val="00A54355"/>
    <w:rsid w:val="00AA373C"/>
    <w:rsid w:val="00CF2A67"/>
    <w:rsid w:val="00DB11E4"/>
    <w:rsid w:val="00E148F3"/>
    <w:rsid w:val="00FC59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67DB5"/>
  <w15:chartTrackingRefBased/>
  <w15:docId w15:val="{6CFE3D5A-276E-4E44-BA56-C506CED1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34C"/>
    <w:rPr>
      <w:rFonts w:eastAsiaTheme="majorEastAsia" w:cstheme="majorBidi"/>
      <w:color w:val="272727" w:themeColor="text1" w:themeTint="D8"/>
    </w:rPr>
  </w:style>
  <w:style w:type="paragraph" w:styleId="Title">
    <w:name w:val="Title"/>
    <w:basedOn w:val="Normal"/>
    <w:next w:val="Normal"/>
    <w:link w:val="TitleChar"/>
    <w:uiPriority w:val="10"/>
    <w:qFormat/>
    <w:rsid w:val="006D3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34C"/>
    <w:pPr>
      <w:spacing w:before="160"/>
      <w:jc w:val="center"/>
    </w:pPr>
    <w:rPr>
      <w:i/>
      <w:iCs/>
      <w:color w:val="404040" w:themeColor="text1" w:themeTint="BF"/>
    </w:rPr>
  </w:style>
  <w:style w:type="character" w:customStyle="1" w:styleId="QuoteChar">
    <w:name w:val="Quote Char"/>
    <w:basedOn w:val="DefaultParagraphFont"/>
    <w:link w:val="Quote"/>
    <w:uiPriority w:val="29"/>
    <w:rsid w:val="006D334C"/>
    <w:rPr>
      <w:i/>
      <w:iCs/>
      <w:color w:val="404040" w:themeColor="text1" w:themeTint="BF"/>
    </w:rPr>
  </w:style>
  <w:style w:type="paragraph" w:styleId="ListParagraph">
    <w:name w:val="List Paragraph"/>
    <w:basedOn w:val="Normal"/>
    <w:uiPriority w:val="34"/>
    <w:qFormat/>
    <w:rsid w:val="006D334C"/>
    <w:pPr>
      <w:ind w:left="720"/>
      <w:contextualSpacing/>
    </w:pPr>
  </w:style>
  <w:style w:type="character" w:styleId="IntenseEmphasis">
    <w:name w:val="Intense Emphasis"/>
    <w:basedOn w:val="DefaultParagraphFont"/>
    <w:uiPriority w:val="21"/>
    <w:qFormat/>
    <w:rsid w:val="006D334C"/>
    <w:rPr>
      <w:i/>
      <w:iCs/>
      <w:color w:val="0F4761" w:themeColor="accent1" w:themeShade="BF"/>
    </w:rPr>
  </w:style>
  <w:style w:type="paragraph" w:styleId="IntenseQuote">
    <w:name w:val="Intense Quote"/>
    <w:basedOn w:val="Normal"/>
    <w:next w:val="Normal"/>
    <w:link w:val="IntenseQuoteChar"/>
    <w:uiPriority w:val="30"/>
    <w:qFormat/>
    <w:rsid w:val="006D3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34C"/>
    <w:rPr>
      <w:i/>
      <w:iCs/>
      <w:color w:val="0F4761" w:themeColor="accent1" w:themeShade="BF"/>
    </w:rPr>
  </w:style>
  <w:style w:type="character" w:styleId="IntenseReference">
    <w:name w:val="Intense Reference"/>
    <w:basedOn w:val="DefaultParagraphFont"/>
    <w:uiPriority w:val="32"/>
    <w:qFormat/>
    <w:rsid w:val="006D334C"/>
    <w:rPr>
      <w:b/>
      <w:bCs/>
      <w:smallCaps/>
      <w:color w:val="0F4761" w:themeColor="accent1" w:themeShade="BF"/>
      <w:spacing w:val="5"/>
    </w:rPr>
  </w:style>
  <w:style w:type="table" w:styleId="TableGrid">
    <w:name w:val="Table Grid"/>
    <w:basedOn w:val="TableNormal"/>
    <w:uiPriority w:val="39"/>
    <w:rsid w:val="006D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01E94"/>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453</TotalTime>
  <Pages>8</Pages>
  <Words>2740</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majed sayed</dc:creator>
  <cp:keywords/>
  <dc:description/>
  <cp:lastModifiedBy>majed sayed</cp:lastModifiedBy>
  <cp:revision>3</cp:revision>
  <dcterms:created xsi:type="dcterms:W3CDTF">2026-03-21T11:37:00Z</dcterms:created>
  <dcterms:modified xsi:type="dcterms:W3CDTF">2026-03-23T09:10:00Z</dcterms:modified>
</cp:coreProperties>
</file>