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CA85D" w14:textId="4DD76CC8" w:rsidR="0090481C" w:rsidRPr="000C29C2" w:rsidRDefault="0090481C" w:rsidP="00ED1D3F">
      <w:pPr>
        <w:widowControl/>
        <w:spacing w:before="100" w:beforeAutospacing="1" w:after="100" w:afterAutospacing="1" w:line="360" w:lineRule="auto"/>
        <w:rPr>
          <w:rFonts w:ascii="Calibri" w:eastAsia="ＭＳ Ｐゴシック" w:hAnsi="Calibri" w:cs="Calibri"/>
          <w:color w:val="000000" w:themeColor="text1"/>
          <w:kern w:val="0"/>
          <w:sz w:val="22"/>
          <w:szCs w:val="22"/>
          <w14:ligatures w14:val="none"/>
        </w:rPr>
      </w:pPr>
      <w:r w:rsidRPr="000C29C2">
        <w:rPr>
          <w:rFonts w:ascii="Calibri" w:eastAsia="ＭＳ Ｐゴシック" w:hAnsi="Calibri" w:cs="Calibri"/>
          <w:color w:val="000000" w:themeColor="text1"/>
          <w:kern w:val="0"/>
          <w:sz w:val="22"/>
          <w:szCs w:val="22"/>
          <w14:ligatures w14:val="none"/>
        </w:rPr>
        <w:t>Parental Expectations, Religious Values, and Career Development among Japanese and Indonesian University Students</w:t>
      </w:r>
    </w:p>
    <w:p w14:paraId="1773E6C2" w14:textId="6BFEF550" w:rsidR="0090481C" w:rsidRPr="000C29C2" w:rsidRDefault="0090481C" w:rsidP="000C29C2">
      <w:pPr>
        <w:spacing w:line="360" w:lineRule="auto"/>
        <w:rPr>
          <w:rFonts w:ascii="Calibri" w:hAnsi="Calibri" w:cs="Calibri"/>
          <w:sz w:val="22"/>
          <w:szCs w:val="22"/>
        </w:rPr>
      </w:pPr>
      <w:r w:rsidRPr="000C29C2">
        <w:rPr>
          <w:rFonts w:ascii="Calibri" w:hAnsi="Calibri" w:cs="Calibri"/>
          <w:sz w:val="22"/>
          <w:szCs w:val="22"/>
        </w:rPr>
        <w:t xml:space="preserve">　　　　　　　　　　　　　　　　　　　　　　　　　　</w:t>
      </w:r>
      <w:r w:rsidRPr="000C29C2">
        <w:rPr>
          <w:rFonts w:ascii="Calibri" w:hAnsi="Calibri" w:cs="Calibri"/>
          <w:sz w:val="22"/>
          <w:szCs w:val="22"/>
        </w:rPr>
        <w:t xml:space="preserve">        </w:t>
      </w:r>
      <w:r w:rsidRPr="000C29C2">
        <w:rPr>
          <w:rFonts w:ascii="Calibri" w:hAnsi="Calibri" w:cs="Calibri"/>
          <w:sz w:val="22"/>
          <w:szCs w:val="22"/>
        </w:rPr>
        <w:t xml:space="preserve">　　</w:t>
      </w:r>
      <w:r w:rsidRPr="000C29C2">
        <w:rPr>
          <w:rFonts w:ascii="Calibri" w:hAnsi="Calibri" w:cs="Calibri"/>
          <w:sz w:val="22"/>
          <w:szCs w:val="22"/>
        </w:rPr>
        <w:t>Kiyomi Banda</w:t>
      </w:r>
    </w:p>
    <w:p w14:paraId="4B76480F" w14:textId="77777777" w:rsidR="0090481C" w:rsidRPr="000C29C2" w:rsidRDefault="0090481C" w:rsidP="000C29C2">
      <w:pPr>
        <w:spacing w:line="360" w:lineRule="auto"/>
        <w:rPr>
          <w:rFonts w:ascii="Calibri" w:hAnsi="Calibri" w:cs="Calibri"/>
          <w:sz w:val="22"/>
          <w:szCs w:val="22"/>
        </w:rPr>
      </w:pPr>
    </w:p>
    <w:p w14:paraId="291F59FC" w14:textId="446A4D28" w:rsidR="0090481C" w:rsidRPr="000C29C2" w:rsidRDefault="0090481C" w:rsidP="00ED1D3F">
      <w:pPr>
        <w:spacing w:line="360" w:lineRule="auto"/>
        <w:rPr>
          <w:rFonts w:ascii="Calibri" w:hAnsi="Calibri" w:cs="Calibri" w:hint="eastAsia"/>
          <w:sz w:val="22"/>
          <w:szCs w:val="22"/>
        </w:rPr>
      </w:pPr>
      <w:r w:rsidRPr="000C29C2">
        <w:rPr>
          <w:rFonts w:ascii="Calibri" w:hAnsi="Calibri" w:cs="Calibri"/>
          <w:sz w:val="22"/>
          <w:szCs w:val="22"/>
        </w:rPr>
        <w:t>Key words:Career development, Parental Expectations, Comparison between Japan and Indonesia, Trajectory Equifinality Approach, Dialogical Self Theory,</w:t>
      </w:r>
    </w:p>
    <w:p w14:paraId="0F5DEA27" w14:textId="6F157D22" w:rsidR="0090481C" w:rsidRPr="000C29C2" w:rsidRDefault="0090481C" w:rsidP="000C29C2">
      <w:pPr>
        <w:widowControl/>
        <w:spacing w:before="100" w:beforeAutospacing="1" w:after="100" w:afterAutospacing="1" w:line="360" w:lineRule="auto"/>
        <w:rPr>
          <w:rFonts w:ascii="Calibri" w:eastAsia="ＭＳ Ｐゴシック" w:hAnsi="Calibri" w:cs="Calibri"/>
          <w:kern w:val="0"/>
          <w:sz w:val="22"/>
          <w:szCs w:val="22"/>
          <w14:ligatures w14:val="none"/>
        </w:rPr>
      </w:pPr>
      <w:r w:rsidRPr="000C29C2">
        <w:rPr>
          <w:rFonts w:ascii="Calibri" w:eastAsia="ＭＳ Ｐゴシック" w:hAnsi="Calibri" w:cs="Calibri"/>
          <w:kern w:val="0"/>
          <w:sz w:val="22"/>
          <w:szCs w:val="22"/>
          <w14:ligatures w14:val="none"/>
        </w:rPr>
        <w:t>Abstract</w:t>
      </w:r>
    </w:p>
    <w:p w14:paraId="54685453" w14:textId="094DF934" w:rsidR="0090481C" w:rsidRPr="000C29C2" w:rsidRDefault="0090481C" w:rsidP="000C29C2">
      <w:pPr>
        <w:widowControl/>
        <w:spacing w:before="100" w:beforeAutospacing="1" w:after="100" w:afterAutospacing="1" w:line="360" w:lineRule="auto"/>
        <w:jc w:val="both"/>
        <w:rPr>
          <w:rFonts w:ascii="Calibri" w:eastAsia="ＭＳ Ｐゴシック" w:hAnsi="Calibri" w:cs="Calibri"/>
          <w:kern w:val="0"/>
          <w:sz w:val="22"/>
          <w:szCs w:val="22"/>
          <w14:ligatures w14:val="none"/>
        </w:rPr>
      </w:pPr>
      <w:r w:rsidRPr="000C29C2">
        <w:rPr>
          <w:rFonts w:ascii="Calibri" w:eastAsia="ＭＳ Ｐゴシック" w:hAnsi="Calibri" w:cs="Calibri"/>
          <w:kern w:val="0"/>
          <w:sz w:val="22"/>
          <w:szCs w:val="22"/>
          <w14:ligatures w14:val="none"/>
        </w:rPr>
        <w:t>Japan has increasingly accepted foreign workers in response to its rapidly declining working-age population, particularly from Southeast Asia (AMRO, 2025). Most foreign workers have been employed on fixed-term contracts under the Technical Intern Training Program, which mainly targets high school graduates. At the same time, Japan has expanded policies to attract highly skilled foreign professionals—defined as graduates of universities or graduate schools with advanced expertise—through points-based preferential immigration systems (JETRO, 2026). In parallel, the number of international students who complete degree programs in Japan and enter employment at Japanese companies has steadily increased (JASSO, 2025). These trends underscore the growing importance of collaboration between Japanese graduates and foreign university-educated workers in Japan’s future labor market.</w:t>
      </w:r>
    </w:p>
    <w:p w14:paraId="4177E8AB" w14:textId="77777777" w:rsidR="0090481C" w:rsidRPr="000C29C2" w:rsidRDefault="0090481C" w:rsidP="000C29C2">
      <w:pPr>
        <w:widowControl/>
        <w:spacing w:before="100" w:beforeAutospacing="1" w:after="100" w:afterAutospacing="1" w:line="360" w:lineRule="auto"/>
        <w:jc w:val="both"/>
        <w:rPr>
          <w:rFonts w:ascii="Calibri" w:eastAsia="ＭＳ Ｐゴシック" w:hAnsi="Calibri" w:cs="Calibri"/>
          <w:kern w:val="0"/>
          <w:sz w:val="22"/>
          <w:szCs w:val="22"/>
          <w14:ligatures w14:val="none"/>
        </w:rPr>
      </w:pPr>
      <w:r w:rsidRPr="000C29C2">
        <w:rPr>
          <w:rFonts w:ascii="Calibri" w:eastAsia="ＭＳ Ｐゴシック" w:hAnsi="Calibri" w:cs="Calibri"/>
          <w:kern w:val="0"/>
          <w:sz w:val="22"/>
          <w:szCs w:val="22"/>
          <w14:ligatures w14:val="none"/>
        </w:rPr>
        <w:t xml:space="preserve">Within this context, Japan’s higher education system has undergone substantial structural change. As university enrollment rates have risen, Japanese higher education has reached a universal stage where highly selective and research-intensive universities constitute only a small segment of the system. Previous studies indicate that the majority of university entrants are students with middle-range academic achievement, and that mid-tier and non-elite universities </w:t>
      </w:r>
      <w:r w:rsidRPr="000C29C2">
        <w:rPr>
          <w:rFonts w:ascii="Calibri" w:eastAsia="ＭＳ Ｐゴシック" w:hAnsi="Calibri" w:cs="Calibri"/>
          <w:kern w:val="0"/>
          <w:sz w:val="22"/>
          <w:szCs w:val="22"/>
          <w14:ligatures w14:val="none"/>
        </w:rPr>
        <w:lastRenderedPageBreak/>
        <w:t>now form the quantitative and functional core of Japanese higher education (Yano, 1999; Nonaka, 2014). Consequently, how students from mid-tier universities develop the capacity to collaborate with foreign university graduates has become a central issue for career guidance and vocational education.</w:t>
      </w:r>
    </w:p>
    <w:p w14:paraId="3025ACE8" w14:textId="77777777" w:rsidR="0090481C" w:rsidRPr="000C29C2" w:rsidRDefault="0090481C" w:rsidP="000C29C2">
      <w:pPr>
        <w:widowControl/>
        <w:spacing w:before="100" w:beforeAutospacing="1" w:after="100" w:afterAutospacing="1" w:line="360" w:lineRule="auto"/>
        <w:jc w:val="both"/>
        <w:rPr>
          <w:rFonts w:ascii="Calibri" w:eastAsia="ＭＳ Ｐゴシック" w:hAnsi="Calibri" w:cs="Calibri"/>
          <w:kern w:val="0"/>
          <w:sz w:val="22"/>
          <w:szCs w:val="22"/>
          <w14:ligatures w14:val="none"/>
        </w:rPr>
      </w:pPr>
      <w:r w:rsidRPr="000C29C2">
        <w:rPr>
          <w:rFonts w:ascii="Calibri" w:eastAsia="ＭＳ Ｐゴシック" w:hAnsi="Calibri" w:cs="Calibri"/>
          <w:kern w:val="0"/>
          <w:sz w:val="22"/>
          <w:szCs w:val="22"/>
          <w14:ligatures w14:val="none"/>
        </w:rPr>
        <w:t>This study focuses on Indonesian university students as a comparative group. Among Southeast Asian countries, Indonesia is expected to see continued growth in employment in Japan, including pathways to professional and highly skilled positions rather than exclusively low-skilled labor (Budianto, 2023). To examine cross-cultural differences in career development, a questionnaire survey was conducted with 463 Japanese students enrolled in mid-tier universities and 510 Indonesian university students. The survey assessed career development behaviors and psychosocial factors related to future-oriented decision making.</w:t>
      </w:r>
    </w:p>
    <w:p w14:paraId="30671062" w14:textId="77777777" w:rsidR="0090481C" w:rsidRPr="000C29C2" w:rsidRDefault="0090481C" w:rsidP="000C29C2">
      <w:pPr>
        <w:widowControl/>
        <w:spacing w:before="100" w:beforeAutospacing="1" w:after="100" w:afterAutospacing="1" w:line="360" w:lineRule="auto"/>
        <w:jc w:val="both"/>
        <w:rPr>
          <w:rFonts w:ascii="Calibri" w:eastAsia="ＭＳ Ｐゴシック" w:hAnsi="Calibri" w:cs="Calibri"/>
          <w:kern w:val="0"/>
          <w:sz w:val="22"/>
          <w:szCs w:val="22"/>
          <w14:ligatures w14:val="none"/>
        </w:rPr>
      </w:pPr>
      <w:r w:rsidRPr="000C29C2">
        <w:rPr>
          <w:rFonts w:ascii="Calibri" w:eastAsia="ＭＳ Ｐゴシック" w:hAnsi="Calibri" w:cs="Calibri"/>
          <w:kern w:val="0"/>
          <w:sz w:val="22"/>
          <w:szCs w:val="22"/>
          <w14:ligatures w14:val="none"/>
        </w:rPr>
        <w:t>Quantitative analysis revealed a clear contrast in the role of parental expectations. The item “I have never questioned living according to my parents’ expectations” functioned differently across national contexts. Among Japanese students, agreement with this item was negatively associated with proactive career development behaviors. In contrast, among Indonesian students, stronger agreement was positively associated with such behaviors, suggesting that parental expectations may operate as a motivational resource rather than a constraint.</w:t>
      </w:r>
    </w:p>
    <w:p w14:paraId="7CEC39BE" w14:textId="77777777" w:rsidR="0090481C" w:rsidRPr="000C29C2" w:rsidRDefault="0090481C" w:rsidP="000C29C2">
      <w:pPr>
        <w:widowControl/>
        <w:spacing w:before="100" w:beforeAutospacing="1" w:after="100" w:afterAutospacing="1" w:line="360" w:lineRule="auto"/>
        <w:jc w:val="both"/>
        <w:rPr>
          <w:rFonts w:ascii="Calibri" w:eastAsia="ＭＳ Ｐゴシック" w:hAnsi="Calibri" w:cs="Calibri"/>
          <w:kern w:val="0"/>
          <w:sz w:val="22"/>
          <w:szCs w:val="22"/>
          <w14:ligatures w14:val="none"/>
        </w:rPr>
      </w:pPr>
      <w:r w:rsidRPr="000C29C2">
        <w:rPr>
          <w:rFonts w:ascii="Calibri" w:eastAsia="ＭＳ Ｐゴシック" w:hAnsi="Calibri" w:cs="Calibri"/>
          <w:kern w:val="0"/>
          <w:sz w:val="22"/>
          <w:szCs w:val="22"/>
          <w14:ligatures w14:val="none"/>
        </w:rPr>
        <w:t>To explore the cultural mechanisms underlying these patterns, semi-structured interviews were conducted with ten Indonesian survey respondents. Two Indonesian students provided detailed narratives concerning their experiences of parental expectations. These narratives were analyzed using the Trajectory Equifinality Approach (Sato, Mori, &amp; Valsiner, 2016) in combination with Dialogical Self Theory (Hermans &amp; Hermans</w:t>
      </w:r>
      <w:r w:rsidRPr="000C29C2">
        <w:rPr>
          <w:rFonts w:ascii="Calibri" w:eastAsia="ＭＳ Ｐゴシック" w:hAnsi="Calibri" w:cs="Calibri"/>
          <w:kern w:val="0"/>
          <w:sz w:val="22"/>
          <w:szCs w:val="22"/>
          <w14:ligatures w14:val="none"/>
        </w:rPr>
        <w:noBreakHyphen/>
        <w:t xml:space="preserve">Konopka, 2010). The analysis indicates that Islamic moral values play a crucial role in shaping how parental expectations are </w:t>
      </w:r>
      <w:r w:rsidRPr="000C29C2">
        <w:rPr>
          <w:rFonts w:ascii="Calibri" w:eastAsia="ＭＳ Ｐゴシック" w:hAnsi="Calibri" w:cs="Calibri"/>
          <w:kern w:val="0"/>
          <w:sz w:val="22"/>
          <w:szCs w:val="22"/>
          <w14:ligatures w14:val="none"/>
        </w:rPr>
        <w:lastRenderedPageBreak/>
        <w:t>internalized. Parental expectations were construed as moral guidance aligned with religious obligations and collective well-being, thereby supporting career exploration and goal-directed action.</w:t>
      </w:r>
    </w:p>
    <w:p w14:paraId="0D702C6E" w14:textId="77777777" w:rsidR="0090481C" w:rsidRPr="000C29C2" w:rsidRDefault="0090481C" w:rsidP="000C29C2">
      <w:pPr>
        <w:widowControl/>
        <w:spacing w:before="100" w:beforeAutospacing="1" w:after="100" w:afterAutospacing="1" w:line="360" w:lineRule="auto"/>
        <w:jc w:val="both"/>
        <w:rPr>
          <w:rFonts w:ascii="Calibri" w:eastAsia="ＭＳ Ｐゴシック" w:hAnsi="Calibri" w:cs="Calibri"/>
          <w:kern w:val="0"/>
          <w:sz w:val="22"/>
          <w:szCs w:val="22"/>
          <w14:ligatures w14:val="none"/>
        </w:rPr>
      </w:pPr>
      <w:r w:rsidRPr="000C29C2">
        <w:rPr>
          <w:rFonts w:ascii="Calibri" w:eastAsia="ＭＳ Ｐゴシック" w:hAnsi="Calibri" w:cs="Calibri"/>
          <w:kern w:val="0"/>
          <w:sz w:val="22"/>
          <w:szCs w:val="22"/>
          <w14:ligatures w14:val="none"/>
        </w:rPr>
        <w:t>These findings highlight the culturally embedded nature of career development processes and challenge autonomy-centered assumptions often implicit in career guidance theory. The study underscores the importance of culturally responsive career guidance practices in societies experiencing increasing international labor mobility and diversification of the graduate workforce.</w:t>
      </w:r>
    </w:p>
    <w:p w14:paraId="23653BEC" w14:textId="77777777" w:rsidR="0090481C" w:rsidRPr="000C29C2" w:rsidRDefault="0090481C" w:rsidP="000C29C2">
      <w:pPr>
        <w:widowControl/>
        <w:spacing w:before="100" w:beforeAutospacing="1" w:after="100" w:afterAutospacing="1" w:line="360" w:lineRule="auto"/>
        <w:rPr>
          <w:rFonts w:ascii="Calibri" w:eastAsia="ＭＳ Ｐゴシック" w:hAnsi="Calibri" w:cs="Calibri"/>
          <w:kern w:val="0"/>
          <w:sz w:val="22"/>
          <w:szCs w:val="22"/>
          <w14:ligatures w14:val="none"/>
        </w:rPr>
      </w:pPr>
    </w:p>
    <w:p w14:paraId="7783A292" w14:textId="1BB05101" w:rsidR="0090481C" w:rsidRPr="000C29C2" w:rsidRDefault="0090481C" w:rsidP="000C29C2">
      <w:pPr>
        <w:widowControl/>
        <w:spacing w:before="100" w:beforeAutospacing="1" w:after="100" w:afterAutospacing="1" w:line="360" w:lineRule="auto"/>
        <w:rPr>
          <w:rFonts w:ascii="Calibri" w:eastAsia="ＭＳ Ｐゴシック" w:hAnsi="Calibri" w:cs="Calibri"/>
          <w:kern w:val="0"/>
          <w:sz w:val="22"/>
          <w:szCs w:val="22"/>
          <w14:ligatures w14:val="none"/>
        </w:rPr>
      </w:pPr>
      <w:r w:rsidRPr="000C29C2">
        <w:rPr>
          <w:rFonts w:ascii="Calibri" w:eastAsia="ＭＳ Ｐゴシック" w:hAnsi="Calibri" w:cs="Calibri"/>
          <w:kern w:val="0"/>
          <w:sz w:val="22"/>
          <w:szCs w:val="22"/>
          <w14:ligatures w14:val="none"/>
        </w:rPr>
        <w:t>References</w:t>
      </w:r>
    </w:p>
    <w:p w14:paraId="28BB3E71" w14:textId="77777777" w:rsidR="004144FA" w:rsidRPr="000C29C2" w:rsidRDefault="0090481C" w:rsidP="000C29C2">
      <w:pPr>
        <w:widowControl/>
        <w:spacing w:line="360" w:lineRule="auto"/>
        <w:ind w:left="440" w:hangingChars="200" w:hanging="440"/>
        <w:rPr>
          <w:rFonts w:ascii="Calibri" w:eastAsia="ＭＳ Ｐゴシック" w:hAnsi="Calibri" w:cs="Calibri"/>
          <w:kern w:val="0"/>
          <w:sz w:val="22"/>
          <w:szCs w:val="22"/>
          <w14:ligatures w14:val="none"/>
        </w:rPr>
      </w:pPr>
      <w:r w:rsidRPr="000C29C2">
        <w:rPr>
          <w:rFonts w:ascii="Calibri" w:eastAsia="ＭＳ Ｐゴシック" w:hAnsi="Calibri" w:cs="Calibri"/>
          <w:kern w:val="0"/>
          <w:sz w:val="22"/>
          <w:szCs w:val="22"/>
          <w14:ligatures w14:val="none"/>
        </w:rPr>
        <w:t xml:space="preserve">AMRO (2025). </w:t>
      </w:r>
      <w:r w:rsidRPr="000C29C2">
        <w:rPr>
          <w:rFonts w:ascii="Calibri" w:eastAsia="ＭＳ Ｐゴシック" w:hAnsi="Calibri" w:cs="Calibri"/>
          <w:i/>
          <w:iCs/>
          <w:kern w:val="0"/>
          <w:sz w:val="22"/>
          <w:szCs w:val="22"/>
          <w14:ligatures w14:val="none"/>
        </w:rPr>
        <w:t>Strengthening Japan’s workforce: The role of foreign labor in addressing demographic challenges.</w:t>
      </w:r>
    </w:p>
    <w:p w14:paraId="3C126BF4" w14:textId="77777777" w:rsidR="004144FA" w:rsidRPr="000C29C2" w:rsidRDefault="0090481C" w:rsidP="000C29C2">
      <w:pPr>
        <w:widowControl/>
        <w:spacing w:line="360" w:lineRule="auto"/>
        <w:ind w:left="440" w:hangingChars="200" w:hanging="440"/>
        <w:rPr>
          <w:rFonts w:ascii="Calibri" w:eastAsia="ＭＳ Ｐゴシック" w:hAnsi="Calibri" w:cs="Calibri"/>
          <w:kern w:val="0"/>
          <w:sz w:val="22"/>
          <w:szCs w:val="22"/>
          <w14:ligatures w14:val="none"/>
        </w:rPr>
      </w:pPr>
      <w:r w:rsidRPr="000C29C2">
        <w:rPr>
          <w:rFonts w:ascii="Calibri" w:eastAsia="ＭＳ Ｐゴシック" w:hAnsi="Calibri" w:cs="Calibri"/>
          <w:kern w:val="0"/>
          <w:sz w:val="22"/>
          <w:szCs w:val="22"/>
          <w14:ligatures w14:val="none"/>
        </w:rPr>
        <w:t xml:space="preserve">Budianto, F. (2023). </w:t>
      </w:r>
      <w:r w:rsidRPr="000C29C2">
        <w:rPr>
          <w:rFonts w:ascii="Calibri" w:eastAsia="ＭＳ Ｐゴシック" w:hAnsi="Calibri" w:cs="Calibri"/>
          <w:i/>
          <w:iCs/>
          <w:kern w:val="0"/>
          <w:sz w:val="22"/>
          <w:szCs w:val="22"/>
          <w14:ligatures w14:val="none"/>
        </w:rPr>
        <w:t>Welcoming the opportunities: Deciphering contemporary mobility of Indonesian professionals to Japan.</w:t>
      </w:r>
      <w:r w:rsidRPr="000C29C2">
        <w:rPr>
          <w:rFonts w:ascii="Calibri" w:eastAsia="ＭＳ Ｐゴシック" w:hAnsi="Calibri" w:cs="Calibri"/>
          <w:kern w:val="0"/>
          <w:sz w:val="22"/>
          <w:szCs w:val="22"/>
          <w14:ligatures w14:val="none"/>
        </w:rPr>
        <w:t xml:space="preserve"> </w:t>
      </w:r>
      <w:r w:rsidRPr="000C29C2">
        <w:rPr>
          <w:rFonts w:ascii="Calibri" w:eastAsia="ＭＳ Ｐゴシック" w:hAnsi="Calibri" w:cs="Calibri"/>
          <w:i/>
          <w:iCs/>
          <w:kern w:val="0"/>
          <w:sz w:val="22"/>
          <w:szCs w:val="22"/>
          <w14:ligatures w14:val="none"/>
        </w:rPr>
        <w:t>Intermestic: Journal of International Studies, 7</w:t>
      </w:r>
      <w:r w:rsidRPr="000C29C2">
        <w:rPr>
          <w:rFonts w:ascii="Calibri" w:eastAsia="ＭＳ Ｐゴシック" w:hAnsi="Calibri" w:cs="Calibri"/>
          <w:kern w:val="0"/>
          <w:sz w:val="22"/>
          <w:szCs w:val="22"/>
          <w14:ligatures w14:val="none"/>
        </w:rPr>
        <w:t>(2), 656–676.</w:t>
      </w:r>
      <w:r w:rsidR="004144FA" w:rsidRPr="000C29C2">
        <w:rPr>
          <w:rFonts w:ascii="Calibri" w:eastAsia="ＭＳ Ｐゴシック" w:hAnsi="Calibri" w:cs="Calibri"/>
          <w:kern w:val="0"/>
          <w:sz w:val="22"/>
          <w:szCs w:val="22"/>
          <w14:ligatures w14:val="none"/>
        </w:rPr>
        <w:t xml:space="preserve">                              </w:t>
      </w:r>
    </w:p>
    <w:p w14:paraId="58998D35" w14:textId="021A0A86" w:rsidR="004144FA" w:rsidRPr="000C29C2" w:rsidRDefault="0090481C" w:rsidP="000C29C2">
      <w:pPr>
        <w:widowControl/>
        <w:spacing w:line="360" w:lineRule="auto"/>
        <w:ind w:left="440" w:hangingChars="200" w:hanging="440"/>
        <w:rPr>
          <w:rFonts w:ascii="Calibri" w:eastAsia="ＭＳ Ｐゴシック" w:hAnsi="Calibri" w:cs="Calibri"/>
          <w:kern w:val="0"/>
          <w:sz w:val="22"/>
          <w:szCs w:val="22"/>
          <w14:ligatures w14:val="none"/>
        </w:rPr>
      </w:pPr>
      <w:r w:rsidRPr="000C29C2">
        <w:rPr>
          <w:rFonts w:ascii="Calibri" w:eastAsia="ＭＳ Ｐゴシック" w:hAnsi="Calibri" w:cs="Calibri"/>
          <w:kern w:val="0"/>
          <w:sz w:val="22"/>
          <w:szCs w:val="22"/>
          <w14:ligatures w14:val="none"/>
        </w:rPr>
        <w:t>Hermans, H., &amp; Hermans</w:t>
      </w:r>
      <w:r w:rsidRPr="000C29C2">
        <w:rPr>
          <w:rFonts w:ascii="Calibri" w:eastAsia="ＭＳ Ｐゴシック" w:hAnsi="Calibri" w:cs="Calibri"/>
          <w:kern w:val="0"/>
          <w:sz w:val="22"/>
          <w:szCs w:val="22"/>
          <w14:ligatures w14:val="none"/>
        </w:rPr>
        <w:noBreakHyphen/>
        <w:t xml:space="preserve">Konopka, A. (2010). </w:t>
      </w:r>
      <w:r w:rsidRPr="000C29C2">
        <w:rPr>
          <w:rFonts w:ascii="Calibri" w:eastAsia="ＭＳ Ｐゴシック" w:hAnsi="Calibri" w:cs="Calibri"/>
          <w:i/>
          <w:iCs/>
          <w:kern w:val="0"/>
          <w:sz w:val="22"/>
          <w:szCs w:val="22"/>
          <w14:ligatures w14:val="none"/>
        </w:rPr>
        <w:t>Dialogical Self Theory.</w:t>
      </w:r>
      <w:r w:rsidRPr="000C29C2">
        <w:rPr>
          <w:rFonts w:ascii="Calibri" w:eastAsia="ＭＳ Ｐゴシック" w:hAnsi="Calibri" w:cs="Calibri"/>
          <w:kern w:val="0"/>
          <w:sz w:val="22"/>
          <w:szCs w:val="22"/>
          <w14:ligatures w14:val="none"/>
        </w:rPr>
        <w:t xml:space="preserve"> Cambridge University Press.</w:t>
      </w:r>
    </w:p>
    <w:p w14:paraId="2C2EB2F0" w14:textId="77777777" w:rsidR="004144FA" w:rsidRPr="000C29C2" w:rsidRDefault="0090481C" w:rsidP="000C29C2">
      <w:pPr>
        <w:widowControl/>
        <w:spacing w:line="360" w:lineRule="auto"/>
        <w:ind w:left="440" w:hangingChars="200" w:hanging="440"/>
        <w:rPr>
          <w:rFonts w:ascii="Calibri" w:eastAsia="ＭＳ Ｐゴシック" w:hAnsi="Calibri" w:cs="Calibri"/>
          <w:i/>
          <w:iCs/>
          <w:kern w:val="0"/>
          <w:sz w:val="22"/>
          <w:szCs w:val="22"/>
          <w14:ligatures w14:val="none"/>
        </w:rPr>
      </w:pPr>
      <w:r w:rsidRPr="000C29C2">
        <w:rPr>
          <w:rFonts w:ascii="Calibri" w:eastAsia="ＭＳ Ｐゴシック" w:hAnsi="Calibri" w:cs="Calibri"/>
          <w:kern w:val="0"/>
          <w:sz w:val="22"/>
          <w:szCs w:val="22"/>
          <w14:ligatures w14:val="none"/>
        </w:rPr>
        <w:t xml:space="preserve">JETRO (2026). </w:t>
      </w:r>
      <w:r w:rsidRPr="000C29C2">
        <w:rPr>
          <w:rFonts w:ascii="Calibri" w:eastAsia="ＭＳ Ｐゴシック" w:hAnsi="Calibri" w:cs="Calibri"/>
          <w:i/>
          <w:iCs/>
          <w:kern w:val="0"/>
          <w:sz w:val="22"/>
          <w:szCs w:val="22"/>
          <w14:ligatures w14:val="none"/>
        </w:rPr>
        <w:t>Points-based preferential immigration treatment for highly</w:t>
      </w:r>
      <w:r w:rsidRPr="000C29C2">
        <w:rPr>
          <w:rFonts w:ascii="Calibri" w:eastAsia="ＭＳ Ｐゴシック" w:hAnsi="Calibri" w:cs="Calibri"/>
          <w:i/>
          <w:iCs/>
          <w:kern w:val="0"/>
          <w:sz w:val="22"/>
          <w:szCs w:val="22"/>
          <w14:ligatures w14:val="none"/>
        </w:rPr>
        <w:noBreakHyphen/>
        <w:t>skilled foreign professionals.</w:t>
      </w:r>
    </w:p>
    <w:p w14:paraId="07D82FCB" w14:textId="77777777" w:rsidR="004144FA" w:rsidRPr="000C29C2" w:rsidRDefault="0090481C" w:rsidP="000C29C2">
      <w:pPr>
        <w:widowControl/>
        <w:spacing w:line="360" w:lineRule="auto"/>
        <w:ind w:left="440" w:hangingChars="200" w:hanging="440"/>
        <w:rPr>
          <w:rFonts w:ascii="Calibri" w:eastAsia="ＭＳ Ｐゴシック" w:hAnsi="Calibri" w:cs="Calibri"/>
          <w:kern w:val="0"/>
          <w:sz w:val="22"/>
          <w:szCs w:val="22"/>
          <w14:ligatures w14:val="none"/>
        </w:rPr>
      </w:pPr>
      <w:r w:rsidRPr="000C29C2">
        <w:rPr>
          <w:rFonts w:ascii="Calibri" w:eastAsia="ＭＳ Ｐゴシック" w:hAnsi="Calibri" w:cs="Calibri"/>
          <w:kern w:val="0"/>
          <w:sz w:val="22"/>
          <w:szCs w:val="22"/>
          <w14:ligatures w14:val="none"/>
        </w:rPr>
        <w:t xml:space="preserve">Nonaka, K. (2014). </w:t>
      </w:r>
      <w:r w:rsidRPr="000C29C2">
        <w:rPr>
          <w:rFonts w:ascii="Calibri" w:eastAsia="ＭＳ Ｐゴシック" w:hAnsi="Calibri" w:cs="Calibri"/>
          <w:i/>
          <w:iCs/>
          <w:kern w:val="0"/>
          <w:sz w:val="22"/>
          <w:szCs w:val="22"/>
          <w14:ligatures w14:val="none"/>
        </w:rPr>
        <w:t>The significance of universities in a universalizing era.</w:t>
      </w:r>
      <w:r w:rsidRPr="000C29C2">
        <w:rPr>
          <w:rFonts w:ascii="Calibri" w:eastAsia="ＭＳ Ｐゴシック" w:hAnsi="Calibri" w:cs="Calibri"/>
          <w:kern w:val="0"/>
          <w:sz w:val="22"/>
          <w:szCs w:val="22"/>
          <w14:ligatures w14:val="none"/>
        </w:rPr>
        <w:t xml:space="preserve"> Wako University.</w:t>
      </w:r>
    </w:p>
    <w:p w14:paraId="7DB89CE7" w14:textId="1BD2FA47" w:rsidR="0090481C" w:rsidRPr="000C29C2" w:rsidRDefault="0090481C" w:rsidP="000C29C2">
      <w:pPr>
        <w:widowControl/>
        <w:spacing w:line="360" w:lineRule="auto"/>
        <w:ind w:left="440" w:hangingChars="200" w:hanging="440"/>
        <w:rPr>
          <w:rFonts w:ascii="Calibri" w:eastAsia="ＭＳ Ｐゴシック" w:hAnsi="Calibri" w:cs="Calibri"/>
          <w:kern w:val="0"/>
          <w:sz w:val="22"/>
          <w:szCs w:val="22"/>
          <w14:ligatures w14:val="none"/>
        </w:rPr>
      </w:pPr>
      <w:r w:rsidRPr="000C29C2">
        <w:rPr>
          <w:rFonts w:ascii="Calibri" w:eastAsia="ＭＳ Ｐゴシック" w:hAnsi="Calibri" w:cs="Calibri"/>
          <w:kern w:val="0"/>
          <w:sz w:val="22"/>
          <w:szCs w:val="22"/>
          <w14:ligatures w14:val="none"/>
        </w:rPr>
        <w:t xml:space="preserve">Sato, T., Mori, N., &amp; Valsiner, J. (2016). </w:t>
      </w:r>
      <w:r w:rsidRPr="000C29C2">
        <w:rPr>
          <w:rFonts w:ascii="Calibri" w:eastAsia="ＭＳ Ｐゴシック" w:hAnsi="Calibri" w:cs="Calibri"/>
          <w:i/>
          <w:iCs/>
          <w:kern w:val="0"/>
          <w:sz w:val="22"/>
          <w:szCs w:val="22"/>
          <w14:ligatures w14:val="none"/>
        </w:rPr>
        <w:t>Making of the future: The trajectory equifinality approach in cultural psychology.</w:t>
      </w:r>
      <w:r w:rsidRPr="000C29C2">
        <w:rPr>
          <w:rFonts w:ascii="Calibri" w:eastAsia="ＭＳ Ｐゴシック" w:hAnsi="Calibri" w:cs="Calibri"/>
          <w:kern w:val="0"/>
          <w:sz w:val="22"/>
          <w:szCs w:val="22"/>
          <w14:ligatures w14:val="none"/>
        </w:rPr>
        <w:t xml:space="preserve"> Information Age Publishing.</w:t>
      </w:r>
    </w:p>
    <w:p w14:paraId="2E6857C2" w14:textId="383BF43C" w:rsidR="0090481C" w:rsidRDefault="0090481C" w:rsidP="0090481C"/>
    <w:p w14:paraId="73FB8178" w14:textId="77777777" w:rsidR="0090481C" w:rsidRDefault="0090481C" w:rsidP="0090481C"/>
    <w:sectPr w:rsidR="0090481C" w:rsidSect="000C29C2">
      <w:pgSz w:w="11906" w:h="16838" w:code="9"/>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81C"/>
    <w:rsid w:val="000C29C2"/>
    <w:rsid w:val="00236C6C"/>
    <w:rsid w:val="004144FA"/>
    <w:rsid w:val="008468ED"/>
    <w:rsid w:val="0090481C"/>
    <w:rsid w:val="00AC2C23"/>
    <w:rsid w:val="00CC62AF"/>
    <w:rsid w:val="00ED1D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3DD2BC9"/>
  <w15:chartTrackingRefBased/>
  <w15:docId w15:val="{9BC475FF-A0D6-4575-8022-E87AAFE88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481C"/>
    <w:pPr>
      <w:widowControl w:val="0"/>
    </w:pPr>
  </w:style>
  <w:style w:type="paragraph" w:styleId="1">
    <w:name w:val="heading 1"/>
    <w:basedOn w:val="a"/>
    <w:next w:val="a"/>
    <w:link w:val="10"/>
    <w:uiPriority w:val="9"/>
    <w:qFormat/>
    <w:rsid w:val="0090481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0481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0481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0481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0481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0481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0481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0481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0481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0481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0481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0481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0481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0481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0481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0481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0481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0481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0481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0481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0481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0481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0481C"/>
    <w:pPr>
      <w:spacing w:before="160" w:after="160"/>
      <w:jc w:val="center"/>
    </w:pPr>
    <w:rPr>
      <w:i/>
      <w:iCs/>
      <w:color w:val="404040" w:themeColor="text1" w:themeTint="BF"/>
    </w:rPr>
  </w:style>
  <w:style w:type="character" w:customStyle="1" w:styleId="a8">
    <w:name w:val="引用文 (文字)"/>
    <w:basedOn w:val="a0"/>
    <w:link w:val="a7"/>
    <w:uiPriority w:val="29"/>
    <w:rsid w:val="0090481C"/>
    <w:rPr>
      <w:i/>
      <w:iCs/>
      <w:color w:val="404040" w:themeColor="text1" w:themeTint="BF"/>
    </w:rPr>
  </w:style>
  <w:style w:type="paragraph" w:styleId="a9">
    <w:name w:val="List Paragraph"/>
    <w:basedOn w:val="a"/>
    <w:uiPriority w:val="34"/>
    <w:qFormat/>
    <w:rsid w:val="0090481C"/>
    <w:pPr>
      <w:ind w:left="720"/>
      <w:contextualSpacing/>
    </w:pPr>
  </w:style>
  <w:style w:type="character" w:styleId="21">
    <w:name w:val="Intense Emphasis"/>
    <w:basedOn w:val="a0"/>
    <w:uiPriority w:val="21"/>
    <w:qFormat/>
    <w:rsid w:val="0090481C"/>
    <w:rPr>
      <w:i/>
      <w:iCs/>
      <w:color w:val="0F4761" w:themeColor="accent1" w:themeShade="BF"/>
    </w:rPr>
  </w:style>
  <w:style w:type="paragraph" w:styleId="22">
    <w:name w:val="Intense Quote"/>
    <w:basedOn w:val="a"/>
    <w:next w:val="a"/>
    <w:link w:val="23"/>
    <w:uiPriority w:val="30"/>
    <w:qFormat/>
    <w:rsid w:val="009048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0481C"/>
    <w:rPr>
      <w:i/>
      <w:iCs/>
      <w:color w:val="0F4761" w:themeColor="accent1" w:themeShade="BF"/>
    </w:rPr>
  </w:style>
  <w:style w:type="character" w:styleId="24">
    <w:name w:val="Intense Reference"/>
    <w:basedOn w:val="a0"/>
    <w:uiPriority w:val="32"/>
    <w:qFormat/>
    <w:rsid w:val="0090481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47BAF5-B357-4B3F-94F4-0523A74FE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752</Words>
  <Characters>4291</Characters>
  <Application>Microsoft Office Word</Application>
  <DocSecurity>0</DocSecurity>
  <Lines>35</Lines>
  <Paragraphs>10</Paragraphs>
  <ScaleCrop>false</ScaleCrop>
  <Company/>
  <LinksUpToDate>false</LinksUpToDate>
  <CharactersWithSpaces>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BANDA Kiyomi</dc:creator>
  <cp:keywords/>
  <dc:description/>
  <cp:lastModifiedBy>BANDA Kiyomi</cp:lastModifiedBy>
  <cp:revision>4</cp:revision>
  <dcterms:created xsi:type="dcterms:W3CDTF">2026-04-16T08:05:00Z</dcterms:created>
  <dcterms:modified xsi:type="dcterms:W3CDTF">2026-04-17T03:46:00Z</dcterms:modified>
</cp:coreProperties>
</file>