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0289F" w14:textId="48543E78" w:rsidR="006C7DFE" w:rsidRPr="006C7DFE" w:rsidRDefault="006C7DFE" w:rsidP="006C7DFE">
      <w:pPr>
        <w:spacing w:line="360" w:lineRule="auto"/>
        <w:rPr>
          <w:rFonts w:ascii="Calibri" w:hAnsi="Calibri" w:cs="Calibri"/>
          <w:b/>
          <w:bCs/>
        </w:rPr>
      </w:pPr>
      <w:r w:rsidRPr="006C7DFE">
        <w:rPr>
          <w:rFonts w:ascii="Calibri" w:hAnsi="Calibri" w:cs="Calibri"/>
          <w:b/>
          <w:bCs/>
        </w:rPr>
        <w:t>IAEVG Conference Proposal</w:t>
      </w:r>
    </w:p>
    <w:p w14:paraId="1433468A" w14:textId="61EC55D4" w:rsidR="006C7DFE" w:rsidRPr="006C7DFE" w:rsidRDefault="006C7DFE" w:rsidP="006C7DFE">
      <w:pPr>
        <w:spacing w:line="360" w:lineRule="auto"/>
        <w:rPr>
          <w:rFonts w:ascii="Calibri" w:hAnsi="Calibri" w:cs="Calibri"/>
        </w:rPr>
      </w:pPr>
      <w:r w:rsidRPr="006C7DFE">
        <w:rPr>
          <w:rFonts w:ascii="Calibri" w:hAnsi="Calibri" w:cs="Calibri"/>
        </w:rPr>
        <w:t xml:space="preserve">Munro, Deborah </w:t>
      </w:r>
    </w:p>
    <w:p w14:paraId="0E25C978" w14:textId="1FD84720" w:rsidR="006C7DFE" w:rsidRPr="006C7DFE" w:rsidRDefault="006C7DFE" w:rsidP="006C7DFE">
      <w:pPr>
        <w:spacing w:line="360" w:lineRule="auto"/>
        <w:rPr>
          <w:rFonts w:ascii="Calibri" w:hAnsi="Calibri" w:cs="Calibri"/>
        </w:rPr>
      </w:pPr>
      <w:r w:rsidRPr="006C7DFE">
        <w:rPr>
          <w:rFonts w:ascii="Calibri" w:hAnsi="Calibri" w:cs="Calibri"/>
        </w:rPr>
        <w:t>Senior Lecturer</w:t>
      </w:r>
    </w:p>
    <w:p w14:paraId="30F08891" w14:textId="50F61A5F" w:rsidR="006C7DFE" w:rsidRPr="006C7DFE" w:rsidRDefault="006C7DFE" w:rsidP="006C7DFE">
      <w:pPr>
        <w:spacing w:line="360" w:lineRule="auto"/>
        <w:rPr>
          <w:rFonts w:ascii="Calibri" w:hAnsi="Calibri" w:cs="Calibri"/>
        </w:rPr>
      </w:pPr>
      <w:r w:rsidRPr="006C7DFE">
        <w:rPr>
          <w:rFonts w:ascii="Calibri" w:hAnsi="Calibri" w:cs="Calibri"/>
        </w:rPr>
        <w:t>MunroD2@qut.edu.au</w:t>
      </w:r>
    </w:p>
    <w:p w14:paraId="5AAEAFF2" w14:textId="77777777" w:rsidR="006C7DFE" w:rsidRPr="006C7DFE" w:rsidRDefault="006C7DFE" w:rsidP="006C7DFE">
      <w:pPr>
        <w:spacing w:line="360" w:lineRule="auto"/>
        <w:rPr>
          <w:rFonts w:ascii="Calibri" w:hAnsi="Calibri" w:cs="Calibri"/>
        </w:rPr>
      </w:pPr>
      <w:r w:rsidRPr="006C7DFE">
        <w:rPr>
          <w:rFonts w:ascii="Calibri" w:hAnsi="Calibri" w:cs="Calibri"/>
        </w:rPr>
        <w:t>Queensland University of Technology</w:t>
      </w:r>
    </w:p>
    <w:p w14:paraId="7AA0CF52" w14:textId="2CB56ABA" w:rsidR="006C7DFE" w:rsidRPr="006C7DFE" w:rsidRDefault="006C7DFE" w:rsidP="006C7DFE">
      <w:pPr>
        <w:spacing w:line="360" w:lineRule="auto"/>
        <w:rPr>
          <w:rFonts w:ascii="Calibri" w:hAnsi="Calibri" w:cs="Calibri"/>
        </w:rPr>
      </w:pPr>
      <w:r w:rsidRPr="006C7DFE">
        <w:rPr>
          <w:rFonts w:ascii="Calibri" w:hAnsi="Calibri" w:cs="Calibri"/>
        </w:rPr>
        <w:t>Munro, Deborah, QUT, Senior Lecturer</w:t>
      </w:r>
    </w:p>
    <w:p w14:paraId="20D9E1CE" w14:textId="77777777" w:rsidR="006C7DFE" w:rsidRDefault="006C7DFE" w:rsidP="006C7DFE">
      <w:pPr>
        <w:spacing w:line="360" w:lineRule="auto"/>
        <w:rPr>
          <w:rFonts w:ascii="Calibri" w:hAnsi="Calibri" w:cs="Calibri"/>
          <w:b/>
          <w:bCs/>
        </w:rPr>
      </w:pPr>
    </w:p>
    <w:p w14:paraId="6E9061C4" w14:textId="3410F3CD" w:rsidR="006C7DFE" w:rsidRDefault="00D765EF" w:rsidP="00714B1F">
      <w:pPr>
        <w:spacing w:line="360" w:lineRule="auto"/>
        <w:rPr>
          <w:rFonts w:ascii="Calibri" w:hAnsi="Calibri" w:cs="Calibri"/>
          <w:b/>
          <w:bCs/>
        </w:rPr>
      </w:pPr>
      <w:r>
        <w:rPr>
          <w:rFonts w:ascii="Calibri" w:hAnsi="Calibri" w:cs="Calibri"/>
          <w:b/>
          <w:bCs/>
        </w:rPr>
        <w:t xml:space="preserve">Workshop </w:t>
      </w:r>
    </w:p>
    <w:p w14:paraId="59AFB8DD" w14:textId="77777777" w:rsidR="009C2BC9" w:rsidRDefault="00714B1F" w:rsidP="00714B1F">
      <w:pPr>
        <w:spacing w:line="360" w:lineRule="auto"/>
        <w:rPr>
          <w:rFonts w:ascii="Calibri" w:hAnsi="Calibri" w:cs="Calibri"/>
          <w:i/>
          <w:iCs/>
        </w:rPr>
      </w:pPr>
      <w:r w:rsidRPr="00714B1F">
        <w:rPr>
          <w:rFonts w:ascii="Calibri" w:hAnsi="Calibri" w:cs="Calibri"/>
          <w:b/>
          <w:bCs/>
        </w:rPr>
        <w:t>Title:</w:t>
      </w:r>
      <w:r w:rsidRPr="00714B1F">
        <w:rPr>
          <w:rFonts w:ascii="Calibri" w:hAnsi="Calibri" w:cs="Calibri"/>
        </w:rPr>
        <w:t xml:space="preserve"> </w:t>
      </w:r>
      <w:r w:rsidR="009C2BC9" w:rsidRPr="009C2BC9">
        <w:rPr>
          <w:rFonts w:ascii="Calibri" w:hAnsi="Calibri" w:cs="Calibri"/>
          <w:i/>
          <w:iCs/>
        </w:rPr>
        <w:t>Putting the Cards on the Table: A Practical Tool for Complex Life and Career Decisions</w:t>
      </w:r>
    </w:p>
    <w:p w14:paraId="1E3C04AD" w14:textId="788D241F" w:rsidR="00714B1F" w:rsidRPr="00D765EF" w:rsidRDefault="006C7DFE" w:rsidP="00714B1F">
      <w:pPr>
        <w:spacing w:line="360" w:lineRule="auto"/>
        <w:rPr>
          <w:rFonts w:ascii="Calibri" w:hAnsi="Calibri" w:cs="Calibri"/>
        </w:rPr>
      </w:pPr>
      <w:r>
        <w:rPr>
          <w:rFonts w:ascii="Calibri" w:hAnsi="Calibri" w:cs="Calibri"/>
          <w:b/>
          <w:bCs/>
        </w:rPr>
        <w:t xml:space="preserve">Theme: </w:t>
      </w:r>
      <w:r w:rsidR="00D765EF" w:rsidRPr="00D765EF">
        <w:rPr>
          <w:rFonts w:ascii="Calibri" w:hAnsi="Calibri" w:cs="Calibri"/>
        </w:rPr>
        <w:t>Best Practice — Tupuānuku</w:t>
      </w:r>
    </w:p>
    <w:p w14:paraId="628CE5FF" w14:textId="4B5FC29A" w:rsidR="006C7DFE" w:rsidRDefault="006C7DFE" w:rsidP="00714B1F">
      <w:pPr>
        <w:spacing w:line="360" w:lineRule="auto"/>
        <w:rPr>
          <w:rFonts w:ascii="Calibri" w:hAnsi="Calibri" w:cs="Calibri"/>
        </w:rPr>
      </w:pPr>
      <w:r>
        <w:rPr>
          <w:rFonts w:ascii="Calibri" w:hAnsi="Calibri" w:cs="Calibri"/>
          <w:b/>
          <w:bCs/>
        </w:rPr>
        <w:t>Presentation Language:</w:t>
      </w:r>
      <w:r w:rsidRPr="006C7DFE">
        <w:rPr>
          <w:rFonts w:ascii="Calibri" w:hAnsi="Calibri" w:cs="Calibri"/>
        </w:rPr>
        <w:t xml:space="preserve"> English</w:t>
      </w:r>
    </w:p>
    <w:p w14:paraId="6D1121B2" w14:textId="77777777" w:rsidR="00813DDB" w:rsidRPr="00813DDB" w:rsidRDefault="00813DDB" w:rsidP="00714B1F">
      <w:pPr>
        <w:spacing w:line="360" w:lineRule="auto"/>
        <w:rPr>
          <w:rFonts w:ascii="Calibri" w:hAnsi="Calibri" w:cs="Calibri"/>
        </w:rPr>
      </w:pPr>
    </w:p>
    <w:p w14:paraId="0D48A526" w14:textId="36357789" w:rsidR="00714B1F" w:rsidRDefault="006C7DFE" w:rsidP="00714B1F">
      <w:pPr>
        <w:spacing w:line="360" w:lineRule="auto"/>
        <w:rPr>
          <w:rFonts w:ascii="Calibri" w:hAnsi="Calibri" w:cs="Calibri"/>
          <w:b/>
          <w:bCs/>
        </w:rPr>
      </w:pPr>
      <w:r w:rsidRPr="006C7DFE">
        <w:rPr>
          <w:rFonts w:ascii="Calibri" w:hAnsi="Calibri" w:cs="Calibri"/>
          <w:b/>
          <w:bCs/>
        </w:rPr>
        <w:t>Abstract</w:t>
      </w:r>
    </w:p>
    <w:p w14:paraId="392FE47F" w14:textId="6A2EB26C" w:rsidR="006C7DFE" w:rsidRPr="006C7DFE" w:rsidRDefault="006C7DFE" w:rsidP="00714B1F">
      <w:pPr>
        <w:spacing w:line="360" w:lineRule="auto"/>
        <w:rPr>
          <w:rFonts w:ascii="Calibri" w:hAnsi="Calibri" w:cs="Calibri"/>
        </w:rPr>
      </w:pPr>
      <w:r w:rsidRPr="00714B1F">
        <w:rPr>
          <w:rFonts w:ascii="Calibri" w:hAnsi="Calibri" w:cs="Calibri"/>
          <w:b/>
          <w:bCs/>
        </w:rPr>
        <w:t>Keywords:</w:t>
      </w:r>
      <w:r w:rsidRPr="00714B1F">
        <w:rPr>
          <w:rFonts w:ascii="Calibri" w:hAnsi="Calibri" w:cs="Calibri"/>
        </w:rPr>
        <w:t xml:space="preserve"> </w:t>
      </w:r>
      <w:r w:rsidR="008959EE">
        <w:rPr>
          <w:rFonts w:ascii="Calibri" w:hAnsi="Calibri" w:cs="Calibri"/>
        </w:rPr>
        <w:t>R</w:t>
      </w:r>
      <w:r w:rsidR="008959EE" w:rsidRPr="008959EE">
        <w:rPr>
          <w:rFonts w:ascii="Calibri" w:hAnsi="Calibri" w:cs="Calibri"/>
        </w:rPr>
        <w:t>eflexivity, mental activities, caring responsibilities, higher education decision-making, career counselling</w:t>
      </w:r>
    </w:p>
    <w:p w14:paraId="373AC055" w14:textId="77F1AB61" w:rsidR="00714B1F" w:rsidRPr="00714B1F" w:rsidRDefault="00714B1F" w:rsidP="00714B1F">
      <w:pPr>
        <w:spacing w:line="360" w:lineRule="auto"/>
        <w:rPr>
          <w:rFonts w:ascii="Calibri" w:hAnsi="Calibri" w:cs="Calibri"/>
        </w:rPr>
      </w:pPr>
      <w:r w:rsidRPr="00714B1F">
        <w:rPr>
          <w:rFonts w:ascii="Calibri" w:hAnsi="Calibri" w:cs="Calibri"/>
          <w:b/>
          <w:bCs/>
        </w:rPr>
        <w:t>Introduction</w:t>
      </w:r>
    </w:p>
    <w:p w14:paraId="056CB71D" w14:textId="78D48D22" w:rsidR="00544039" w:rsidRDefault="00DA4A78" w:rsidP="00714B1F">
      <w:pPr>
        <w:spacing w:line="360" w:lineRule="auto"/>
        <w:rPr>
          <w:rFonts w:ascii="Calibri" w:hAnsi="Calibri" w:cs="Calibri"/>
        </w:rPr>
      </w:pPr>
      <w:r w:rsidRPr="00DA4A78">
        <w:rPr>
          <w:rFonts w:ascii="Calibri" w:hAnsi="Calibri" w:cs="Calibri"/>
        </w:rPr>
        <w:t xml:space="preserve">Career practitioners regularly work with clients navigating complex life and career decisions under conditions of uncertainty, competing demands, and fragmented thinking time. Yet the internal deliberative processes that drive — or stall — those decisions often remain invisible to both client and practitioner. This workshop introduces the Mental Activities Card Sort (MACS), a freely available, theoretically grounded digital tool designed to make those internal processes visible and actionable in career counselling conversations. By putting the cards on the table, practitioners can transform what feels like chaotic, overwhelming deliberation into structured, productive reflection. The MACS emerged from practice-embedded research with women with unpaid caring responsibilities </w:t>
      </w:r>
      <w:r w:rsidR="00813DDB">
        <w:rPr>
          <w:rFonts w:ascii="Calibri" w:hAnsi="Calibri" w:cs="Calibri"/>
        </w:rPr>
        <w:t>-</w:t>
      </w:r>
      <w:r w:rsidRPr="00DA4A78">
        <w:rPr>
          <w:rFonts w:ascii="Calibri" w:hAnsi="Calibri" w:cs="Calibri"/>
        </w:rPr>
        <w:t xml:space="preserve"> a population for whom decision-making complexity is particularly acute </w:t>
      </w:r>
      <w:r w:rsidR="00813DDB">
        <w:rPr>
          <w:rFonts w:ascii="Calibri" w:hAnsi="Calibri" w:cs="Calibri"/>
        </w:rPr>
        <w:t>-</w:t>
      </w:r>
      <w:r w:rsidRPr="00DA4A78">
        <w:rPr>
          <w:rFonts w:ascii="Calibri" w:hAnsi="Calibri" w:cs="Calibri"/>
        </w:rPr>
        <w:t xml:space="preserve"> but its application extends to any client facing significant life or career decisions involving competing priorities and uncertainty.</w:t>
      </w:r>
    </w:p>
    <w:p w14:paraId="15039122" w14:textId="77777777" w:rsidR="00DA4A78" w:rsidRDefault="00DA4A78" w:rsidP="00714B1F">
      <w:pPr>
        <w:spacing w:line="360" w:lineRule="auto"/>
        <w:rPr>
          <w:rFonts w:ascii="Calibri" w:hAnsi="Calibri" w:cs="Calibri"/>
        </w:rPr>
      </w:pPr>
    </w:p>
    <w:p w14:paraId="653D7315" w14:textId="77777777" w:rsidR="00DA4A78" w:rsidRDefault="00DA4A78" w:rsidP="00714B1F">
      <w:pPr>
        <w:spacing w:line="360" w:lineRule="auto"/>
        <w:rPr>
          <w:rFonts w:ascii="Calibri" w:hAnsi="Calibri" w:cs="Calibri"/>
          <w:b/>
          <w:bCs/>
        </w:rPr>
      </w:pPr>
    </w:p>
    <w:p w14:paraId="3E1CB10F" w14:textId="19AC635D" w:rsidR="00714B1F" w:rsidRPr="00714B1F" w:rsidRDefault="00714B1F" w:rsidP="00714B1F">
      <w:pPr>
        <w:spacing w:line="360" w:lineRule="auto"/>
        <w:rPr>
          <w:rFonts w:ascii="Calibri" w:hAnsi="Calibri" w:cs="Calibri"/>
        </w:rPr>
      </w:pPr>
      <w:r w:rsidRPr="00714B1F">
        <w:rPr>
          <w:rFonts w:ascii="Calibri" w:hAnsi="Calibri" w:cs="Calibri"/>
          <w:b/>
          <w:bCs/>
        </w:rPr>
        <w:lastRenderedPageBreak/>
        <w:t>Objectives</w:t>
      </w:r>
    </w:p>
    <w:p w14:paraId="37406589" w14:textId="77777777" w:rsidR="008959EE" w:rsidRDefault="008959EE" w:rsidP="00714B1F">
      <w:pPr>
        <w:spacing w:line="360" w:lineRule="auto"/>
        <w:rPr>
          <w:rFonts w:ascii="Calibri" w:hAnsi="Calibri" w:cs="Calibri"/>
        </w:rPr>
      </w:pPr>
      <w:r w:rsidRPr="008959EE">
        <w:rPr>
          <w:rFonts w:ascii="Calibri" w:hAnsi="Calibri" w:cs="Calibri"/>
        </w:rPr>
        <w:t xml:space="preserve">This workshop aims to: </w:t>
      </w:r>
    </w:p>
    <w:p w14:paraId="433B48F0" w14:textId="77777777" w:rsidR="00813DDB" w:rsidRDefault="00813DDB" w:rsidP="00714B1F">
      <w:pPr>
        <w:spacing w:line="360" w:lineRule="auto"/>
        <w:rPr>
          <w:rFonts w:ascii="Calibri" w:hAnsi="Calibri" w:cs="Calibri"/>
        </w:rPr>
      </w:pPr>
      <w:r w:rsidRPr="00813DDB">
        <w:rPr>
          <w:rFonts w:ascii="Calibri" w:hAnsi="Calibri" w:cs="Calibri"/>
        </w:rPr>
        <w:t xml:space="preserve">This workshop aims to: </w:t>
      </w:r>
    </w:p>
    <w:p w14:paraId="01918710" w14:textId="77777777" w:rsidR="00813DDB" w:rsidRDefault="00813DDB" w:rsidP="00714B1F">
      <w:pPr>
        <w:spacing w:line="360" w:lineRule="auto"/>
        <w:rPr>
          <w:rFonts w:ascii="Calibri" w:hAnsi="Calibri" w:cs="Calibri"/>
        </w:rPr>
      </w:pPr>
      <w:r w:rsidRPr="00813DDB">
        <w:rPr>
          <w:rFonts w:ascii="Calibri" w:hAnsi="Calibri" w:cs="Calibri"/>
        </w:rPr>
        <w:t xml:space="preserve">(1) provide participants with hands-on experience of the MACS and support critical evaluation of its application across diverse practice contexts; </w:t>
      </w:r>
    </w:p>
    <w:p w14:paraId="119703CD" w14:textId="77777777" w:rsidR="00813DDB" w:rsidRDefault="00813DDB" w:rsidP="00714B1F">
      <w:pPr>
        <w:spacing w:line="360" w:lineRule="auto"/>
        <w:rPr>
          <w:rFonts w:ascii="Calibri" w:hAnsi="Calibri" w:cs="Calibri"/>
        </w:rPr>
      </w:pPr>
      <w:r w:rsidRPr="00813DDB">
        <w:rPr>
          <w:rFonts w:ascii="Calibri" w:hAnsi="Calibri" w:cs="Calibri"/>
        </w:rPr>
        <w:t xml:space="preserve">(2) introduce Archer's (2003, 2007) theory of reflexivity as the theoretical foundation underpinning the tool; </w:t>
      </w:r>
    </w:p>
    <w:p w14:paraId="775F01E7" w14:textId="77777777" w:rsidR="00813DDB" w:rsidRDefault="00813DDB" w:rsidP="00714B1F">
      <w:pPr>
        <w:spacing w:line="360" w:lineRule="auto"/>
        <w:rPr>
          <w:rFonts w:ascii="Calibri" w:hAnsi="Calibri" w:cs="Calibri"/>
        </w:rPr>
      </w:pPr>
      <w:r w:rsidRPr="00813DDB">
        <w:rPr>
          <w:rFonts w:ascii="Calibri" w:hAnsi="Calibri" w:cs="Calibri"/>
        </w:rPr>
        <w:t xml:space="preserve">(3) present findings from qualitative research demonstrating the tool's impact on client self-awareness, empowerment, and decision-making; and </w:t>
      </w:r>
    </w:p>
    <w:p w14:paraId="255831C7" w14:textId="77777777" w:rsidR="00813DDB" w:rsidRDefault="00813DDB" w:rsidP="00714B1F">
      <w:pPr>
        <w:spacing w:line="360" w:lineRule="auto"/>
        <w:rPr>
          <w:rFonts w:ascii="Calibri" w:hAnsi="Calibri" w:cs="Calibri"/>
        </w:rPr>
      </w:pPr>
      <w:r w:rsidRPr="00813DDB">
        <w:rPr>
          <w:rFonts w:ascii="Calibri" w:hAnsi="Calibri" w:cs="Calibri"/>
        </w:rPr>
        <w:t>(4) equip practitioners to apply the MACS immediately with a broad range of clients.</w:t>
      </w:r>
    </w:p>
    <w:p w14:paraId="2C89F892" w14:textId="12D8E1B9" w:rsidR="00714B1F" w:rsidRPr="00714B1F" w:rsidRDefault="00714B1F" w:rsidP="00714B1F">
      <w:pPr>
        <w:spacing w:line="360" w:lineRule="auto"/>
        <w:rPr>
          <w:rFonts w:ascii="Calibri" w:hAnsi="Calibri" w:cs="Calibri"/>
        </w:rPr>
      </w:pPr>
      <w:r w:rsidRPr="00714B1F">
        <w:rPr>
          <w:rFonts w:ascii="Calibri" w:hAnsi="Calibri" w:cs="Calibri"/>
          <w:b/>
          <w:bCs/>
        </w:rPr>
        <w:t>Theoretical Basis</w:t>
      </w:r>
    </w:p>
    <w:p w14:paraId="4746BC2A" w14:textId="574E9B6B" w:rsidR="008959EE" w:rsidRDefault="008959EE" w:rsidP="00714B1F">
      <w:pPr>
        <w:spacing w:line="360" w:lineRule="auto"/>
        <w:rPr>
          <w:rFonts w:ascii="Calibri" w:hAnsi="Calibri" w:cs="Calibri"/>
          <w:b/>
          <w:bCs/>
        </w:rPr>
      </w:pPr>
      <w:r w:rsidRPr="008959EE">
        <w:rPr>
          <w:rFonts w:ascii="Calibri" w:hAnsi="Calibri" w:cs="Calibri"/>
        </w:rPr>
        <w:t xml:space="preserve">Archer's (2003, 2007) theory of reflexivity positions internal conversations as the mechanism through which people navigate their social contexts and arrive at decisions. Reflexivity involves three phases: discerning what matters, deliberating through mental activities, and dedicating to a course of action. For unpaid carers, the deliberation phase is particularly complex. Research shows carers engage in a broad array of mental activities </w:t>
      </w:r>
      <w:r w:rsidR="00813DDB">
        <w:rPr>
          <w:rFonts w:ascii="Calibri" w:hAnsi="Calibri" w:cs="Calibri"/>
        </w:rPr>
        <w:t>-</w:t>
      </w:r>
      <w:r w:rsidRPr="008959EE">
        <w:rPr>
          <w:rFonts w:ascii="Calibri" w:hAnsi="Calibri" w:cs="Calibri"/>
        </w:rPr>
        <w:t xml:space="preserve"> including planning, imagining, prioritising, re-living, and worrying </w:t>
      </w:r>
      <w:r>
        <w:rPr>
          <w:rFonts w:ascii="Calibri" w:hAnsi="Calibri" w:cs="Calibri"/>
        </w:rPr>
        <w:t>-</w:t>
      </w:r>
      <w:r w:rsidRPr="008959EE">
        <w:rPr>
          <w:rFonts w:ascii="Calibri" w:hAnsi="Calibri" w:cs="Calibri"/>
        </w:rPr>
        <w:t xml:space="preserve"> yet are frequently unaware of this complexity, leaving them feeling stuck or overwhelmed.</w:t>
      </w:r>
      <w:r w:rsidRPr="008959EE">
        <w:rPr>
          <w:rFonts w:ascii="Calibri" w:hAnsi="Calibri" w:cs="Calibri"/>
          <w:b/>
          <w:bCs/>
        </w:rPr>
        <w:t xml:space="preserve"> </w:t>
      </w:r>
    </w:p>
    <w:p w14:paraId="76788596" w14:textId="14276B29" w:rsidR="00714B1F" w:rsidRPr="00714B1F" w:rsidRDefault="00714B1F" w:rsidP="00714B1F">
      <w:pPr>
        <w:spacing w:line="360" w:lineRule="auto"/>
        <w:rPr>
          <w:rFonts w:ascii="Calibri" w:hAnsi="Calibri" w:cs="Calibri"/>
        </w:rPr>
      </w:pPr>
      <w:r w:rsidRPr="00714B1F">
        <w:rPr>
          <w:rFonts w:ascii="Calibri" w:hAnsi="Calibri" w:cs="Calibri"/>
          <w:b/>
          <w:bCs/>
        </w:rPr>
        <w:t>Methodology</w:t>
      </w:r>
    </w:p>
    <w:p w14:paraId="7F5FCC20" w14:textId="041CE741" w:rsidR="008959EE" w:rsidRDefault="008959EE" w:rsidP="00714B1F">
      <w:pPr>
        <w:spacing w:line="360" w:lineRule="auto"/>
        <w:rPr>
          <w:rFonts w:ascii="Calibri" w:hAnsi="Calibri" w:cs="Calibri"/>
          <w:b/>
          <w:bCs/>
        </w:rPr>
      </w:pPr>
      <w:r w:rsidRPr="008959EE">
        <w:rPr>
          <w:rFonts w:ascii="Calibri" w:hAnsi="Calibri" w:cs="Calibri"/>
        </w:rPr>
        <w:t xml:space="preserve">Findings are drawn from a qualitative study involving 15 unpaid female carers considering HE study. Data were collected through three semi-structured narrative interviews per participant, reflective journal writing, concept mapping, and the MACS </w:t>
      </w:r>
      <w:r>
        <w:rPr>
          <w:rFonts w:ascii="Calibri" w:hAnsi="Calibri" w:cs="Calibri"/>
        </w:rPr>
        <w:t>-</w:t>
      </w:r>
      <w:r w:rsidRPr="008959EE">
        <w:rPr>
          <w:rFonts w:ascii="Calibri" w:hAnsi="Calibri" w:cs="Calibri"/>
        </w:rPr>
        <w:t xml:space="preserve"> a card sort activity grounded in the mental activities identified in Archer's (2003) research and extended through participant input. The study was designed to support reflexive decision-making while simultaneously generating data about it.</w:t>
      </w:r>
      <w:r w:rsidRPr="008959EE">
        <w:rPr>
          <w:rFonts w:ascii="Calibri" w:hAnsi="Calibri" w:cs="Calibri"/>
          <w:b/>
          <w:bCs/>
        </w:rPr>
        <w:t xml:space="preserve"> </w:t>
      </w:r>
    </w:p>
    <w:p w14:paraId="730F9365" w14:textId="2065E06F" w:rsidR="00714B1F" w:rsidRPr="00714B1F" w:rsidRDefault="00714B1F" w:rsidP="00714B1F">
      <w:pPr>
        <w:spacing w:line="360" w:lineRule="auto"/>
        <w:rPr>
          <w:rFonts w:ascii="Calibri" w:hAnsi="Calibri" w:cs="Calibri"/>
        </w:rPr>
      </w:pPr>
      <w:r w:rsidRPr="00714B1F">
        <w:rPr>
          <w:rFonts w:ascii="Calibri" w:hAnsi="Calibri" w:cs="Calibri"/>
          <w:b/>
          <w:bCs/>
        </w:rPr>
        <w:t>Results</w:t>
      </w:r>
    </w:p>
    <w:p w14:paraId="04DF6263" w14:textId="001C467C" w:rsidR="00544039" w:rsidRDefault="008959EE" w:rsidP="00714B1F">
      <w:pPr>
        <w:spacing w:line="360" w:lineRule="auto"/>
        <w:rPr>
          <w:rFonts w:ascii="Calibri" w:hAnsi="Calibri" w:cs="Calibri"/>
          <w:b/>
          <w:bCs/>
        </w:rPr>
      </w:pPr>
      <w:r w:rsidRPr="008959EE">
        <w:rPr>
          <w:rFonts w:ascii="Calibri" w:hAnsi="Calibri" w:cs="Calibri"/>
        </w:rPr>
        <w:t>Carers engaged in a rich and diverse range of mental activities, many productive but previously unrecognised. When the MACS made these activities visible, participants reported increased self-awareness, reduced isolation, enhanced capacity to distinguish productive from unproductive thought patterns, and greater empowerment in their decision-making. Supported career conversations emerged as a significant enabler for carers whose thinking time is typically fragmented and unsupported (Munro et al., 2024</w:t>
      </w:r>
      <w:r w:rsidR="00813DDB">
        <w:rPr>
          <w:rFonts w:ascii="Calibri" w:hAnsi="Calibri" w:cs="Calibri"/>
        </w:rPr>
        <w:t>, 20206</w:t>
      </w:r>
      <w:r w:rsidRPr="008959EE">
        <w:rPr>
          <w:rFonts w:ascii="Calibri" w:hAnsi="Calibri" w:cs="Calibri"/>
        </w:rPr>
        <w:t>).</w:t>
      </w:r>
      <w:r w:rsidRPr="008959EE">
        <w:rPr>
          <w:rFonts w:ascii="Calibri" w:hAnsi="Calibri" w:cs="Calibri"/>
          <w:b/>
          <w:bCs/>
        </w:rPr>
        <w:t xml:space="preserve"> </w:t>
      </w:r>
    </w:p>
    <w:p w14:paraId="21F06D80" w14:textId="36B97C39" w:rsidR="00714B1F" w:rsidRPr="00714B1F" w:rsidRDefault="00714B1F" w:rsidP="00714B1F">
      <w:pPr>
        <w:spacing w:line="360" w:lineRule="auto"/>
        <w:rPr>
          <w:rFonts w:ascii="Calibri" w:hAnsi="Calibri" w:cs="Calibri"/>
        </w:rPr>
      </w:pPr>
      <w:r w:rsidRPr="00714B1F">
        <w:rPr>
          <w:rFonts w:ascii="Calibri" w:hAnsi="Calibri" w:cs="Calibri"/>
          <w:b/>
          <w:bCs/>
        </w:rPr>
        <w:t>Conclusions</w:t>
      </w:r>
    </w:p>
    <w:p w14:paraId="26BE454F" w14:textId="77777777" w:rsidR="008959EE" w:rsidRDefault="008959EE" w:rsidP="008959EE">
      <w:pPr>
        <w:spacing w:line="360" w:lineRule="auto"/>
        <w:rPr>
          <w:rFonts w:ascii="Calibri" w:hAnsi="Calibri" w:cs="Calibri"/>
        </w:rPr>
      </w:pPr>
      <w:r w:rsidRPr="008959EE">
        <w:rPr>
          <w:rFonts w:ascii="Calibri" w:hAnsi="Calibri" w:cs="Calibri"/>
        </w:rPr>
        <w:t>The MACS is a theoretically grounded, freely available digital tool that career practitioners can use to support clients navigating complex decisions. By making the invisible visible, it transforms chaotic internal conversations into structured, productive reflection. In doing so, it offers a pathway for cultivating excellence in career practice with an underserved population, grounded in evidence and immediately accessible to practitioners at any level.</w:t>
      </w:r>
      <w:r w:rsidRPr="008959EE">
        <w:rPr>
          <w:rFonts w:ascii="Calibri" w:hAnsi="Calibri" w:cs="Calibri"/>
        </w:rPr>
        <w:t xml:space="preserve"> </w:t>
      </w:r>
    </w:p>
    <w:p w14:paraId="1488764F" w14:textId="77777777" w:rsidR="008959EE" w:rsidRPr="008959EE" w:rsidRDefault="008959EE" w:rsidP="008959EE">
      <w:pPr>
        <w:spacing w:line="360" w:lineRule="auto"/>
        <w:rPr>
          <w:rFonts w:ascii="Calibri" w:hAnsi="Calibri" w:cs="Calibri"/>
        </w:rPr>
      </w:pPr>
      <w:r w:rsidRPr="008959EE">
        <w:rPr>
          <w:rFonts w:ascii="Calibri" w:hAnsi="Calibri" w:cs="Calibri"/>
          <w:b/>
          <w:bCs/>
        </w:rPr>
        <w:t>Content, Target Audience, and Format</w:t>
      </w:r>
    </w:p>
    <w:p w14:paraId="3375DB03" w14:textId="11F043AC" w:rsidR="00813DDB" w:rsidRPr="008959EE" w:rsidRDefault="00813DDB" w:rsidP="008959EE">
      <w:pPr>
        <w:spacing w:line="360" w:lineRule="auto"/>
        <w:rPr>
          <w:rFonts w:ascii="Calibri" w:hAnsi="Calibri" w:cs="Calibri"/>
        </w:rPr>
      </w:pPr>
      <w:r w:rsidRPr="00813DDB">
        <w:rPr>
          <w:rFonts w:ascii="Calibri" w:hAnsi="Calibri" w:cs="Calibri"/>
        </w:rPr>
        <w:t xml:space="preserve">This 60-minute interactive workshop is designed for career development practitioners, counsellors, and educators across all practice settings </w:t>
      </w:r>
      <w:r w:rsidR="00FA7FF0">
        <w:rPr>
          <w:rFonts w:ascii="Calibri" w:hAnsi="Calibri" w:cs="Calibri"/>
        </w:rPr>
        <w:t>-</w:t>
      </w:r>
      <w:r w:rsidRPr="00813DDB">
        <w:rPr>
          <w:rFonts w:ascii="Calibri" w:hAnsi="Calibri" w:cs="Calibri"/>
        </w:rPr>
        <w:t xml:space="preserve"> including those working with adult learners, career changers, and clients navigating significant life transitions. It is particularly relevant for practitioners seeking to grow and refine their repertoire of theoretically grounded, evidence-based tools, including those working with clients with caring responsibilities. Drawing directly from the original research design, participants will experience the MACS firsthand through structured activities, reflect on its application to their own practice contexts, and engage with the tool digitally. The session combines </w:t>
      </w:r>
      <w:r w:rsidR="00FA7FF0">
        <w:rPr>
          <w:rFonts w:ascii="Calibri" w:hAnsi="Calibri" w:cs="Calibri"/>
        </w:rPr>
        <w:t xml:space="preserve">a </w:t>
      </w:r>
      <w:r w:rsidRPr="00813DDB">
        <w:rPr>
          <w:rFonts w:ascii="Calibri" w:hAnsi="Calibri" w:cs="Calibri"/>
        </w:rPr>
        <w:t>brief presentation of the theoretical framework and research findings with experiential activities and facilitated discussion.</w:t>
      </w:r>
    </w:p>
    <w:p w14:paraId="73A4DEAF" w14:textId="77777777" w:rsidR="007D71BB" w:rsidRDefault="007D71BB" w:rsidP="00714B1F">
      <w:pPr>
        <w:rPr>
          <w:b/>
          <w:bCs/>
        </w:rPr>
      </w:pPr>
    </w:p>
    <w:p w14:paraId="2BD8AA12" w14:textId="62DA8172" w:rsidR="00714B1F" w:rsidRPr="00714B1F" w:rsidRDefault="00714B1F" w:rsidP="00714B1F">
      <w:r w:rsidRPr="00714B1F">
        <w:rPr>
          <w:b/>
          <w:bCs/>
        </w:rPr>
        <w:t>References</w:t>
      </w:r>
    </w:p>
    <w:p w14:paraId="7CF952E4" w14:textId="2D047C1F" w:rsidR="008959EE" w:rsidRPr="008959EE" w:rsidRDefault="008959EE" w:rsidP="008959EE">
      <w:r w:rsidRPr="008959EE">
        <w:t xml:space="preserve">Archer, M. S. (2003). </w:t>
      </w:r>
      <w:r w:rsidRPr="008959EE">
        <w:rPr>
          <w:i/>
          <w:iCs/>
        </w:rPr>
        <w:t>Structure, agency, and the internal conversation</w:t>
      </w:r>
      <w:r w:rsidRPr="008959EE">
        <w:t xml:space="preserve">. Cambridge University </w:t>
      </w:r>
      <w:r>
        <w:t xml:space="preserve">  </w:t>
      </w:r>
      <w:r>
        <w:br/>
        <w:t xml:space="preserve">  </w:t>
      </w:r>
      <w:r w:rsidRPr="008959EE">
        <w:t>Press.</w:t>
      </w:r>
    </w:p>
    <w:p w14:paraId="03EDF51C" w14:textId="5E074908" w:rsidR="008959EE" w:rsidRPr="008959EE" w:rsidRDefault="008959EE" w:rsidP="008959EE">
      <w:r w:rsidRPr="008959EE">
        <w:t xml:space="preserve">Archer, M. S. (2007). </w:t>
      </w:r>
      <w:r w:rsidRPr="008959EE">
        <w:rPr>
          <w:i/>
          <w:iCs/>
        </w:rPr>
        <w:t>Making our way through the world: Human reflexivity and social mobility</w:t>
      </w:r>
      <w:r w:rsidRPr="008959EE">
        <w:t xml:space="preserve">. </w:t>
      </w:r>
      <w:r>
        <w:t xml:space="preserve">  </w:t>
      </w:r>
      <w:r>
        <w:br/>
        <w:t xml:space="preserve">  </w:t>
      </w:r>
      <w:r w:rsidRPr="008959EE">
        <w:t>Cambridge University Press.</w:t>
      </w:r>
    </w:p>
    <w:p w14:paraId="5E4F311B" w14:textId="6850405B" w:rsidR="008959EE" w:rsidRDefault="008959EE" w:rsidP="008959EE">
      <w:r w:rsidRPr="008959EE">
        <w:t xml:space="preserve">Munro, D., Willis, J., Gibson, A., &amp; Laundon, M. </w:t>
      </w:r>
      <w:r>
        <w:t>(</w:t>
      </w:r>
      <w:r w:rsidRPr="008959EE">
        <w:t>2026</w:t>
      </w:r>
      <w:r>
        <w:t>)</w:t>
      </w:r>
      <w:r w:rsidRPr="008959EE">
        <w:t xml:space="preserve">. Why Can't I Figure This Out? Identity </w:t>
      </w:r>
      <w:r>
        <w:br/>
        <w:t xml:space="preserve">  </w:t>
      </w:r>
      <w:r w:rsidRPr="008959EE">
        <w:t xml:space="preserve">Negotiation and Higher Education Decision Making Among Women With Caring </w:t>
      </w:r>
      <w:r>
        <w:br/>
        <w:t xml:space="preserve">  </w:t>
      </w:r>
      <w:r w:rsidRPr="008959EE">
        <w:t>Responsibilities</w:t>
      </w:r>
      <w:r>
        <w:t>.</w:t>
      </w:r>
      <w:r w:rsidRPr="008959EE">
        <w:t xml:space="preserve"> </w:t>
      </w:r>
      <w:r w:rsidRPr="008959EE">
        <w:rPr>
          <w:i/>
          <w:iCs/>
        </w:rPr>
        <w:t xml:space="preserve">Gender, Work &amp; Organization </w:t>
      </w:r>
      <w:r w:rsidRPr="008959EE">
        <w:rPr>
          <w:i/>
          <w:iCs/>
        </w:rPr>
        <w:t>33</w:t>
      </w:r>
      <w:r w:rsidRPr="008959EE">
        <w:t>(3)</w:t>
      </w:r>
      <w:r w:rsidRPr="008959EE">
        <w:t>, 947</w:t>
      </w:r>
      <w:r w:rsidRPr="008959EE">
        <w:t>-</w:t>
      </w:r>
      <w:r>
        <w:br/>
        <w:t xml:space="preserve">  </w:t>
      </w:r>
      <w:r w:rsidRPr="008959EE">
        <w:t>959. </w:t>
      </w:r>
      <w:hyperlink r:id="rId4" w:history="1">
        <w:r w:rsidRPr="008959EE">
          <w:rPr>
            <w:rStyle w:val="Hyperlink"/>
          </w:rPr>
          <w:t>https://doi.org/10.1111/gwao.70101</w:t>
        </w:r>
      </w:hyperlink>
      <w:r w:rsidRPr="008959EE">
        <w:t>.</w:t>
      </w:r>
    </w:p>
    <w:p w14:paraId="18CCD7AF" w14:textId="22AC92AC" w:rsidR="008959EE" w:rsidRPr="008959EE" w:rsidRDefault="008959EE" w:rsidP="008959EE">
      <w:r w:rsidRPr="008959EE">
        <w:t xml:space="preserve">Munro, D., Willis, J., Gibson, A., &amp; Laundon, M. (2024). From inside the head to putting it on the </w:t>
      </w:r>
      <w:r>
        <w:br/>
        <w:t xml:space="preserve">  </w:t>
      </w:r>
      <w:r w:rsidRPr="008959EE">
        <w:t xml:space="preserve">table – supporting reflexive decision-making for unpaid female carers considering higher </w:t>
      </w:r>
      <w:r>
        <w:br/>
        <w:t xml:space="preserve">  </w:t>
      </w:r>
      <w:r w:rsidRPr="008959EE">
        <w:t xml:space="preserve">education. </w:t>
      </w:r>
      <w:r w:rsidRPr="008959EE">
        <w:rPr>
          <w:i/>
          <w:iCs/>
        </w:rPr>
        <w:t>Reflective Practice, 25</w:t>
      </w:r>
      <w:r w:rsidRPr="008959EE">
        <w:t xml:space="preserve">(3), 426–440. </w:t>
      </w:r>
      <w:r>
        <w:br/>
        <w:t xml:space="preserve">  </w:t>
      </w:r>
      <w:hyperlink r:id="rId5" w:history="1">
        <w:r w:rsidRPr="008959EE">
          <w:rPr>
            <w:rStyle w:val="Hyperlink"/>
          </w:rPr>
          <w:t>https://doi.org/10.1080/14623943.2024.2321501</w:t>
        </w:r>
      </w:hyperlink>
    </w:p>
    <w:p w14:paraId="69D0F082" w14:textId="77777777" w:rsidR="00121782" w:rsidRDefault="00121782"/>
    <w:sectPr w:rsidR="001217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1F"/>
    <w:rsid w:val="00075F0B"/>
    <w:rsid w:val="00121782"/>
    <w:rsid w:val="0016795A"/>
    <w:rsid w:val="003C33FF"/>
    <w:rsid w:val="00544039"/>
    <w:rsid w:val="00596D9E"/>
    <w:rsid w:val="006C7DFE"/>
    <w:rsid w:val="00714B1F"/>
    <w:rsid w:val="0078029A"/>
    <w:rsid w:val="007D71BB"/>
    <w:rsid w:val="00813DDB"/>
    <w:rsid w:val="008959EE"/>
    <w:rsid w:val="009C2BC9"/>
    <w:rsid w:val="00AA69B1"/>
    <w:rsid w:val="00AD7033"/>
    <w:rsid w:val="00D34A1A"/>
    <w:rsid w:val="00D765EF"/>
    <w:rsid w:val="00DA4A78"/>
    <w:rsid w:val="00E30400"/>
    <w:rsid w:val="00ED7FB2"/>
    <w:rsid w:val="00FA7F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2AC70"/>
  <w15:chartTrackingRefBased/>
  <w15:docId w15:val="{B75F854E-F6BF-4BB4-8F04-FAAD27A92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B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4B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4B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4B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4B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B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4B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4B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B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4B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B1F"/>
    <w:rPr>
      <w:rFonts w:eastAsiaTheme="majorEastAsia" w:cstheme="majorBidi"/>
      <w:color w:val="272727" w:themeColor="text1" w:themeTint="D8"/>
    </w:rPr>
  </w:style>
  <w:style w:type="paragraph" w:styleId="Title">
    <w:name w:val="Title"/>
    <w:basedOn w:val="Normal"/>
    <w:next w:val="Normal"/>
    <w:link w:val="TitleChar"/>
    <w:uiPriority w:val="10"/>
    <w:qFormat/>
    <w:rsid w:val="00714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B1F"/>
    <w:pPr>
      <w:spacing w:before="160"/>
      <w:jc w:val="center"/>
    </w:pPr>
    <w:rPr>
      <w:i/>
      <w:iCs/>
      <w:color w:val="404040" w:themeColor="text1" w:themeTint="BF"/>
    </w:rPr>
  </w:style>
  <w:style w:type="character" w:customStyle="1" w:styleId="QuoteChar">
    <w:name w:val="Quote Char"/>
    <w:basedOn w:val="DefaultParagraphFont"/>
    <w:link w:val="Quote"/>
    <w:uiPriority w:val="29"/>
    <w:rsid w:val="00714B1F"/>
    <w:rPr>
      <w:i/>
      <w:iCs/>
      <w:color w:val="404040" w:themeColor="text1" w:themeTint="BF"/>
    </w:rPr>
  </w:style>
  <w:style w:type="paragraph" w:styleId="ListParagraph">
    <w:name w:val="List Paragraph"/>
    <w:basedOn w:val="Normal"/>
    <w:uiPriority w:val="34"/>
    <w:qFormat/>
    <w:rsid w:val="00714B1F"/>
    <w:pPr>
      <w:ind w:left="720"/>
      <w:contextualSpacing/>
    </w:pPr>
  </w:style>
  <w:style w:type="character" w:styleId="IntenseEmphasis">
    <w:name w:val="Intense Emphasis"/>
    <w:basedOn w:val="DefaultParagraphFont"/>
    <w:uiPriority w:val="21"/>
    <w:qFormat/>
    <w:rsid w:val="00714B1F"/>
    <w:rPr>
      <w:i/>
      <w:iCs/>
      <w:color w:val="0F4761" w:themeColor="accent1" w:themeShade="BF"/>
    </w:rPr>
  </w:style>
  <w:style w:type="paragraph" w:styleId="IntenseQuote">
    <w:name w:val="Intense Quote"/>
    <w:basedOn w:val="Normal"/>
    <w:next w:val="Normal"/>
    <w:link w:val="IntenseQuoteChar"/>
    <w:uiPriority w:val="30"/>
    <w:qFormat/>
    <w:rsid w:val="00714B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B1F"/>
    <w:rPr>
      <w:i/>
      <w:iCs/>
      <w:color w:val="0F4761" w:themeColor="accent1" w:themeShade="BF"/>
    </w:rPr>
  </w:style>
  <w:style w:type="character" w:styleId="IntenseReference">
    <w:name w:val="Intense Reference"/>
    <w:basedOn w:val="DefaultParagraphFont"/>
    <w:uiPriority w:val="32"/>
    <w:qFormat/>
    <w:rsid w:val="00714B1F"/>
    <w:rPr>
      <w:b/>
      <w:bCs/>
      <w:smallCaps/>
      <w:color w:val="0F4761" w:themeColor="accent1" w:themeShade="BF"/>
      <w:spacing w:val="5"/>
    </w:rPr>
  </w:style>
  <w:style w:type="character" w:styleId="Hyperlink">
    <w:name w:val="Hyperlink"/>
    <w:basedOn w:val="DefaultParagraphFont"/>
    <w:uiPriority w:val="99"/>
    <w:unhideWhenUsed/>
    <w:rsid w:val="0016795A"/>
    <w:rPr>
      <w:color w:val="467886" w:themeColor="hyperlink"/>
      <w:u w:val="single"/>
    </w:rPr>
  </w:style>
  <w:style w:type="character" w:styleId="UnresolvedMention">
    <w:name w:val="Unresolved Mention"/>
    <w:basedOn w:val="DefaultParagraphFont"/>
    <w:uiPriority w:val="99"/>
    <w:semiHidden/>
    <w:unhideWhenUsed/>
    <w:rsid w:val="001679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80/14623943.2024.2321501" TargetMode="External"/><Relationship Id="rId4" Type="http://schemas.openxmlformats.org/officeDocument/2006/relationships/hyperlink" Target="https://doi.org/10.1111/gwao.70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781</Words>
  <Characters>5149</Characters>
  <Application>Microsoft Office Word</Application>
  <DocSecurity>0</DocSecurity>
  <Lines>88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Munro</dc:creator>
  <cp:keywords/>
  <dc:description/>
  <cp:lastModifiedBy>Deborah Munro</cp:lastModifiedBy>
  <cp:revision>12</cp:revision>
  <dcterms:created xsi:type="dcterms:W3CDTF">2026-04-08T06:52:00Z</dcterms:created>
  <dcterms:modified xsi:type="dcterms:W3CDTF">2026-04-08T07:22:00Z</dcterms:modified>
</cp:coreProperties>
</file>