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B6779" w14:textId="3AE44D5C" w:rsidR="00DE6785" w:rsidRPr="00DE6785" w:rsidRDefault="00DE6785" w:rsidP="00970309">
      <w:pPr>
        <w:pStyle w:val="NoSpacing"/>
        <w:spacing w:before="240" w:line="360" w:lineRule="auto"/>
        <w:jc w:val="both"/>
        <w:rPr>
          <w:i/>
          <w:iCs/>
          <w:lang w:val="mi-NZ"/>
        </w:rPr>
      </w:pPr>
      <w:r>
        <w:rPr>
          <w:i/>
          <w:iCs/>
          <w:lang w:val="mi-NZ"/>
        </w:rPr>
        <w:t>Introduction</w:t>
      </w:r>
    </w:p>
    <w:p w14:paraId="401FDFAD" w14:textId="63789537" w:rsidR="00DE6785" w:rsidRDefault="00DE6785" w:rsidP="00970309">
      <w:pPr>
        <w:pStyle w:val="NoSpacing"/>
        <w:spacing w:before="240" w:line="360" w:lineRule="auto"/>
        <w:jc w:val="both"/>
      </w:pPr>
      <w:r>
        <w:t>Secondary School Employer Partnerships (SSEPs) are formal relationships between secondary schools and local employers designed to strengthen knowledge exchange between industry and educators, inform curriculum design, and enable teachers to contextualise student learning in ways that are relevant to local labour market needs.</w:t>
      </w:r>
    </w:p>
    <w:p w14:paraId="7AFF79F8" w14:textId="063654B5" w:rsidR="00DE6785" w:rsidRDefault="00DE6785" w:rsidP="00970309">
      <w:pPr>
        <w:pStyle w:val="NoSpacing"/>
        <w:spacing w:before="240" w:line="360" w:lineRule="auto"/>
        <w:jc w:val="both"/>
      </w:pPr>
      <w:r w:rsidRPr="00DE6785">
        <w:rPr>
          <w:rStyle w:val="Strong"/>
          <w:b w:val="0"/>
          <w:bCs w:val="0"/>
        </w:rPr>
        <w:t>SSEP began as a regional economic development initiative to address skills shortages and youth unemployment in the Waikato region.</w:t>
      </w:r>
      <w:r>
        <w:t xml:space="preserve">  In response to identified regional skills gaps and the need for stronger connections between secondary education and industry, Smart Waikato undertook an international literature review to identify effective models for school-employer partnership development.</w:t>
      </w:r>
    </w:p>
    <w:p w14:paraId="35F716E8" w14:textId="77777777" w:rsidR="00DE6785" w:rsidRPr="004F16F1" w:rsidRDefault="00DE6785" w:rsidP="00970309">
      <w:pPr>
        <w:pStyle w:val="NoSpacing"/>
        <w:spacing w:before="240" w:line="360" w:lineRule="auto"/>
        <w:jc w:val="both"/>
      </w:pPr>
      <w:r>
        <w:t>Building on this evidence, the SSEP programme was developed to partner secondary schools with local employers through formal, three</w:t>
      </w:r>
      <w:r>
        <w:noBreakHyphen/>
        <w:t>year partnerships. Employers work collaboratively with teachers to contextualise learning for Year 9 and 10 students, particularly within STEM subjects, by providing real</w:t>
      </w:r>
      <w:r>
        <w:noBreakHyphen/>
        <w:t>world examples and experiences both in and beyond the classroom. The programme aims to strengthen students’ understanding of career pathways while aligning education more closely with regional workforce needs.</w:t>
      </w:r>
    </w:p>
    <w:p w14:paraId="633686D7" w14:textId="77777777" w:rsidR="00DE6785" w:rsidRPr="00D16315" w:rsidRDefault="00DE6785" w:rsidP="00970309">
      <w:pPr>
        <w:pStyle w:val="NoSpacing"/>
        <w:spacing w:before="240" w:line="360" w:lineRule="auto"/>
        <w:jc w:val="both"/>
        <w:rPr>
          <w:lang w:val="mi-NZ"/>
        </w:rPr>
      </w:pPr>
    </w:p>
    <w:p w14:paraId="4CFB8B44" w14:textId="32361BC6" w:rsidR="00DE6785" w:rsidRPr="00DE6785" w:rsidRDefault="00DE6785" w:rsidP="00970309">
      <w:pPr>
        <w:pStyle w:val="NoSpacing"/>
        <w:spacing w:before="240" w:line="360" w:lineRule="auto"/>
        <w:jc w:val="both"/>
        <w:rPr>
          <w:i/>
          <w:iCs/>
          <w:lang w:val="mi-NZ"/>
        </w:rPr>
      </w:pPr>
      <w:r>
        <w:rPr>
          <w:i/>
          <w:iCs/>
          <w:lang w:val="mi-NZ"/>
        </w:rPr>
        <w:t>Objectives</w:t>
      </w:r>
    </w:p>
    <w:p w14:paraId="691A869E" w14:textId="77777777" w:rsidR="00DE6785" w:rsidRPr="004F16F1" w:rsidRDefault="00DE6785" w:rsidP="00970309">
      <w:pPr>
        <w:pStyle w:val="NoSpacing"/>
        <w:spacing w:before="240" w:line="360" w:lineRule="auto"/>
        <w:jc w:val="both"/>
        <w:rPr>
          <w:lang w:eastAsia="en-GB"/>
        </w:rPr>
      </w:pPr>
      <w:r>
        <w:rPr>
          <w:lang w:eastAsia="en-GB"/>
        </w:rPr>
        <w:t>SSEP</w:t>
      </w:r>
      <w:r w:rsidRPr="004F16F1">
        <w:rPr>
          <w:lang w:eastAsia="en-GB"/>
        </w:rPr>
        <w:t xml:space="preserve"> aims to align regional workforce skills needs with secondary education through contextualised curricula by strengthening </w:t>
      </w:r>
      <w:r>
        <w:rPr>
          <w:lang w:eastAsia="en-GB"/>
        </w:rPr>
        <w:t>connections between schools, employers and tertiary education</w:t>
      </w:r>
      <w:r w:rsidRPr="004F16F1">
        <w:rPr>
          <w:lang w:eastAsia="en-GB"/>
        </w:rPr>
        <w:t>, supporting informed career decision</w:t>
      </w:r>
      <w:r w:rsidRPr="004F16F1">
        <w:rPr>
          <w:lang w:eastAsia="en-GB"/>
        </w:rPr>
        <w:noBreakHyphen/>
        <w:t>making, raising student aspirations, improving engagement and attendance, and enhancing transitions into further education, training, or employment.</w:t>
      </w:r>
    </w:p>
    <w:p w14:paraId="39AB5036" w14:textId="77777777" w:rsidR="00DE6785" w:rsidRDefault="00DE6785" w:rsidP="00970309">
      <w:pPr>
        <w:pStyle w:val="NoSpacing"/>
        <w:spacing w:before="240" w:line="360" w:lineRule="auto"/>
        <w:jc w:val="both"/>
        <w:rPr>
          <w:i/>
          <w:iCs/>
          <w:lang w:val="mi-NZ"/>
        </w:rPr>
      </w:pPr>
    </w:p>
    <w:p w14:paraId="62BE6274" w14:textId="77777777" w:rsidR="006B3037" w:rsidRDefault="006B3037" w:rsidP="00970309">
      <w:pPr>
        <w:pStyle w:val="NoSpacing"/>
        <w:spacing w:before="240" w:line="360" w:lineRule="auto"/>
        <w:jc w:val="both"/>
        <w:rPr>
          <w:i/>
          <w:iCs/>
          <w:lang w:val="mi-NZ"/>
        </w:rPr>
      </w:pPr>
    </w:p>
    <w:p w14:paraId="00174B69" w14:textId="54E9D9A9" w:rsidR="00DE6785" w:rsidRPr="00DE6785" w:rsidRDefault="00DE6785" w:rsidP="00970309">
      <w:pPr>
        <w:pStyle w:val="NoSpacing"/>
        <w:spacing w:before="240" w:line="360" w:lineRule="auto"/>
        <w:jc w:val="both"/>
        <w:rPr>
          <w:i/>
          <w:iCs/>
          <w:lang w:val="mi-NZ"/>
        </w:rPr>
      </w:pPr>
      <w:r>
        <w:rPr>
          <w:i/>
          <w:iCs/>
          <w:lang w:val="mi-NZ"/>
        </w:rPr>
        <w:lastRenderedPageBreak/>
        <w:t>Theoretical Basis</w:t>
      </w:r>
    </w:p>
    <w:p w14:paraId="18B4B6DD" w14:textId="13B08FE8" w:rsidR="00DE6785" w:rsidRPr="00407543" w:rsidRDefault="00DE6785" w:rsidP="00970309">
      <w:pPr>
        <w:pStyle w:val="NoSpacing"/>
        <w:spacing w:before="240" w:line="360" w:lineRule="auto"/>
        <w:jc w:val="both"/>
        <w:rPr>
          <w:rFonts w:ascii="Segoe UI" w:eastAsia="Times New Roman" w:hAnsi="Segoe UI" w:cs="Segoe UI"/>
          <w:kern w:val="0"/>
          <w:sz w:val="21"/>
          <w:szCs w:val="21"/>
          <w:lang w:eastAsia="en-GB"/>
          <w14:ligatures w14:val="none"/>
        </w:rPr>
      </w:pPr>
      <w:r w:rsidRPr="004F16F1">
        <w:rPr>
          <w:lang w:eastAsia="en-GB"/>
        </w:rPr>
        <w:t xml:space="preserve">The programme is underpinned by </w:t>
      </w:r>
      <w:r w:rsidRPr="00407543">
        <w:t>Savickas’ Career Construction Theory</w:t>
      </w:r>
      <w:r>
        <w:t xml:space="preserve"> (</w:t>
      </w:r>
      <w:proofErr w:type="spellStart"/>
      <w:r>
        <w:t>Savicka</w:t>
      </w:r>
      <w:proofErr w:type="spellEnd"/>
      <w:r>
        <w:t>, 2013)</w:t>
      </w:r>
      <w:r>
        <w:rPr>
          <w:rFonts w:ascii="Segoe UI" w:eastAsia="Times New Roman" w:hAnsi="Segoe UI" w:cs="Segoe UI"/>
          <w:kern w:val="0"/>
          <w:sz w:val="21"/>
          <w:szCs w:val="21"/>
          <w:lang w:eastAsia="en-GB"/>
          <w14:ligatures w14:val="none"/>
        </w:rPr>
        <w:t xml:space="preserve">, </w:t>
      </w:r>
      <w:r w:rsidRPr="004F16F1">
        <w:rPr>
          <w:lang w:eastAsia="en-GB"/>
        </w:rPr>
        <w:t>which emphasise</w:t>
      </w:r>
      <w:r w:rsidR="00C411F8">
        <w:rPr>
          <w:lang w:eastAsia="en-GB"/>
        </w:rPr>
        <w:t>s</w:t>
      </w:r>
      <w:r w:rsidRPr="004F16F1">
        <w:rPr>
          <w:lang w:eastAsia="en-GB"/>
        </w:rPr>
        <w:t xml:space="preserve"> the importance of learning in authentic contexts, sustained relationships, and early exposure to career possibilities. </w:t>
      </w:r>
      <w:r>
        <w:rPr>
          <w:lang w:eastAsia="en-GB"/>
        </w:rPr>
        <w:t xml:space="preserve">It also aligns with </w:t>
      </w:r>
      <w:proofErr w:type="spellStart"/>
      <w:r>
        <w:rPr>
          <w:lang w:eastAsia="en-GB"/>
        </w:rPr>
        <w:t>Krumboltz’s</w:t>
      </w:r>
      <w:proofErr w:type="spellEnd"/>
      <w:r>
        <w:rPr>
          <w:lang w:eastAsia="en-GB"/>
        </w:rPr>
        <w:t xml:space="preserve"> Social learning theory through experiences and exposure to role models, allowing them to dream “I could do that”.  </w:t>
      </w:r>
      <w:r w:rsidRPr="004F16F1">
        <w:rPr>
          <w:lang w:eastAsia="en-GB"/>
        </w:rPr>
        <w:t>By embedding real</w:t>
      </w:r>
      <w:r w:rsidRPr="004F16F1">
        <w:rPr>
          <w:lang w:eastAsia="en-GB"/>
        </w:rPr>
        <w:noBreakHyphen/>
        <w:t>world workplace experiences within secondary education settings, SSEP supports students to make meaningfully informed learning and career decisions while strengthening education</w:t>
      </w:r>
      <w:r>
        <w:rPr>
          <w:lang w:eastAsia="en-GB"/>
        </w:rPr>
        <w:t xml:space="preserve"> to </w:t>
      </w:r>
      <w:r w:rsidRPr="004F16F1">
        <w:rPr>
          <w:lang w:eastAsia="en-GB"/>
        </w:rPr>
        <w:t>employment alignment.</w:t>
      </w:r>
    </w:p>
    <w:p w14:paraId="67D80D35" w14:textId="77777777" w:rsidR="00DE6785" w:rsidRPr="00C734E8" w:rsidRDefault="00DE6785" w:rsidP="00970309">
      <w:pPr>
        <w:pStyle w:val="NoSpacing"/>
        <w:spacing w:before="240" w:line="360" w:lineRule="auto"/>
        <w:jc w:val="both"/>
        <w:rPr>
          <w:lang w:val="mi-NZ"/>
        </w:rPr>
      </w:pPr>
    </w:p>
    <w:p w14:paraId="4804336C" w14:textId="2A4FFB1F" w:rsidR="00DE6785" w:rsidRPr="00DE6785" w:rsidRDefault="00DE6785" w:rsidP="00970309">
      <w:pPr>
        <w:pStyle w:val="NoSpacing"/>
        <w:spacing w:before="240" w:line="360" w:lineRule="auto"/>
        <w:jc w:val="both"/>
        <w:rPr>
          <w:i/>
          <w:iCs/>
          <w:lang w:val="mi-NZ"/>
        </w:rPr>
      </w:pPr>
      <w:r>
        <w:rPr>
          <w:i/>
          <w:iCs/>
          <w:lang w:val="mi-NZ"/>
        </w:rPr>
        <w:t>Methodology</w:t>
      </w:r>
    </w:p>
    <w:p w14:paraId="64358CB3" w14:textId="77777777" w:rsidR="00DE6785" w:rsidRPr="00C925D8" w:rsidRDefault="00DE6785" w:rsidP="00970309">
      <w:pPr>
        <w:pStyle w:val="NoSpacing"/>
        <w:spacing w:before="240" w:line="360" w:lineRule="auto"/>
        <w:jc w:val="both"/>
        <w:rPr>
          <w:lang w:eastAsia="en-GB"/>
        </w:rPr>
      </w:pPr>
      <w:r w:rsidRPr="00C925D8">
        <w:rPr>
          <w:lang w:eastAsia="en-GB"/>
        </w:rPr>
        <w:t>In 2016, following an international literature review, a regional pilot of the Secondary School Employer Partnerships (SSEP) programme was implemented with five secondary schools. The pilot connected schools with local employers to co</w:t>
      </w:r>
      <w:r w:rsidRPr="00C925D8">
        <w:rPr>
          <w:lang w:eastAsia="en-GB"/>
        </w:rPr>
        <w:noBreakHyphen/>
        <w:t>design authentic workplace learning experiences aligned to curriculum and student career development. The programme was delivered through structured partnerships, engagement activities involving teachers and employers, and workplace</w:t>
      </w:r>
      <w:r w:rsidRPr="00C925D8">
        <w:rPr>
          <w:lang w:eastAsia="en-GB"/>
        </w:rPr>
        <w:noBreakHyphen/>
        <w:t>connected learning opportunities designed to strengthen students’ understanding of career pathways. Programme implementation and outcomes were evaluated using multiple sources of evidence, including feedback from teachers, employers, and students, with identified best practice informing subsequent programme development.</w:t>
      </w:r>
    </w:p>
    <w:p w14:paraId="0A0D15B7" w14:textId="77777777" w:rsidR="00DE6785" w:rsidRPr="00C734E8" w:rsidRDefault="00DE6785" w:rsidP="00970309">
      <w:pPr>
        <w:pStyle w:val="NoSpacing"/>
        <w:spacing w:before="240" w:line="360" w:lineRule="auto"/>
        <w:jc w:val="both"/>
        <w:rPr>
          <w:lang w:val="mi-NZ"/>
        </w:rPr>
      </w:pPr>
    </w:p>
    <w:p w14:paraId="3306CAD9" w14:textId="77777777" w:rsidR="00DE6785" w:rsidRDefault="00DE6785" w:rsidP="00970309">
      <w:pPr>
        <w:pStyle w:val="NoSpacing"/>
        <w:spacing w:before="240" w:line="360" w:lineRule="auto"/>
        <w:jc w:val="both"/>
        <w:rPr>
          <w:i/>
          <w:iCs/>
          <w:lang w:val="mi-NZ"/>
        </w:rPr>
      </w:pPr>
      <w:r>
        <w:rPr>
          <w:i/>
          <w:iCs/>
          <w:lang w:val="mi-NZ"/>
        </w:rPr>
        <w:t>Results</w:t>
      </w:r>
    </w:p>
    <w:p w14:paraId="26A0B79B" w14:textId="77777777" w:rsidR="00DE6785" w:rsidRDefault="00DE6785" w:rsidP="00970309">
      <w:pPr>
        <w:pStyle w:val="NoSpacing"/>
        <w:spacing w:before="240" w:line="360" w:lineRule="auto"/>
        <w:jc w:val="both"/>
        <w:rPr>
          <w:lang w:eastAsia="en-GB"/>
        </w:rPr>
      </w:pPr>
      <w:r w:rsidRPr="00F648B0">
        <w:rPr>
          <w:lang w:eastAsia="en-GB"/>
        </w:rPr>
        <w:t>Findings from the 2016 SSEP pilot identified positive impacts across three key stakeholder groups. Students reported improved understanding of the relevance of their learning</w:t>
      </w:r>
      <w:r>
        <w:rPr>
          <w:lang w:eastAsia="en-GB"/>
        </w:rPr>
        <w:t xml:space="preserve"> and</w:t>
      </w:r>
      <w:r w:rsidRPr="00F648B0">
        <w:rPr>
          <w:lang w:eastAsia="en-GB"/>
        </w:rPr>
        <w:t xml:space="preserve"> future career pathways. Teachers </w:t>
      </w:r>
      <w:r>
        <w:rPr>
          <w:lang w:eastAsia="en-GB"/>
        </w:rPr>
        <w:t>indicated</w:t>
      </w:r>
      <w:r w:rsidRPr="00F648B0">
        <w:rPr>
          <w:lang w:eastAsia="en-GB"/>
        </w:rPr>
        <w:t xml:space="preserve"> </w:t>
      </w:r>
      <w:r>
        <w:rPr>
          <w:lang w:eastAsia="en-GB"/>
        </w:rPr>
        <w:t xml:space="preserve">they felt supported in their professional development around real-life context and made </w:t>
      </w:r>
      <w:r w:rsidRPr="00F648B0">
        <w:rPr>
          <w:lang w:eastAsia="en-GB"/>
        </w:rPr>
        <w:t xml:space="preserve">changes to </w:t>
      </w:r>
      <w:r>
        <w:rPr>
          <w:lang w:eastAsia="en-GB"/>
        </w:rPr>
        <w:t xml:space="preserve">the ways they planned curriculum. </w:t>
      </w:r>
      <w:r w:rsidRPr="00F648B0">
        <w:rPr>
          <w:lang w:eastAsia="en-GB"/>
        </w:rPr>
        <w:t>Employers reported stronger connections with their local communities, and value in contributing to positive outcomes for young people.</w:t>
      </w:r>
    </w:p>
    <w:p w14:paraId="7EB087CD" w14:textId="77777777" w:rsidR="00DE6785" w:rsidRDefault="00DE6785" w:rsidP="00970309">
      <w:pPr>
        <w:spacing w:before="240" w:after="0" w:line="360" w:lineRule="auto"/>
        <w:jc w:val="both"/>
        <w:rPr>
          <w:rFonts w:ascii="Segoe UI" w:eastAsia="Times New Roman" w:hAnsi="Segoe UI" w:cs="Segoe UI"/>
          <w:kern w:val="0"/>
          <w:sz w:val="21"/>
          <w:szCs w:val="21"/>
          <w:lang w:eastAsia="en-GB"/>
          <w14:ligatures w14:val="none"/>
        </w:rPr>
      </w:pPr>
    </w:p>
    <w:p w14:paraId="5556C326" w14:textId="77777777" w:rsidR="00DE6785" w:rsidRPr="00F648B0" w:rsidRDefault="00DE6785" w:rsidP="00970309">
      <w:pPr>
        <w:spacing w:before="240" w:after="0" w:line="360" w:lineRule="auto"/>
        <w:jc w:val="both"/>
        <w:rPr>
          <w:rFonts w:ascii="Segoe UI" w:eastAsia="Times New Roman" w:hAnsi="Segoe UI" w:cs="Segoe UI"/>
          <w:kern w:val="0"/>
          <w:sz w:val="21"/>
          <w:szCs w:val="21"/>
          <w:lang w:eastAsia="en-GB"/>
          <w14:ligatures w14:val="none"/>
        </w:rPr>
      </w:pPr>
      <w:r>
        <w:rPr>
          <w:lang w:eastAsia="en-GB"/>
        </w:rPr>
        <w:t>Building on these findings, a</w:t>
      </w:r>
      <w:r w:rsidRPr="00C925D8">
        <w:rPr>
          <w:lang w:eastAsia="en-GB"/>
        </w:rPr>
        <w:t>n economic cost</w:t>
      </w:r>
      <w:r>
        <w:rPr>
          <w:lang w:eastAsia="en-GB"/>
        </w:rPr>
        <w:t>-</w:t>
      </w:r>
      <w:r w:rsidRPr="00C925D8">
        <w:rPr>
          <w:lang w:eastAsia="en-GB"/>
        </w:rPr>
        <w:t xml:space="preserve">benefit analysis undertaken by Waikato Regional Council </w:t>
      </w:r>
      <w:r>
        <w:rPr>
          <w:lang w:eastAsia="en-GB"/>
        </w:rPr>
        <w:t xml:space="preserve">in 2025 </w:t>
      </w:r>
      <w:r w:rsidRPr="00C925D8">
        <w:rPr>
          <w:lang w:eastAsia="en-GB"/>
        </w:rPr>
        <w:t>identified positive returns on investment for SSEP, estimating a short</w:t>
      </w:r>
      <w:r w:rsidRPr="00C925D8">
        <w:rPr>
          <w:lang w:eastAsia="en-GB"/>
        </w:rPr>
        <w:noBreakHyphen/>
        <w:t>term return of $</w:t>
      </w:r>
      <w:r>
        <w:rPr>
          <w:lang w:eastAsia="en-GB"/>
        </w:rPr>
        <w:t xml:space="preserve">4.60 </w:t>
      </w:r>
      <w:r w:rsidRPr="00C925D8">
        <w:rPr>
          <w:lang w:eastAsia="en-GB"/>
        </w:rPr>
        <w:t>for every $1 invested and a projected long</w:t>
      </w:r>
      <w:r w:rsidRPr="00C925D8">
        <w:rPr>
          <w:lang w:eastAsia="en-GB"/>
        </w:rPr>
        <w:noBreakHyphen/>
        <w:t>term return of $17 per $1 invested.</w:t>
      </w:r>
    </w:p>
    <w:p w14:paraId="7C89766C" w14:textId="77777777" w:rsidR="00DE6785" w:rsidRDefault="00DE6785" w:rsidP="00970309">
      <w:pPr>
        <w:pStyle w:val="NoSpacing"/>
        <w:spacing w:before="240" w:line="360" w:lineRule="auto"/>
        <w:jc w:val="both"/>
        <w:rPr>
          <w:i/>
          <w:iCs/>
          <w:lang w:val="mi-NZ"/>
        </w:rPr>
      </w:pPr>
    </w:p>
    <w:p w14:paraId="163F0490" w14:textId="59618CC2" w:rsidR="00DE6785" w:rsidRPr="00DE6785" w:rsidRDefault="00DE6785" w:rsidP="00970309">
      <w:pPr>
        <w:pStyle w:val="NoSpacing"/>
        <w:spacing w:before="240" w:line="360" w:lineRule="auto"/>
        <w:jc w:val="both"/>
        <w:rPr>
          <w:i/>
          <w:iCs/>
          <w:lang w:val="mi-NZ"/>
        </w:rPr>
      </w:pPr>
      <w:r>
        <w:rPr>
          <w:i/>
          <w:iCs/>
          <w:lang w:val="mi-NZ"/>
        </w:rPr>
        <w:t>Conclusions</w:t>
      </w:r>
    </w:p>
    <w:p w14:paraId="34B5DFF6" w14:textId="5C1CD697" w:rsidR="00DE6785" w:rsidRDefault="00DE6785" w:rsidP="00970309">
      <w:pPr>
        <w:pStyle w:val="NoSpacing"/>
        <w:spacing w:before="240" w:line="360" w:lineRule="auto"/>
        <w:jc w:val="both"/>
        <w:rPr>
          <w:lang w:eastAsia="en-GB"/>
        </w:rPr>
      </w:pPr>
      <w:r w:rsidRPr="004F16F1">
        <w:rPr>
          <w:lang w:eastAsia="en-GB"/>
        </w:rPr>
        <w:t>While the 2016 pilot provides the primary formal evidence base</w:t>
      </w:r>
      <w:r>
        <w:rPr>
          <w:lang w:eastAsia="en-GB"/>
        </w:rPr>
        <w:t>,</w:t>
      </w:r>
      <w:r w:rsidRPr="004F16F1">
        <w:rPr>
          <w:lang w:eastAsia="en-GB"/>
        </w:rPr>
        <w:t xml:space="preserve"> the </w:t>
      </w:r>
      <w:r>
        <w:rPr>
          <w:lang w:eastAsia="en-GB"/>
        </w:rPr>
        <w:t>adoption</w:t>
      </w:r>
      <w:r w:rsidRPr="004F16F1">
        <w:rPr>
          <w:lang w:eastAsia="en-GB"/>
        </w:rPr>
        <w:t xml:space="preserve"> of SSE</w:t>
      </w:r>
      <w:r>
        <w:rPr>
          <w:lang w:eastAsia="en-GB"/>
        </w:rPr>
        <w:t xml:space="preserve">P both regionally and nationally </w:t>
      </w:r>
      <w:r w:rsidRPr="004F16F1">
        <w:rPr>
          <w:lang w:eastAsia="en-GB"/>
        </w:rPr>
        <w:t>over the subsequent decade</w:t>
      </w:r>
      <w:r>
        <w:rPr>
          <w:lang w:eastAsia="en-GB"/>
        </w:rPr>
        <w:t>,</w:t>
      </w:r>
      <w:r w:rsidRPr="004F16F1">
        <w:rPr>
          <w:lang w:eastAsia="en-GB"/>
        </w:rPr>
        <w:t xml:space="preserve"> demonstrates the practical feasibility of sustaining school</w:t>
      </w:r>
      <w:r>
        <w:rPr>
          <w:lang w:eastAsia="en-GB"/>
        </w:rPr>
        <w:t>-</w:t>
      </w:r>
      <w:r w:rsidRPr="004F16F1">
        <w:rPr>
          <w:lang w:eastAsia="en-GB"/>
        </w:rPr>
        <w:t xml:space="preserve">employer partnerships. </w:t>
      </w:r>
      <w:r>
        <w:rPr>
          <w:lang w:eastAsia="en-GB"/>
        </w:rPr>
        <w:t>Findings from the pilot align with practical implementation indicating that effective facilitation, a robust resource framework of processes and procedures, and continual sharing of best practice ensures the enduring success of SSEP.  It is a scalable and sustainable approach to strengthening career pathways in our secondary schools while supporting workforce and labour market alignment.</w:t>
      </w:r>
    </w:p>
    <w:p w14:paraId="55D3AAEC" w14:textId="77777777" w:rsidR="006B3037" w:rsidRPr="00DE6785" w:rsidRDefault="006B3037" w:rsidP="00970309">
      <w:pPr>
        <w:pStyle w:val="NoSpacing"/>
        <w:spacing w:before="240" w:line="360" w:lineRule="auto"/>
        <w:jc w:val="both"/>
        <w:rPr>
          <w:lang w:eastAsia="en-GB"/>
        </w:rPr>
      </w:pPr>
    </w:p>
    <w:p w14:paraId="405DA3BA" w14:textId="77777777" w:rsidR="00DE6785" w:rsidRDefault="00DE6785" w:rsidP="00970309">
      <w:pPr>
        <w:pStyle w:val="NoSpacing"/>
        <w:spacing w:before="240" w:line="360" w:lineRule="auto"/>
        <w:jc w:val="both"/>
        <w:rPr>
          <w:i/>
          <w:iCs/>
          <w:lang w:val="mi-NZ"/>
        </w:rPr>
      </w:pPr>
      <w:r>
        <w:rPr>
          <w:i/>
          <w:iCs/>
          <w:lang w:val="mi-NZ"/>
        </w:rPr>
        <w:t>Bibliography</w:t>
      </w:r>
    </w:p>
    <w:p w14:paraId="2AB876D3" w14:textId="77777777" w:rsidR="006B3037" w:rsidRPr="00D16315" w:rsidRDefault="006B3037" w:rsidP="00970309">
      <w:pPr>
        <w:pStyle w:val="NoSpacing"/>
        <w:spacing w:before="240" w:line="360" w:lineRule="auto"/>
        <w:jc w:val="both"/>
        <w:rPr>
          <w:i/>
          <w:iCs/>
          <w:lang w:val="mi-NZ"/>
        </w:rPr>
      </w:pPr>
    </w:p>
    <w:p w14:paraId="52DE1472" w14:textId="60D44A94" w:rsidR="00DE6785" w:rsidRDefault="00DE6785" w:rsidP="00970309">
      <w:pPr>
        <w:pStyle w:val="NoSpacing"/>
        <w:spacing w:line="360" w:lineRule="auto"/>
        <w:jc w:val="both"/>
        <w:rPr>
          <w:rStyle w:val="Emphasis"/>
        </w:rPr>
      </w:pPr>
      <w:r>
        <w:t xml:space="preserve">Nelson Caie, L. (2015, July). </w:t>
      </w:r>
      <w:r>
        <w:rPr>
          <w:rStyle w:val="Emphasis"/>
        </w:rPr>
        <w:t>Secondary school–employer partnerships (SSEPs):</w:t>
      </w:r>
    </w:p>
    <w:p w14:paraId="59C29D11" w14:textId="440ECFB2" w:rsidR="00DE6785" w:rsidRDefault="00DE6785" w:rsidP="00970309">
      <w:pPr>
        <w:pStyle w:val="NoSpacing"/>
        <w:spacing w:line="360" w:lineRule="auto"/>
        <w:ind w:left="720"/>
        <w:jc w:val="both"/>
      </w:pPr>
      <w:r>
        <w:rPr>
          <w:rStyle w:val="Emphasis"/>
        </w:rPr>
        <w:t>Literature review and best practice recommendations</w:t>
      </w:r>
      <w:r>
        <w:t>. Smart Waikato Trust.</w:t>
      </w:r>
    </w:p>
    <w:p w14:paraId="635EFBB9" w14:textId="77777777" w:rsidR="00DE6785" w:rsidRDefault="00DE6785" w:rsidP="00970309">
      <w:pPr>
        <w:pStyle w:val="NoSpacing"/>
        <w:spacing w:line="360" w:lineRule="auto"/>
        <w:jc w:val="both"/>
        <w:rPr>
          <w:lang w:val="mi-NZ"/>
        </w:rPr>
      </w:pPr>
    </w:p>
    <w:p w14:paraId="4DEBCA4A" w14:textId="4B3E03D4" w:rsidR="00DE6785" w:rsidRDefault="00DE6785" w:rsidP="00970309">
      <w:pPr>
        <w:pStyle w:val="NoSpacing"/>
        <w:spacing w:line="360" w:lineRule="auto"/>
        <w:jc w:val="both"/>
        <w:rPr>
          <w:rStyle w:val="Emphasis"/>
        </w:rPr>
      </w:pPr>
      <w:proofErr w:type="spellStart"/>
      <w:r>
        <w:t>Paragahawewa</w:t>
      </w:r>
      <w:proofErr w:type="spellEnd"/>
      <w:r>
        <w:t xml:space="preserve">, U. (2025). </w:t>
      </w:r>
      <w:r>
        <w:rPr>
          <w:rStyle w:val="Emphasis"/>
        </w:rPr>
        <w:t>Impact assessment of the secondary school employer</w:t>
      </w:r>
    </w:p>
    <w:p w14:paraId="69BC49CE" w14:textId="77777777" w:rsidR="00DE6785" w:rsidRDefault="00DE6785" w:rsidP="00970309">
      <w:pPr>
        <w:pStyle w:val="NoSpacing"/>
        <w:spacing w:line="360" w:lineRule="auto"/>
        <w:ind w:left="720"/>
        <w:jc w:val="both"/>
      </w:pPr>
      <w:r>
        <w:rPr>
          <w:rStyle w:val="Emphasis"/>
        </w:rPr>
        <w:t>partnerships (SSEP) programme</w:t>
      </w:r>
      <w:r>
        <w:t xml:space="preserve">. Waikato Regional Council. </w:t>
      </w:r>
      <w:hyperlink r:id="rId4" w:tgtFrame="_new" w:history="1">
        <w:r>
          <w:rPr>
            <w:rStyle w:val="Hyperlink"/>
          </w:rPr>
          <w:t>https://smartwaikato.co.nz/wp-content/</w:t>
        </w:r>
        <w:r>
          <w:rPr>
            <w:rStyle w:val="Hyperlink"/>
          </w:rPr>
          <w:t>u</w:t>
        </w:r>
        <w:r>
          <w:rPr>
            <w:rStyle w:val="Hyperlink"/>
          </w:rPr>
          <w:t>ploads/2026/03/Impact-assesment_-SSEP-program_Prepared_for_SMART_Waikato_updated_19th_Nov.pdf</w:t>
        </w:r>
      </w:hyperlink>
    </w:p>
    <w:p w14:paraId="2457EC9C" w14:textId="77777777" w:rsidR="00DE6785" w:rsidRDefault="00DE6785" w:rsidP="00970309">
      <w:pPr>
        <w:pStyle w:val="NoSpacing"/>
        <w:spacing w:line="360" w:lineRule="auto"/>
        <w:jc w:val="both"/>
      </w:pPr>
    </w:p>
    <w:p w14:paraId="18AC2C48" w14:textId="2525C3B8" w:rsidR="00DE6785" w:rsidRDefault="00DE6785" w:rsidP="00970309">
      <w:pPr>
        <w:pStyle w:val="NoSpacing"/>
        <w:spacing w:line="360" w:lineRule="auto"/>
        <w:jc w:val="both"/>
        <w:rPr>
          <w:rStyle w:val="Emphasis"/>
        </w:rPr>
      </w:pPr>
      <w:r>
        <w:t xml:space="preserve">Smart Waikato. (2016). </w:t>
      </w:r>
      <w:r>
        <w:rPr>
          <w:rStyle w:val="Emphasis"/>
        </w:rPr>
        <w:t>Secondary school employer partnerships (SSEP) 2016 pilot</w:t>
      </w:r>
    </w:p>
    <w:p w14:paraId="202B83D3" w14:textId="77777777" w:rsidR="00DE6785" w:rsidRDefault="00DE6785" w:rsidP="00970309">
      <w:pPr>
        <w:pStyle w:val="NoSpacing"/>
        <w:spacing w:line="360" w:lineRule="auto"/>
        <w:ind w:left="720"/>
        <w:jc w:val="both"/>
      </w:pPr>
      <w:r>
        <w:rPr>
          <w:rStyle w:val="Emphasis"/>
        </w:rPr>
        <w:lastRenderedPageBreak/>
        <w:t>report</w:t>
      </w:r>
      <w:r>
        <w:t xml:space="preserve">. </w:t>
      </w:r>
      <w:hyperlink r:id="rId5" w:tgtFrame="_new" w:history="1">
        <w:r>
          <w:rPr>
            <w:rStyle w:val="Hyperlink"/>
          </w:rPr>
          <w:t>https://www.s</w:t>
        </w:r>
        <w:r>
          <w:rPr>
            <w:rStyle w:val="Hyperlink"/>
          </w:rPr>
          <w:t>m</w:t>
        </w:r>
        <w:r>
          <w:rPr>
            <w:rStyle w:val="Hyperlink"/>
          </w:rPr>
          <w:t>artwaikato.co.nz/wp-content/uploads/2021/02/SSEP-2016-pilot-report-FINAL.pdf</w:t>
        </w:r>
      </w:hyperlink>
    </w:p>
    <w:p w14:paraId="406CFBEF" w14:textId="77777777" w:rsidR="00DE6785" w:rsidRDefault="00DE6785" w:rsidP="00970309">
      <w:pPr>
        <w:pStyle w:val="NoSpacing"/>
        <w:spacing w:line="360" w:lineRule="auto"/>
        <w:jc w:val="both"/>
        <w:rPr>
          <w:lang w:val="mi-NZ"/>
        </w:rPr>
      </w:pPr>
    </w:p>
    <w:p w14:paraId="3009E833" w14:textId="34D22C4E" w:rsidR="00DE6785" w:rsidRDefault="00DE6785" w:rsidP="00970309">
      <w:pPr>
        <w:pStyle w:val="NoSpacing"/>
        <w:spacing w:line="360" w:lineRule="auto"/>
        <w:jc w:val="both"/>
      </w:pPr>
      <w:r>
        <w:t xml:space="preserve">Smart Waikato Trust. (n.d.). </w:t>
      </w:r>
      <w:r>
        <w:rPr>
          <w:rStyle w:val="Emphasis"/>
        </w:rPr>
        <w:t>Secondary School Employer Partnerships</w:t>
      </w:r>
      <w:r>
        <w:t>.</w:t>
      </w:r>
    </w:p>
    <w:p w14:paraId="733B1127" w14:textId="5B29F0D1" w:rsidR="00C35E15" w:rsidRPr="00970309" w:rsidRDefault="00DE6785" w:rsidP="00970309">
      <w:pPr>
        <w:pStyle w:val="NoSpacing"/>
        <w:spacing w:line="360" w:lineRule="auto"/>
        <w:ind w:left="720"/>
        <w:jc w:val="both"/>
        <w:rPr>
          <w:lang w:eastAsia="en-GB"/>
        </w:rPr>
      </w:pPr>
      <w:hyperlink r:id="rId6" w:history="1">
        <w:r w:rsidRPr="007955AA">
          <w:rPr>
            <w:rStyle w:val="Hyperlink"/>
          </w:rPr>
          <w:t>https://smartwaikato.co.nz/ssep/</w:t>
        </w:r>
      </w:hyperlink>
    </w:p>
    <w:sectPr w:rsidR="00C35E15" w:rsidRPr="009703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E15"/>
    <w:rsid w:val="006B3037"/>
    <w:rsid w:val="00970309"/>
    <w:rsid w:val="00C35E15"/>
    <w:rsid w:val="00C411F8"/>
    <w:rsid w:val="00CC5234"/>
    <w:rsid w:val="00DE6785"/>
    <w:rsid w:val="00E828E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1D605B61"/>
  <w15:chartTrackingRefBased/>
  <w15:docId w15:val="{9ECD43C5-CB51-304B-B35A-88CFCE2F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785"/>
  </w:style>
  <w:style w:type="paragraph" w:styleId="Heading1">
    <w:name w:val="heading 1"/>
    <w:basedOn w:val="Normal"/>
    <w:next w:val="Normal"/>
    <w:link w:val="Heading1Char"/>
    <w:uiPriority w:val="9"/>
    <w:qFormat/>
    <w:rsid w:val="00C35E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5E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5E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5E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5E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5E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5E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5E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5E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E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5E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5E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5E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5E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5E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E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E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E15"/>
    <w:rPr>
      <w:rFonts w:eastAsiaTheme="majorEastAsia" w:cstheme="majorBidi"/>
      <w:color w:val="272727" w:themeColor="text1" w:themeTint="D8"/>
    </w:rPr>
  </w:style>
  <w:style w:type="paragraph" w:styleId="Title">
    <w:name w:val="Title"/>
    <w:basedOn w:val="Normal"/>
    <w:next w:val="Normal"/>
    <w:link w:val="TitleChar"/>
    <w:uiPriority w:val="10"/>
    <w:qFormat/>
    <w:rsid w:val="00C35E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E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E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5E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E15"/>
    <w:pPr>
      <w:spacing w:before="160"/>
      <w:jc w:val="center"/>
    </w:pPr>
    <w:rPr>
      <w:i/>
      <w:iCs/>
      <w:color w:val="404040" w:themeColor="text1" w:themeTint="BF"/>
    </w:rPr>
  </w:style>
  <w:style w:type="character" w:customStyle="1" w:styleId="QuoteChar">
    <w:name w:val="Quote Char"/>
    <w:basedOn w:val="DefaultParagraphFont"/>
    <w:link w:val="Quote"/>
    <w:uiPriority w:val="29"/>
    <w:rsid w:val="00C35E15"/>
    <w:rPr>
      <w:i/>
      <w:iCs/>
      <w:color w:val="404040" w:themeColor="text1" w:themeTint="BF"/>
    </w:rPr>
  </w:style>
  <w:style w:type="paragraph" w:styleId="ListParagraph">
    <w:name w:val="List Paragraph"/>
    <w:basedOn w:val="Normal"/>
    <w:uiPriority w:val="34"/>
    <w:qFormat/>
    <w:rsid w:val="00C35E15"/>
    <w:pPr>
      <w:ind w:left="720"/>
      <w:contextualSpacing/>
    </w:pPr>
  </w:style>
  <w:style w:type="character" w:styleId="IntenseEmphasis">
    <w:name w:val="Intense Emphasis"/>
    <w:basedOn w:val="DefaultParagraphFont"/>
    <w:uiPriority w:val="21"/>
    <w:qFormat/>
    <w:rsid w:val="00C35E15"/>
    <w:rPr>
      <w:i/>
      <w:iCs/>
      <w:color w:val="0F4761" w:themeColor="accent1" w:themeShade="BF"/>
    </w:rPr>
  </w:style>
  <w:style w:type="paragraph" w:styleId="IntenseQuote">
    <w:name w:val="Intense Quote"/>
    <w:basedOn w:val="Normal"/>
    <w:next w:val="Normal"/>
    <w:link w:val="IntenseQuoteChar"/>
    <w:uiPriority w:val="30"/>
    <w:qFormat/>
    <w:rsid w:val="00C35E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5E15"/>
    <w:rPr>
      <w:i/>
      <w:iCs/>
      <w:color w:val="0F4761" w:themeColor="accent1" w:themeShade="BF"/>
    </w:rPr>
  </w:style>
  <w:style w:type="character" w:styleId="IntenseReference">
    <w:name w:val="Intense Reference"/>
    <w:basedOn w:val="DefaultParagraphFont"/>
    <w:uiPriority w:val="32"/>
    <w:qFormat/>
    <w:rsid w:val="00C35E15"/>
    <w:rPr>
      <w:b/>
      <w:bCs/>
      <w:smallCaps/>
      <w:color w:val="0F4761" w:themeColor="accent1" w:themeShade="BF"/>
      <w:spacing w:val="5"/>
    </w:rPr>
  </w:style>
  <w:style w:type="paragraph" w:styleId="NoSpacing">
    <w:name w:val="No Spacing"/>
    <w:uiPriority w:val="1"/>
    <w:qFormat/>
    <w:rsid w:val="00DE6785"/>
    <w:pPr>
      <w:spacing w:after="0" w:line="240" w:lineRule="auto"/>
    </w:pPr>
  </w:style>
  <w:style w:type="character" w:styleId="Emphasis">
    <w:name w:val="Emphasis"/>
    <w:basedOn w:val="DefaultParagraphFont"/>
    <w:uiPriority w:val="20"/>
    <w:qFormat/>
    <w:rsid w:val="00DE6785"/>
    <w:rPr>
      <w:i/>
      <w:iCs/>
    </w:rPr>
  </w:style>
  <w:style w:type="character" w:styleId="Hyperlink">
    <w:name w:val="Hyperlink"/>
    <w:basedOn w:val="DefaultParagraphFont"/>
    <w:uiPriority w:val="99"/>
    <w:unhideWhenUsed/>
    <w:rsid w:val="00DE6785"/>
    <w:rPr>
      <w:color w:val="0000FF"/>
      <w:u w:val="single"/>
    </w:rPr>
  </w:style>
  <w:style w:type="character" w:styleId="Strong">
    <w:name w:val="Strong"/>
    <w:basedOn w:val="DefaultParagraphFont"/>
    <w:uiPriority w:val="22"/>
    <w:qFormat/>
    <w:rsid w:val="00DE6785"/>
    <w:rPr>
      <w:b/>
      <w:bCs/>
    </w:rPr>
  </w:style>
  <w:style w:type="character" w:styleId="FollowedHyperlink">
    <w:name w:val="FollowedHyperlink"/>
    <w:basedOn w:val="DefaultParagraphFont"/>
    <w:uiPriority w:val="99"/>
    <w:semiHidden/>
    <w:unhideWhenUsed/>
    <w:rsid w:val="00DE678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martwaikato.co.nz/ssep/" TargetMode="External"/><Relationship Id="rId5" Type="http://schemas.openxmlformats.org/officeDocument/2006/relationships/hyperlink" Target="https://www.smartwaikato.co.nz/wp-content/uploads/2021/02/SSEP-2016-pilot-report-FINAL.pdf" TargetMode="External"/><Relationship Id="rId4" Type="http://schemas.openxmlformats.org/officeDocument/2006/relationships/hyperlink" Target="https://smartwaikato.co.nz/wp-content/uploads/2026/03/Impact-assesment_-SSEP-program_Prepared_for_SMART_Waikato_updated_19th_No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820</Words>
  <Characters>4674</Characters>
  <Application>Microsoft Office Word</Application>
  <DocSecurity>0</DocSecurity>
  <Lines>38</Lines>
  <Paragraphs>10</Paragraphs>
  <ScaleCrop>false</ScaleCrop>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Allison</dc:creator>
  <cp:keywords/>
  <dc:description/>
  <cp:lastModifiedBy>Anna Allison</cp:lastModifiedBy>
  <cp:revision>6</cp:revision>
  <dcterms:created xsi:type="dcterms:W3CDTF">2026-04-16T22:51:00Z</dcterms:created>
  <dcterms:modified xsi:type="dcterms:W3CDTF">2026-04-16T23:07:00Z</dcterms:modified>
</cp:coreProperties>
</file>