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6D606" w14:textId="77777777" w:rsidR="00790EA7" w:rsidRPr="00792236" w:rsidRDefault="00000000">
      <w:pPr>
        <w:spacing w:line="360" w:lineRule="auto"/>
        <w:jc w:val="both"/>
        <w:rPr>
          <w:rFonts w:ascii="Calibri" w:hAnsi="Calibri" w:cs="Calibri"/>
          <w:b/>
          <w:bCs/>
          <w:sz w:val="22"/>
          <w:szCs w:val="22"/>
        </w:rPr>
      </w:pPr>
      <w:r w:rsidRPr="00792236">
        <w:rPr>
          <w:rFonts w:ascii="Calibri" w:eastAsia="Calibri" w:hAnsi="Calibri" w:cs="Calibri"/>
          <w:b/>
          <w:bCs/>
          <w:sz w:val="22"/>
          <w:szCs w:val="22"/>
        </w:rPr>
        <w:t>Carney, David</w:t>
      </w:r>
    </w:p>
    <w:p w14:paraId="030D8165" w14:textId="77777777"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Executive Director, Career Industry Council of Australia</w:t>
      </w:r>
    </w:p>
    <w:p w14:paraId="3829B1AB" w14:textId="77777777"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info@cica.org.au</w:t>
      </w:r>
    </w:p>
    <w:p w14:paraId="3291CCE2" w14:textId="77777777"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Career Industry Council of Australia</w:t>
      </w:r>
    </w:p>
    <w:p w14:paraId="1E6DC9D4" w14:textId="77777777" w:rsidR="00790EA7" w:rsidRPr="00E54183" w:rsidRDefault="00790EA7">
      <w:pPr>
        <w:spacing w:line="360" w:lineRule="auto"/>
        <w:rPr>
          <w:rFonts w:ascii="Calibri" w:hAnsi="Calibri" w:cs="Calibri"/>
          <w:sz w:val="22"/>
          <w:szCs w:val="22"/>
        </w:rPr>
      </w:pPr>
    </w:p>
    <w:p w14:paraId="74E487AE" w14:textId="71A3744B" w:rsidR="00790EA7" w:rsidRPr="00792236" w:rsidRDefault="00000000">
      <w:pPr>
        <w:spacing w:line="360" w:lineRule="auto"/>
        <w:jc w:val="both"/>
        <w:rPr>
          <w:rFonts w:ascii="Calibri" w:hAnsi="Calibri" w:cs="Calibri"/>
          <w:b/>
          <w:bCs/>
          <w:sz w:val="22"/>
          <w:szCs w:val="22"/>
        </w:rPr>
      </w:pPr>
      <w:r w:rsidRPr="00792236">
        <w:rPr>
          <w:rFonts w:ascii="Calibri" w:eastAsia="Calibri" w:hAnsi="Calibri" w:cs="Calibri"/>
          <w:b/>
          <w:bCs/>
          <w:sz w:val="22"/>
          <w:szCs w:val="22"/>
        </w:rPr>
        <w:t>McMahon, Mary</w:t>
      </w:r>
      <w:r w:rsidR="000C042F">
        <w:rPr>
          <w:rFonts w:ascii="Calibri" w:eastAsia="Calibri" w:hAnsi="Calibri" w:cs="Calibri"/>
          <w:b/>
          <w:bCs/>
          <w:sz w:val="22"/>
          <w:szCs w:val="22"/>
        </w:rPr>
        <w:t xml:space="preserve"> Dr</w:t>
      </w:r>
    </w:p>
    <w:p w14:paraId="7E360ADA" w14:textId="77777777"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Vice President, Career Industry Council of Australia; The University of Queensland</w:t>
      </w:r>
    </w:p>
    <w:p w14:paraId="7A4B5BEE" w14:textId="77777777" w:rsidR="00790EA7" w:rsidRPr="00E54183" w:rsidRDefault="00790EA7">
      <w:pPr>
        <w:spacing w:line="360" w:lineRule="auto"/>
        <w:rPr>
          <w:rFonts w:ascii="Calibri" w:hAnsi="Calibri" w:cs="Calibri"/>
          <w:sz w:val="22"/>
          <w:szCs w:val="22"/>
        </w:rPr>
      </w:pPr>
    </w:p>
    <w:p w14:paraId="3812BAB7" w14:textId="77777777" w:rsidR="00790EA7" w:rsidRPr="00E54183" w:rsidRDefault="00000000">
      <w:pPr>
        <w:spacing w:line="360" w:lineRule="auto"/>
        <w:jc w:val="both"/>
        <w:rPr>
          <w:rFonts w:ascii="Calibri" w:hAnsi="Calibri" w:cs="Calibri"/>
          <w:sz w:val="22"/>
          <w:szCs w:val="22"/>
        </w:rPr>
      </w:pPr>
      <w:r w:rsidRPr="00792236">
        <w:rPr>
          <w:rFonts w:ascii="Calibri" w:eastAsia="Calibri" w:hAnsi="Calibri" w:cs="Calibri"/>
          <w:b/>
          <w:bCs/>
          <w:sz w:val="22"/>
          <w:szCs w:val="22"/>
        </w:rPr>
        <w:t>Conference theme</w:t>
      </w:r>
      <w:r w:rsidRPr="00E54183">
        <w:rPr>
          <w:rFonts w:ascii="Calibri" w:eastAsia="Calibri" w:hAnsi="Calibri" w:cs="Calibri"/>
          <w:sz w:val="22"/>
          <w:szCs w:val="22"/>
        </w:rPr>
        <w:t>: Best Practice (</w:t>
      </w:r>
      <w:proofErr w:type="spellStart"/>
      <w:r w:rsidRPr="00E54183">
        <w:rPr>
          <w:rFonts w:ascii="Calibri" w:eastAsia="Calibri" w:hAnsi="Calibri" w:cs="Calibri"/>
          <w:sz w:val="22"/>
          <w:szCs w:val="22"/>
        </w:rPr>
        <w:t>Tupuanuku</w:t>
      </w:r>
      <w:proofErr w:type="spellEnd"/>
      <w:r w:rsidRPr="00E54183">
        <w:rPr>
          <w:rFonts w:ascii="Calibri" w:eastAsia="Calibri" w:hAnsi="Calibri" w:cs="Calibri"/>
          <w:sz w:val="22"/>
          <w:szCs w:val="22"/>
        </w:rPr>
        <w:t>)</w:t>
      </w:r>
    </w:p>
    <w:p w14:paraId="4191BEB2" w14:textId="77777777" w:rsidR="00790EA7" w:rsidRPr="00E54183" w:rsidRDefault="00000000">
      <w:pPr>
        <w:spacing w:line="360" w:lineRule="auto"/>
        <w:jc w:val="both"/>
        <w:rPr>
          <w:rFonts w:ascii="Calibri" w:hAnsi="Calibri" w:cs="Calibri"/>
          <w:sz w:val="22"/>
          <w:szCs w:val="22"/>
        </w:rPr>
      </w:pPr>
      <w:r w:rsidRPr="00792236">
        <w:rPr>
          <w:rFonts w:ascii="Calibri" w:eastAsia="Calibri" w:hAnsi="Calibri" w:cs="Calibri"/>
          <w:b/>
          <w:bCs/>
          <w:sz w:val="22"/>
          <w:szCs w:val="22"/>
        </w:rPr>
        <w:t>Presentation language</w:t>
      </w:r>
      <w:r w:rsidRPr="00E54183">
        <w:rPr>
          <w:rFonts w:ascii="Calibri" w:eastAsia="Calibri" w:hAnsi="Calibri" w:cs="Calibri"/>
          <w:sz w:val="22"/>
          <w:szCs w:val="22"/>
        </w:rPr>
        <w:t>: English</w:t>
      </w:r>
    </w:p>
    <w:p w14:paraId="0F4D7FB2" w14:textId="77777777" w:rsidR="00790EA7" w:rsidRPr="00E54183" w:rsidRDefault="00790EA7">
      <w:pPr>
        <w:spacing w:line="360" w:lineRule="auto"/>
        <w:rPr>
          <w:rFonts w:ascii="Calibri" w:hAnsi="Calibri" w:cs="Calibri"/>
          <w:sz w:val="22"/>
          <w:szCs w:val="22"/>
        </w:rPr>
      </w:pPr>
    </w:p>
    <w:p w14:paraId="2B2878A7" w14:textId="6556E777" w:rsidR="00790EA7" w:rsidRPr="00083AC7" w:rsidRDefault="00083AC7">
      <w:pPr>
        <w:spacing w:after="120" w:line="360" w:lineRule="auto"/>
        <w:rPr>
          <w:rFonts w:ascii="Calibri" w:eastAsia="Calibri" w:hAnsi="Calibri" w:cs="Calibri"/>
          <w:b/>
          <w:bCs/>
          <w:sz w:val="22"/>
          <w:szCs w:val="22"/>
        </w:rPr>
      </w:pPr>
      <w:r w:rsidRPr="00083AC7">
        <w:rPr>
          <w:rFonts w:ascii="Calibri" w:hAnsi="Calibri" w:cs="Calibri"/>
          <w:b/>
          <w:bCs/>
          <w:sz w:val="22"/>
          <w:szCs w:val="22"/>
        </w:rPr>
        <w:t>Raising the Bar: CICA's 2026 Guiding Principles f</w:t>
      </w:r>
      <w:r w:rsidR="00000000" w:rsidRPr="00083AC7">
        <w:rPr>
          <w:rFonts w:ascii="Calibri" w:eastAsia="Calibri" w:hAnsi="Calibri" w:cs="Calibri"/>
          <w:b/>
          <w:bCs/>
          <w:sz w:val="22"/>
          <w:szCs w:val="22"/>
        </w:rPr>
        <w:t xml:space="preserve">or Career Development Services and </w:t>
      </w:r>
      <w:r>
        <w:rPr>
          <w:rFonts w:ascii="Calibri" w:eastAsia="Calibri" w:hAnsi="Calibri" w:cs="Calibri"/>
          <w:b/>
          <w:bCs/>
          <w:sz w:val="22"/>
          <w:szCs w:val="22"/>
        </w:rPr>
        <w:t xml:space="preserve">Career </w:t>
      </w:r>
      <w:r w:rsidR="00000000" w:rsidRPr="00083AC7">
        <w:rPr>
          <w:rFonts w:ascii="Calibri" w:eastAsia="Calibri" w:hAnsi="Calibri" w:cs="Calibri"/>
          <w:b/>
          <w:bCs/>
          <w:sz w:val="22"/>
          <w:szCs w:val="22"/>
        </w:rPr>
        <w:t>Information Products</w:t>
      </w:r>
    </w:p>
    <w:p w14:paraId="28896713" w14:textId="77777777" w:rsidR="00A90CB3" w:rsidRPr="00E54183" w:rsidRDefault="00A90CB3" w:rsidP="00A90CB3">
      <w:pPr>
        <w:spacing w:line="360" w:lineRule="auto"/>
        <w:rPr>
          <w:rFonts w:ascii="Calibri" w:hAnsi="Calibri" w:cs="Calibri"/>
          <w:sz w:val="22"/>
          <w:szCs w:val="22"/>
        </w:rPr>
      </w:pPr>
    </w:p>
    <w:p w14:paraId="3A441127" w14:textId="77777777" w:rsidR="00A90CB3" w:rsidRPr="00E54183" w:rsidRDefault="00A90CB3" w:rsidP="00A90CB3">
      <w:pPr>
        <w:spacing w:line="360" w:lineRule="auto"/>
        <w:jc w:val="both"/>
        <w:rPr>
          <w:rFonts w:ascii="Calibri" w:hAnsi="Calibri" w:cs="Calibri"/>
          <w:sz w:val="22"/>
          <w:szCs w:val="22"/>
        </w:rPr>
      </w:pPr>
      <w:r w:rsidRPr="00792236">
        <w:rPr>
          <w:rFonts w:ascii="Calibri" w:eastAsia="Calibri" w:hAnsi="Calibri" w:cs="Calibri"/>
          <w:b/>
          <w:bCs/>
          <w:sz w:val="22"/>
          <w:szCs w:val="22"/>
        </w:rPr>
        <w:t>Keywords</w:t>
      </w:r>
      <w:r w:rsidRPr="00E54183">
        <w:rPr>
          <w:rFonts w:ascii="Calibri" w:eastAsia="Calibri" w:hAnsi="Calibri" w:cs="Calibri"/>
          <w:sz w:val="22"/>
          <w:szCs w:val="22"/>
        </w:rPr>
        <w:t>: career development, professionalisation, quality assurance, Guiding Principles, Artificial Intelligence</w:t>
      </w:r>
    </w:p>
    <w:p w14:paraId="4AA95FDB" w14:textId="77777777" w:rsidR="00790EA7" w:rsidRPr="00E54183" w:rsidRDefault="00790EA7">
      <w:pPr>
        <w:spacing w:line="360" w:lineRule="auto"/>
        <w:rPr>
          <w:rFonts w:ascii="Calibri" w:hAnsi="Calibri" w:cs="Calibri"/>
          <w:sz w:val="22"/>
          <w:szCs w:val="22"/>
        </w:rPr>
      </w:pPr>
    </w:p>
    <w:p w14:paraId="5ECF2F72" w14:textId="77777777" w:rsidR="00790EA7" w:rsidRPr="00792236" w:rsidRDefault="00000000">
      <w:pPr>
        <w:spacing w:before="240" w:after="120" w:line="360" w:lineRule="auto"/>
        <w:rPr>
          <w:rFonts w:ascii="Calibri" w:hAnsi="Calibri" w:cs="Calibri"/>
          <w:b/>
          <w:bCs/>
          <w:sz w:val="22"/>
          <w:szCs w:val="22"/>
        </w:rPr>
      </w:pPr>
      <w:r w:rsidRPr="00792236">
        <w:rPr>
          <w:rFonts w:ascii="Calibri" w:eastAsia="Calibri" w:hAnsi="Calibri" w:cs="Calibri"/>
          <w:b/>
          <w:bCs/>
          <w:sz w:val="22"/>
          <w:szCs w:val="22"/>
        </w:rPr>
        <w:t>Abstract</w:t>
      </w:r>
    </w:p>
    <w:p w14:paraId="47F83333" w14:textId="77777777" w:rsid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The professionalisation of career development requires more than qualified practitioners. It requires robust, nationally agreed quality assurance frameworks that connect professional standards to everyday practice. In Australia, this recognition has driven a sustained, sector-wide effort to build an integrated system of frameworks that together define what quality looks like across the profession. The Career Industry Council of Australia (CICA) has developed a distinctive three-framework quality assurance model comprising the Australian Blueprint for Career Development, the Professional Standards for Australian Career Development Practitioners, and the Guiding Principles for Career Development Services and Career Information Products. This presentation examines the 2026 third edition of the Guiding Principles and its significance for the profession.</w:t>
      </w:r>
    </w:p>
    <w:p w14:paraId="29632688" w14:textId="77777777" w:rsidR="00210347" w:rsidRPr="00210347" w:rsidRDefault="00210347" w:rsidP="00210347">
      <w:pPr>
        <w:spacing w:line="360" w:lineRule="auto"/>
        <w:jc w:val="both"/>
        <w:rPr>
          <w:rFonts w:ascii="Calibri" w:eastAsia="Calibri" w:hAnsi="Calibri" w:cs="Calibri"/>
          <w:sz w:val="22"/>
          <w:szCs w:val="22"/>
        </w:rPr>
      </w:pPr>
    </w:p>
    <w:p w14:paraId="17D10B83" w14:textId="77777777" w:rsid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 xml:space="preserve">The Guiding Principles support career development practitioners in evaluating the tools, resources, and services they use with clients. They provide a clear and practical framework for determining whether services and products, including emerging digital solutions, are ethical, evidence-informed, inclusive, and fit-for-purpose in an increasingly technology-driven environment. Originally developed with input from the career development industry and education, training, and employment systems </w:t>
      </w:r>
      <w:r w:rsidRPr="00210347">
        <w:rPr>
          <w:rFonts w:ascii="Calibri" w:eastAsia="Calibri" w:hAnsi="Calibri" w:cs="Calibri"/>
          <w:sz w:val="22"/>
          <w:szCs w:val="22"/>
        </w:rPr>
        <w:lastRenderedPageBreak/>
        <w:t>across all Australian states and territories, the Guiding Principles have also been shaped by international best practice. They directly align with CICA's mission to promote quality, ethical, and inclusive career development for all Australians through national leadership, advocacy, and the advancement of professional standards.</w:t>
      </w:r>
    </w:p>
    <w:p w14:paraId="70E88685" w14:textId="77777777" w:rsidR="00210347" w:rsidRPr="00210347" w:rsidRDefault="00210347" w:rsidP="00210347">
      <w:pPr>
        <w:spacing w:line="360" w:lineRule="auto"/>
        <w:jc w:val="both"/>
        <w:rPr>
          <w:rFonts w:ascii="Calibri" w:eastAsia="Calibri" w:hAnsi="Calibri" w:cs="Calibri"/>
          <w:sz w:val="22"/>
          <w:szCs w:val="22"/>
        </w:rPr>
      </w:pPr>
    </w:p>
    <w:p w14:paraId="49B36E37" w14:textId="77777777" w:rsid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The 2026 third edition is presented in two sections: one focused on career development services and the other on career information products. This structure recognises that practitioners occupy dual roles as service providers and as evaluators and recommenders of resources. Each section contains principles accompanied by indicators that allow practitioners to assess the quality and appropriateness of the services they deliver and the products they use or recommend. This practical orientation is deliberate: the Guiding Principles are designed not as an abstract standard but as a working tool that practitioners can apply in everyday professional activity.</w:t>
      </w:r>
    </w:p>
    <w:p w14:paraId="25A82388" w14:textId="77777777" w:rsidR="00210347" w:rsidRPr="00210347" w:rsidRDefault="00210347" w:rsidP="00210347">
      <w:pPr>
        <w:spacing w:line="360" w:lineRule="auto"/>
        <w:jc w:val="both"/>
        <w:rPr>
          <w:rFonts w:ascii="Calibri" w:eastAsia="Calibri" w:hAnsi="Calibri" w:cs="Calibri"/>
          <w:sz w:val="22"/>
          <w:szCs w:val="22"/>
        </w:rPr>
      </w:pPr>
    </w:p>
    <w:p w14:paraId="039814B8" w14:textId="77777777" w:rsidR="00210347" w:rsidRP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Revisions for the third edition respond to the accelerating integration of digital tools and Artificial Intelligence, including Generative AI, into career development practice, and to the corresponding responsibilities practitioners now carry in how they deliver services and recommend resources to clients of all ages, backgrounds, and career development needs. The revised edition acknowledges that technology is reshaping both the content and mode of career development work, and that practitioners need clear, principle-based guidance to navigate these changes confidently and ethically.</w:t>
      </w:r>
    </w:p>
    <w:p w14:paraId="7C5F770F" w14:textId="77777777" w:rsid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Situated alongside the Australian Blueprint for Career Development and the Professional Standards for Australian Career Development Practitioners, the Guiding Principles complete a three-part architecture that links learner competencies, practitioner capabilities, and service and product quality. Together these frameworks assist practitioners to make confident, informed decisions in a rapidly changing environment, ensuring that the career development support offered to clients remains high-quality, ethical, and future-focused. The strength of this model lies in the relationship between its parts: each framework reinforces the others, and none is intended to operate in isolation.</w:t>
      </w:r>
    </w:p>
    <w:p w14:paraId="2F7B4979" w14:textId="77777777" w:rsidR="00210347" w:rsidRPr="00210347" w:rsidRDefault="00210347" w:rsidP="00210347">
      <w:pPr>
        <w:spacing w:line="360" w:lineRule="auto"/>
        <w:jc w:val="both"/>
        <w:rPr>
          <w:rFonts w:ascii="Calibri" w:eastAsia="Calibri" w:hAnsi="Calibri" w:cs="Calibri"/>
          <w:sz w:val="22"/>
          <w:szCs w:val="22"/>
        </w:rPr>
      </w:pPr>
    </w:p>
    <w:p w14:paraId="75677EB2" w14:textId="27BE70D7" w:rsidR="00210347" w:rsidRPr="00210347" w:rsidRDefault="00210347" w:rsidP="00210347">
      <w:pPr>
        <w:spacing w:line="360" w:lineRule="auto"/>
        <w:jc w:val="both"/>
        <w:rPr>
          <w:rFonts w:ascii="Calibri" w:eastAsia="Calibri" w:hAnsi="Calibri" w:cs="Calibri"/>
          <w:sz w:val="22"/>
          <w:szCs w:val="22"/>
        </w:rPr>
      </w:pPr>
      <w:r w:rsidRPr="00210347">
        <w:rPr>
          <w:rFonts w:ascii="Calibri" w:eastAsia="Calibri" w:hAnsi="Calibri" w:cs="Calibri"/>
          <w:sz w:val="22"/>
          <w:szCs w:val="22"/>
        </w:rPr>
        <w:t xml:space="preserve">This presentation will trace the development of the third edition, examine its alignment with international benchmarks, and consider its implications for professional practice and national policy. It will argue that the Guiding Principles, understood as one element of an integrated quality assurance model rather than a standalone document, offer a transferable contribution to the international conversation on career development professionalisation. Attendees will leave with a clearer understanding of how nationally coordinated quality assurance frameworks can support practitioners </w:t>
      </w:r>
      <w:r w:rsidRPr="00210347">
        <w:rPr>
          <w:rFonts w:ascii="Calibri" w:eastAsia="Calibri" w:hAnsi="Calibri" w:cs="Calibri"/>
          <w:sz w:val="22"/>
          <w:szCs w:val="22"/>
        </w:rPr>
        <w:lastRenderedPageBreak/>
        <w:t>through periods of rapid technological and professional change, and how the Australian model might inform comparable work in other jurisdictions.</w:t>
      </w:r>
    </w:p>
    <w:p w14:paraId="259AEAAE" w14:textId="77777777" w:rsidR="00E54183" w:rsidRPr="00E54183" w:rsidRDefault="00E54183">
      <w:pPr>
        <w:spacing w:line="360" w:lineRule="auto"/>
        <w:jc w:val="both"/>
        <w:rPr>
          <w:rFonts w:ascii="Calibri" w:eastAsia="Calibri" w:hAnsi="Calibri" w:cs="Calibri"/>
          <w:sz w:val="22"/>
          <w:szCs w:val="22"/>
        </w:rPr>
      </w:pPr>
    </w:p>
    <w:p w14:paraId="36580A5A" w14:textId="673E11C4" w:rsidR="00E54183" w:rsidRPr="00792236" w:rsidRDefault="00E54183">
      <w:pPr>
        <w:spacing w:line="360" w:lineRule="auto"/>
        <w:jc w:val="both"/>
        <w:rPr>
          <w:rFonts w:ascii="Calibri" w:eastAsia="Calibri" w:hAnsi="Calibri" w:cs="Calibri"/>
          <w:b/>
          <w:bCs/>
          <w:sz w:val="22"/>
          <w:szCs w:val="22"/>
        </w:rPr>
      </w:pPr>
      <w:r w:rsidRPr="00792236">
        <w:rPr>
          <w:rFonts w:ascii="Calibri" w:eastAsia="Calibri" w:hAnsi="Calibri" w:cs="Calibri"/>
          <w:b/>
          <w:bCs/>
          <w:sz w:val="22"/>
          <w:szCs w:val="22"/>
        </w:rPr>
        <w:t>Introduction</w:t>
      </w:r>
    </w:p>
    <w:p w14:paraId="2451C134" w14:textId="77777777" w:rsidR="00210347" w:rsidRPr="00210347" w:rsidRDefault="00210347" w:rsidP="00210347">
      <w:pPr>
        <w:spacing w:before="240" w:after="120" w:line="360" w:lineRule="auto"/>
        <w:rPr>
          <w:rFonts w:ascii="Calibri" w:eastAsia="Calibri" w:hAnsi="Calibri" w:cs="Calibri"/>
          <w:sz w:val="22"/>
          <w:szCs w:val="22"/>
        </w:rPr>
      </w:pPr>
      <w:r w:rsidRPr="00210347">
        <w:rPr>
          <w:rFonts w:ascii="Calibri" w:eastAsia="Calibri" w:hAnsi="Calibri" w:cs="Calibri"/>
          <w:sz w:val="22"/>
          <w:szCs w:val="22"/>
        </w:rPr>
        <w:t>The professionalisation of career development requires more than qualified practitioners. It requires robust, nationally agreed quality assurance frameworks that connect professional standards to everyday practice. In Australia, this recognition has driven a sustained, sector-wide effort to build an integrated system of frameworks that together define what quality looks like across the profession.</w:t>
      </w:r>
    </w:p>
    <w:p w14:paraId="6F6DB4C4" w14:textId="77777777" w:rsidR="00210347" w:rsidRPr="00210347" w:rsidRDefault="00210347" w:rsidP="00210347">
      <w:pPr>
        <w:spacing w:before="240" w:after="120" w:line="360" w:lineRule="auto"/>
        <w:rPr>
          <w:rFonts w:ascii="Calibri" w:eastAsia="Calibri" w:hAnsi="Calibri" w:cs="Calibri"/>
          <w:sz w:val="22"/>
          <w:szCs w:val="22"/>
        </w:rPr>
      </w:pPr>
      <w:r w:rsidRPr="00210347">
        <w:rPr>
          <w:rFonts w:ascii="Calibri" w:eastAsia="Calibri" w:hAnsi="Calibri" w:cs="Calibri"/>
          <w:sz w:val="22"/>
          <w:szCs w:val="22"/>
        </w:rPr>
        <w:t>The Guiding Principles for Career Development Services and Career Information Products represent the third element of a distinctive three-framework quality assurance model developed by the Career Industry Council of Australia (CICA). The other two elements are the Australian Blueprint for Career Development, which defines the competencies individuals need to manage their careers effectively across the lifespan, and the Professional Standards for Australian Career Development Practitioners, which set out the knowledge, skills, and ethical commitments expected of qualified practitioners. Together, these three frameworks form a coherent architecture linking learner competencies, practitioner capabilities, and the quality of services and products. The Guiding Principles complete this architecture by providing criteria against which the services practitioners deliver and the resources they use or recommend can be assessed.</w:t>
      </w:r>
    </w:p>
    <w:p w14:paraId="5EBCAAFA" w14:textId="77777777" w:rsidR="00210347" w:rsidRPr="00210347" w:rsidRDefault="00210347" w:rsidP="00210347">
      <w:pPr>
        <w:spacing w:before="240" w:after="120" w:line="360" w:lineRule="auto"/>
        <w:rPr>
          <w:rFonts w:ascii="Calibri" w:eastAsia="Calibri" w:hAnsi="Calibri" w:cs="Calibri"/>
          <w:sz w:val="22"/>
          <w:szCs w:val="22"/>
        </w:rPr>
      </w:pPr>
      <w:r w:rsidRPr="00210347">
        <w:rPr>
          <w:rFonts w:ascii="Calibri" w:eastAsia="Calibri" w:hAnsi="Calibri" w:cs="Calibri"/>
          <w:sz w:val="22"/>
          <w:szCs w:val="22"/>
        </w:rPr>
        <w:t>This 2026 third edition of the Guiding Principles is responsive to the rapidly changing contexts in which career development services are provided. It reflects the accelerating integration of digital tools and Artificial Intelligence, including Generative AI, into practice, and the new responsibilities these developments place on practitioners working with clients of all ages, backgrounds, and career development needs.</w:t>
      </w:r>
    </w:p>
    <w:p w14:paraId="40B7366E" w14:textId="6A379554" w:rsidR="00790EA7" w:rsidRPr="00792236" w:rsidRDefault="00000000">
      <w:pPr>
        <w:spacing w:before="240" w:after="120" w:line="360" w:lineRule="auto"/>
        <w:rPr>
          <w:rFonts w:ascii="Calibri" w:hAnsi="Calibri" w:cs="Calibri"/>
          <w:b/>
          <w:bCs/>
          <w:sz w:val="22"/>
          <w:szCs w:val="22"/>
        </w:rPr>
      </w:pPr>
      <w:r w:rsidRPr="00792236">
        <w:rPr>
          <w:rFonts w:ascii="Calibri" w:eastAsia="Calibri" w:hAnsi="Calibri" w:cs="Calibri"/>
          <w:b/>
          <w:bCs/>
          <w:sz w:val="22"/>
          <w:szCs w:val="22"/>
        </w:rPr>
        <w:t>Objectives</w:t>
      </w:r>
    </w:p>
    <w:p w14:paraId="4FB00123" w14:textId="4CD2485C"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 xml:space="preserve">This presentation has three objectives: (a) to introduce the </w:t>
      </w:r>
      <w:r w:rsidR="00952F3C" w:rsidRPr="00E54183">
        <w:rPr>
          <w:rFonts w:ascii="Calibri" w:eastAsia="Calibri" w:hAnsi="Calibri" w:cs="Calibri"/>
          <w:sz w:val="22"/>
          <w:szCs w:val="22"/>
        </w:rPr>
        <w:t xml:space="preserve">CICA </w:t>
      </w:r>
      <w:r w:rsidRPr="00E54183">
        <w:rPr>
          <w:rFonts w:ascii="Calibri" w:eastAsia="Calibri" w:hAnsi="Calibri" w:cs="Calibri"/>
          <w:sz w:val="22"/>
          <w:szCs w:val="22"/>
        </w:rPr>
        <w:t xml:space="preserve">2026 Guiding Principles and explain how they respond to the changing environment for career development practice; (b) to </w:t>
      </w:r>
      <w:r w:rsidR="00E54183" w:rsidRPr="00E54183">
        <w:rPr>
          <w:rFonts w:ascii="Calibri" w:eastAsia="Calibri" w:hAnsi="Calibri" w:cs="Calibri"/>
          <w:sz w:val="22"/>
          <w:szCs w:val="22"/>
        </w:rPr>
        <w:t xml:space="preserve">overview </w:t>
      </w:r>
      <w:r w:rsidRPr="00E54183">
        <w:rPr>
          <w:rFonts w:ascii="Calibri" w:eastAsia="Calibri" w:hAnsi="Calibri" w:cs="Calibri"/>
          <w:sz w:val="22"/>
          <w:szCs w:val="22"/>
        </w:rPr>
        <w:t>how Australia’s three-framework quality assurance model provides a coherent and internationally significant approach to professionalisation; and (c) to explore the practical implications of the updated framework for practitioners, service managers, educators, and policymakers.</w:t>
      </w:r>
    </w:p>
    <w:p w14:paraId="2E287A20" w14:textId="77777777" w:rsidR="00790EA7" w:rsidRDefault="00790EA7">
      <w:pPr>
        <w:spacing w:line="360" w:lineRule="auto"/>
        <w:rPr>
          <w:rFonts w:ascii="Calibri" w:hAnsi="Calibri" w:cs="Calibri"/>
          <w:sz w:val="22"/>
          <w:szCs w:val="22"/>
        </w:rPr>
      </w:pPr>
    </w:p>
    <w:p w14:paraId="19FBD05D" w14:textId="77777777" w:rsidR="00210347" w:rsidRDefault="00210347">
      <w:pPr>
        <w:spacing w:line="360" w:lineRule="auto"/>
        <w:rPr>
          <w:rFonts w:ascii="Calibri" w:hAnsi="Calibri" w:cs="Calibri"/>
          <w:sz w:val="22"/>
          <w:szCs w:val="22"/>
        </w:rPr>
      </w:pPr>
    </w:p>
    <w:p w14:paraId="6B97B0D5" w14:textId="77777777" w:rsidR="00210347" w:rsidRPr="00E54183" w:rsidRDefault="00210347">
      <w:pPr>
        <w:spacing w:line="360" w:lineRule="auto"/>
        <w:rPr>
          <w:rFonts w:ascii="Calibri" w:hAnsi="Calibri" w:cs="Calibri"/>
          <w:sz w:val="22"/>
          <w:szCs w:val="22"/>
        </w:rPr>
      </w:pPr>
    </w:p>
    <w:p w14:paraId="61E1F25E" w14:textId="77777777" w:rsidR="00790EA7" w:rsidRPr="00792236" w:rsidRDefault="00000000">
      <w:pPr>
        <w:spacing w:before="240" w:after="120" w:line="360" w:lineRule="auto"/>
        <w:rPr>
          <w:rFonts w:ascii="Calibri" w:hAnsi="Calibri" w:cs="Calibri"/>
          <w:b/>
          <w:bCs/>
          <w:sz w:val="22"/>
          <w:szCs w:val="22"/>
        </w:rPr>
      </w:pPr>
      <w:r w:rsidRPr="00792236">
        <w:rPr>
          <w:rFonts w:ascii="Calibri" w:eastAsia="Calibri" w:hAnsi="Calibri" w:cs="Calibri"/>
          <w:b/>
          <w:bCs/>
          <w:sz w:val="22"/>
          <w:szCs w:val="22"/>
        </w:rPr>
        <w:lastRenderedPageBreak/>
        <w:t>Theoretical Basis</w:t>
      </w:r>
    </w:p>
    <w:p w14:paraId="45D95D72" w14:textId="77777777" w:rsidR="00792236" w:rsidRDefault="00000000">
      <w:pPr>
        <w:spacing w:line="360" w:lineRule="auto"/>
        <w:jc w:val="both"/>
        <w:rPr>
          <w:rFonts w:ascii="Calibri" w:eastAsia="Calibri" w:hAnsi="Calibri" w:cs="Calibri"/>
          <w:sz w:val="22"/>
          <w:szCs w:val="22"/>
        </w:rPr>
      </w:pPr>
      <w:r w:rsidRPr="00E54183">
        <w:rPr>
          <w:rFonts w:ascii="Calibri" w:eastAsia="Calibri" w:hAnsi="Calibri" w:cs="Calibri"/>
          <w:sz w:val="22"/>
          <w:szCs w:val="22"/>
        </w:rPr>
        <w:t>The presentation draws on contemporary professionalisation theory. Classical accounts (</w:t>
      </w:r>
      <w:proofErr w:type="spellStart"/>
      <w:r w:rsidR="00E54183" w:rsidRPr="00E54183">
        <w:rPr>
          <w:rFonts w:ascii="Calibri" w:eastAsia="Calibri" w:hAnsi="Calibri" w:cs="Calibri"/>
          <w:sz w:val="22"/>
          <w:szCs w:val="22"/>
        </w:rPr>
        <w:t>Freidson</w:t>
      </w:r>
      <w:proofErr w:type="spellEnd"/>
      <w:r w:rsidR="00E54183" w:rsidRPr="00E54183">
        <w:rPr>
          <w:rFonts w:ascii="Calibri" w:eastAsia="Calibri" w:hAnsi="Calibri" w:cs="Calibri"/>
          <w:sz w:val="22"/>
          <w:szCs w:val="22"/>
        </w:rPr>
        <w:t xml:space="preserve">, 2001; </w:t>
      </w:r>
      <w:r w:rsidRPr="00E54183">
        <w:rPr>
          <w:rFonts w:ascii="Calibri" w:eastAsia="Calibri" w:hAnsi="Calibri" w:cs="Calibri"/>
          <w:sz w:val="22"/>
          <w:szCs w:val="22"/>
        </w:rPr>
        <w:t xml:space="preserve">Wilensky, 1964) identified the sequential markers of professionalisation, including specialised training, professional associations, codes of ethics, and credentialling mechanisms. </w:t>
      </w:r>
    </w:p>
    <w:p w14:paraId="19CC3269" w14:textId="77777777" w:rsidR="00792236" w:rsidRDefault="00792236">
      <w:pPr>
        <w:spacing w:line="360" w:lineRule="auto"/>
        <w:jc w:val="both"/>
        <w:rPr>
          <w:rFonts w:ascii="Calibri" w:eastAsia="Calibri" w:hAnsi="Calibri" w:cs="Calibri"/>
          <w:sz w:val="22"/>
          <w:szCs w:val="22"/>
        </w:rPr>
      </w:pPr>
    </w:p>
    <w:p w14:paraId="7E7DAB6E" w14:textId="77777777" w:rsidR="00792236" w:rsidRDefault="00000000">
      <w:pPr>
        <w:spacing w:line="360" w:lineRule="auto"/>
        <w:jc w:val="both"/>
        <w:rPr>
          <w:rFonts w:ascii="Calibri" w:eastAsia="Calibri" w:hAnsi="Calibri" w:cs="Calibri"/>
          <w:sz w:val="22"/>
          <w:szCs w:val="22"/>
        </w:rPr>
      </w:pPr>
      <w:r w:rsidRPr="00E54183">
        <w:rPr>
          <w:rFonts w:ascii="Calibri" w:eastAsia="Calibri" w:hAnsi="Calibri" w:cs="Calibri"/>
          <w:sz w:val="22"/>
          <w:szCs w:val="22"/>
        </w:rPr>
        <w:t xml:space="preserve">More recent scholarship has advanced this analysis. Gough and Neary (2021) examined career development professionalisation through the concepts of social closure, the professional project, and the regulatory bargain, arguing that professionalisation must be pursued simultaneously at the personal, organisational, and professional levels. O’Reilly et al. (2020) critically assessed career development’s professional status in the Australian context, highlighting the challenge of social recognition and the implications of gaps between career development and more established professions. </w:t>
      </w:r>
    </w:p>
    <w:p w14:paraId="7F63CB4C" w14:textId="77777777" w:rsidR="00792236" w:rsidRDefault="00792236">
      <w:pPr>
        <w:spacing w:line="360" w:lineRule="auto"/>
        <w:jc w:val="both"/>
        <w:rPr>
          <w:rFonts w:ascii="Calibri" w:eastAsia="Calibri" w:hAnsi="Calibri" w:cs="Calibri"/>
          <w:sz w:val="22"/>
          <w:szCs w:val="22"/>
        </w:rPr>
      </w:pPr>
    </w:p>
    <w:p w14:paraId="341BEAB3" w14:textId="36268908" w:rsidR="00790EA7" w:rsidRPr="00E54183" w:rsidRDefault="00000000">
      <w:pPr>
        <w:spacing w:line="360" w:lineRule="auto"/>
        <w:jc w:val="both"/>
        <w:rPr>
          <w:rFonts w:ascii="Calibri" w:eastAsia="Calibri" w:hAnsi="Calibri" w:cs="Calibri"/>
          <w:sz w:val="22"/>
          <w:szCs w:val="22"/>
        </w:rPr>
      </w:pPr>
      <w:r w:rsidRPr="00E54183">
        <w:rPr>
          <w:rFonts w:ascii="Calibri" w:eastAsia="Calibri" w:hAnsi="Calibri" w:cs="Calibri"/>
          <w:sz w:val="22"/>
          <w:szCs w:val="22"/>
        </w:rPr>
        <w:t xml:space="preserve">The </w:t>
      </w:r>
      <w:proofErr w:type="spellStart"/>
      <w:r w:rsidRPr="00E54183">
        <w:rPr>
          <w:rFonts w:ascii="Calibri" w:eastAsia="Calibri" w:hAnsi="Calibri" w:cs="Calibri"/>
          <w:sz w:val="22"/>
          <w:szCs w:val="22"/>
        </w:rPr>
        <w:t>Cedefop</w:t>
      </w:r>
      <w:proofErr w:type="spellEnd"/>
      <w:r w:rsidRPr="00E54183">
        <w:rPr>
          <w:rFonts w:ascii="Calibri" w:eastAsia="Calibri" w:hAnsi="Calibri" w:cs="Calibri"/>
          <w:sz w:val="22"/>
          <w:szCs w:val="22"/>
        </w:rPr>
        <w:t xml:space="preserve"> working paper on digital transitions in lifelong guidance (</w:t>
      </w:r>
      <w:proofErr w:type="spellStart"/>
      <w:r w:rsidRPr="00E54183">
        <w:rPr>
          <w:rFonts w:ascii="Calibri" w:eastAsia="Calibri" w:hAnsi="Calibri" w:cs="Calibri"/>
          <w:sz w:val="22"/>
          <w:szCs w:val="22"/>
        </w:rPr>
        <w:t>Cedefop</w:t>
      </w:r>
      <w:proofErr w:type="spellEnd"/>
      <w:r w:rsidRPr="00E54183">
        <w:rPr>
          <w:rFonts w:ascii="Calibri" w:eastAsia="Calibri" w:hAnsi="Calibri" w:cs="Calibri"/>
          <w:sz w:val="22"/>
          <w:szCs w:val="22"/>
        </w:rPr>
        <w:t xml:space="preserve"> et al., 2021) further argued that digital competency has become a core dimension of practitioner professionalism rather than a peripheral concern. Together, these perspectives provide the theoretical lens through which the 2026 Guiding Principles are examined.</w:t>
      </w:r>
    </w:p>
    <w:p w14:paraId="1DC24DB8" w14:textId="77777777" w:rsidR="00E54183" w:rsidRPr="00E54183" w:rsidRDefault="00E54183">
      <w:pPr>
        <w:spacing w:line="360" w:lineRule="auto"/>
        <w:jc w:val="both"/>
        <w:rPr>
          <w:rFonts w:ascii="Calibri" w:eastAsia="Calibri" w:hAnsi="Calibri" w:cs="Calibri"/>
          <w:sz w:val="22"/>
          <w:szCs w:val="22"/>
        </w:rPr>
      </w:pPr>
    </w:p>
    <w:p w14:paraId="029890C9" w14:textId="77777777" w:rsidR="00E54183" w:rsidRPr="00E54183" w:rsidRDefault="00E54183" w:rsidP="00E54183">
      <w:pPr>
        <w:spacing w:line="360" w:lineRule="auto"/>
        <w:rPr>
          <w:rFonts w:ascii="Calibri" w:hAnsi="Calibri" w:cs="Calibri"/>
          <w:sz w:val="22"/>
          <w:szCs w:val="22"/>
        </w:rPr>
      </w:pPr>
    </w:p>
    <w:p w14:paraId="31F71A54" w14:textId="02EE1424" w:rsidR="00E54183" w:rsidRDefault="00E54183" w:rsidP="00E54183">
      <w:pPr>
        <w:spacing w:line="360" w:lineRule="auto"/>
        <w:rPr>
          <w:rFonts w:ascii="Calibri" w:hAnsi="Calibri" w:cs="Calibri"/>
          <w:b/>
          <w:bCs/>
          <w:sz w:val="22"/>
          <w:szCs w:val="22"/>
        </w:rPr>
      </w:pPr>
      <w:r w:rsidRPr="00792236">
        <w:rPr>
          <w:rFonts w:ascii="Calibri" w:hAnsi="Calibri" w:cs="Calibri"/>
          <w:b/>
          <w:bCs/>
          <w:sz w:val="22"/>
          <w:szCs w:val="22"/>
        </w:rPr>
        <w:t xml:space="preserve">Methodology </w:t>
      </w:r>
    </w:p>
    <w:p w14:paraId="5214B348" w14:textId="77777777" w:rsidR="00A90CB3" w:rsidRDefault="00A90CB3" w:rsidP="00A90CB3">
      <w:pPr>
        <w:spacing w:line="360" w:lineRule="auto"/>
        <w:rPr>
          <w:rFonts w:ascii="Calibri" w:hAnsi="Calibri" w:cs="Calibri"/>
          <w:sz w:val="22"/>
          <w:szCs w:val="22"/>
        </w:rPr>
      </w:pPr>
      <w:r w:rsidRPr="00A90CB3">
        <w:rPr>
          <w:rFonts w:ascii="Calibri" w:hAnsi="Calibri" w:cs="Calibri"/>
          <w:sz w:val="22"/>
          <w:szCs w:val="22"/>
        </w:rPr>
        <w:t>The review of the Guiding Principles was undertaken between May and December 2025 as a parallel and coordinated process alongside the concurrent review of the Professional Standards, ensuring coherence across CICA's foundational quality assurance frameworks. A purposefully constituted Working Group led the review, comprising the CICA Vice President, the CICA Executive Director, and sector representatives drawn from schools, private career development practice, higher education, and not-for-profit career information product development. Nominees were required to hold a professional qualification in career development, demonstrate early-adopter experience in AI and emerging technologies, and have direct experience in service delivery or career information product development.</w:t>
      </w:r>
    </w:p>
    <w:p w14:paraId="6D178573" w14:textId="77777777" w:rsidR="00A90CB3" w:rsidRPr="00A90CB3" w:rsidRDefault="00A90CB3" w:rsidP="00A90CB3">
      <w:pPr>
        <w:spacing w:line="360" w:lineRule="auto"/>
        <w:rPr>
          <w:rFonts w:ascii="Calibri" w:hAnsi="Calibri" w:cs="Calibri"/>
          <w:sz w:val="22"/>
          <w:szCs w:val="22"/>
        </w:rPr>
      </w:pPr>
    </w:p>
    <w:p w14:paraId="31368F54" w14:textId="77777777" w:rsidR="00A90CB3" w:rsidRDefault="00A90CB3" w:rsidP="00A90CB3">
      <w:pPr>
        <w:spacing w:line="360" w:lineRule="auto"/>
        <w:rPr>
          <w:rFonts w:ascii="Calibri" w:hAnsi="Calibri" w:cs="Calibri"/>
          <w:sz w:val="22"/>
          <w:szCs w:val="22"/>
        </w:rPr>
      </w:pPr>
      <w:r w:rsidRPr="00A90CB3">
        <w:rPr>
          <w:rFonts w:ascii="Calibri" w:hAnsi="Calibri" w:cs="Calibri"/>
          <w:sz w:val="22"/>
          <w:szCs w:val="22"/>
        </w:rPr>
        <w:t xml:space="preserve">The review combined an evidence review of international frameworks, emerging research, and developments in digital and AI-enabled career practice with the applied expertise of Working Group members, examining the existing Guiding Principles against the evolving practice landscape with particular attention to the ethical implications, risks, and opportunities associated with AI </w:t>
      </w:r>
      <w:r w:rsidRPr="00A90CB3">
        <w:rPr>
          <w:rFonts w:ascii="Calibri" w:hAnsi="Calibri" w:cs="Calibri"/>
          <w:sz w:val="22"/>
          <w:szCs w:val="22"/>
        </w:rPr>
        <w:lastRenderedPageBreak/>
        <w:t xml:space="preserve">integration. International benchmarking was central to this process. The Working Group examined quality assurance approaches from comparable jurisdictions, including Finland's Strategy for Lifelong Guidance 2020–2028, coordinated by the National Lifelong Guidance Forum and supported by the 2024 Handbook on Lifelong Guidance and the 2025 national recommendations on the use of artificial intelligence in education; the United Kingdom's Career Development Institute Code of Ethics, UK Register of Career Development Professionals, Career Development Framework, and the Career Assured quality mark for digital career products and CPD resources; and Canada's Pan-Canadian Competency Framework for Career Development Professionals, National Competency Profile, and Code of Ethics for Career Development Professionals, together with the emerging National Career Development Certification program. </w:t>
      </w:r>
    </w:p>
    <w:p w14:paraId="555BD780" w14:textId="77777777" w:rsidR="00A90CB3" w:rsidRDefault="00A90CB3" w:rsidP="00A90CB3">
      <w:pPr>
        <w:spacing w:line="360" w:lineRule="auto"/>
        <w:rPr>
          <w:rFonts w:ascii="Calibri" w:hAnsi="Calibri" w:cs="Calibri"/>
          <w:sz w:val="22"/>
          <w:szCs w:val="22"/>
        </w:rPr>
      </w:pPr>
    </w:p>
    <w:p w14:paraId="7167C1EC" w14:textId="77777777" w:rsidR="00A90CB3" w:rsidRDefault="00A90CB3" w:rsidP="00A90CB3">
      <w:pPr>
        <w:spacing w:line="360" w:lineRule="auto"/>
        <w:rPr>
          <w:rFonts w:ascii="Calibri" w:hAnsi="Calibri" w:cs="Calibri"/>
          <w:sz w:val="22"/>
          <w:szCs w:val="22"/>
        </w:rPr>
      </w:pPr>
      <w:r w:rsidRPr="00A90CB3">
        <w:rPr>
          <w:rFonts w:ascii="Calibri" w:hAnsi="Calibri" w:cs="Calibri"/>
          <w:sz w:val="22"/>
          <w:szCs w:val="22"/>
        </w:rPr>
        <w:t xml:space="preserve">These comparators were selected for their maturity, their explicit attention to service quality and practitioner ethics, their parallel engagement with AI and digital service standards, and their relevance to federated or nationally coordinated systems. The Working Group also drew on the International Centre for Career Development and Public Policy (ICCDPP), whose International Symposia, country papers, communiqués, and recent policy briefs on career guidance in public employment services provided a consolidated evidence base on policy directions, quality assurance trends, and the ethical integration of technology across member jurisdictions. The joint statement by the OECD, ILO, UNESCO, the European Commission, CEDEFOP, and the European Training Foundation further informed the positioning of the revised Guiding Principles within a broader international trajectory on professionalisation, equity of access, and the responsible adoption of AI, rather than as a standalone national revision. </w:t>
      </w:r>
    </w:p>
    <w:p w14:paraId="4C6FFBC4" w14:textId="77777777" w:rsidR="00A90CB3" w:rsidRDefault="00A90CB3" w:rsidP="00A90CB3">
      <w:pPr>
        <w:spacing w:line="360" w:lineRule="auto"/>
        <w:rPr>
          <w:rFonts w:ascii="Calibri" w:hAnsi="Calibri" w:cs="Calibri"/>
          <w:sz w:val="22"/>
          <w:szCs w:val="22"/>
        </w:rPr>
      </w:pPr>
    </w:p>
    <w:p w14:paraId="7F2EB675" w14:textId="34877A6A" w:rsidR="00A90CB3" w:rsidRPr="00A90CB3" w:rsidRDefault="00A90CB3" w:rsidP="00A90CB3">
      <w:pPr>
        <w:spacing w:line="360" w:lineRule="auto"/>
        <w:rPr>
          <w:rFonts w:ascii="Calibri" w:hAnsi="Calibri" w:cs="Calibri"/>
          <w:sz w:val="22"/>
          <w:szCs w:val="22"/>
        </w:rPr>
      </w:pPr>
      <w:r w:rsidRPr="00A90CB3">
        <w:rPr>
          <w:rFonts w:ascii="Calibri" w:hAnsi="Calibri" w:cs="Calibri"/>
          <w:sz w:val="22"/>
          <w:szCs w:val="22"/>
        </w:rPr>
        <w:t>It is acknowledged that the comparative scan was framework-focused, drawing on published standards, policy instruments, and international synthesis documents rather than empirical fieldwork within each jurisdiction, and the analysis should be read with this scope in mind.</w:t>
      </w:r>
    </w:p>
    <w:p w14:paraId="3E1A9686" w14:textId="77777777" w:rsidR="00A90CB3" w:rsidRPr="00A90CB3" w:rsidRDefault="00A90CB3" w:rsidP="00A90CB3">
      <w:pPr>
        <w:spacing w:line="360" w:lineRule="auto"/>
        <w:rPr>
          <w:rFonts w:ascii="Calibri" w:hAnsi="Calibri" w:cs="Calibri"/>
          <w:sz w:val="22"/>
          <w:szCs w:val="22"/>
        </w:rPr>
      </w:pPr>
      <w:r w:rsidRPr="00A90CB3">
        <w:rPr>
          <w:rFonts w:ascii="Calibri" w:hAnsi="Calibri" w:cs="Calibri"/>
          <w:sz w:val="22"/>
          <w:szCs w:val="22"/>
        </w:rPr>
        <w:t>The revised framework was developed through iterative drafting and review within the Working Group, and the Guiding Principles were published in March 2026.</w:t>
      </w:r>
    </w:p>
    <w:p w14:paraId="4A6B420F" w14:textId="77777777" w:rsidR="00A90CB3" w:rsidRPr="00A90CB3" w:rsidRDefault="00A90CB3" w:rsidP="00E54183">
      <w:pPr>
        <w:spacing w:line="360" w:lineRule="auto"/>
        <w:rPr>
          <w:rFonts w:ascii="Calibri" w:hAnsi="Calibri" w:cs="Calibri"/>
          <w:sz w:val="22"/>
          <w:szCs w:val="22"/>
        </w:rPr>
      </w:pPr>
    </w:p>
    <w:p w14:paraId="73BBBB22" w14:textId="3D6F7979" w:rsidR="00790EA7" w:rsidRPr="00792236" w:rsidRDefault="00E54183">
      <w:pPr>
        <w:spacing w:before="240" w:after="120" w:line="360" w:lineRule="auto"/>
        <w:rPr>
          <w:rFonts w:ascii="Calibri" w:hAnsi="Calibri" w:cs="Calibri"/>
          <w:b/>
          <w:bCs/>
          <w:sz w:val="22"/>
          <w:szCs w:val="22"/>
        </w:rPr>
      </w:pPr>
      <w:r w:rsidRPr="00792236">
        <w:rPr>
          <w:rFonts w:ascii="Calibri" w:eastAsia="Calibri" w:hAnsi="Calibri" w:cs="Calibri"/>
          <w:b/>
          <w:bCs/>
          <w:sz w:val="22"/>
          <w:szCs w:val="22"/>
        </w:rPr>
        <w:t>Results</w:t>
      </w:r>
    </w:p>
    <w:p w14:paraId="040702C3" w14:textId="08187B6C" w:rsidR="00790EA7" w:rsidRPr="00E54183" w:rsidRDefault="00000000">
      <w:pPr>
        <w:spacing w:line="360" w:lineRule="auto"/>
        <w:jc w:val="both"/>
        <w:rPr>
          <w:rFonts w:ascii="Calibri" w:hAnsi="Calibri" w:cs="Calibri"/>
          <w:sz w:val="22"/>
          <w:szCs w:val="22"/>
        </w:rPr>
      </w:pPr>
      <w:r w:rsidRPr="00E54183">
        <w:rPr>
          <w:rFonts w:ascii="Calibri" w:eastAsia="Calibri" w:hAnsi="Calibri" w:cs="Calibri"/>
          <w:sz w:val="22"/>
          <w:szCs w:val="22"/>
        </w:rPr>
        <w:t xml:space="preserve">The 2026 edition of the </w:t>
      </w:r>
      <w:r w:rsidR="00952F3C" w:rsidRPr="00E54183">
        <w:rPr>
          <w:rFonts w:ascii="Calibri" w:eastAsia="Calibri" w:hAnsi="Calibri" w:cs="Calibri"/>
          <w:sz w:val="22"/>
          <w:szCs w:val="22"/>
        </w:rPr>
        <w:t xml:space="preserve">CICA </w:t>
      </w:r>
      <w:r w:rsidRPr="00E54183">
        <w:rPr>
          <w:rFonts w:ascii="Calibri" w:eastAsia="Calibri" w:hAnsi="Calibri" w:cs="Calibri"/>
          <w:sz w:val="22"/>
          <w:szCs w:val="22"/>
        </w:rPr>
        <w:t xml:space="preserve">Guiding Principles responds to substantive changes in the operating environment for career development, most notably the proliferation of digital service delivery and the integration of Artificial Intelligence, including Generative AI, into career tools and information products. Digital and AI considerations are embedded throughout both sets of principles rather than </w:t>
      </w:r>
      <w:r w:rsidRPr="00E54183">
        <w:rPr>
          <w:rFonts w:ascii="Calibri" w:eastAsia="Calibri" w:hAnsi="Calibri" w:cs="Calibri"/>
          <w:sz w:val="22"/>
          <w:szCs w:val="22"/>
        </w:rPr>
        <w:lastRenderedPageBreak/>
        <w:t>treated as a separate or emerging concern. Key provisions address transparency and ethical AI use, algorithmic bias, data privacy, digital equity, and the maintenance of human oversight in client interactions. The revised framework also strengthens expectations around client rights, inclusive service design, cultural responsiveness, and outcome monitoring.</w:t>
      </w:r>
    </w:p>
    <w:p w14:paraId="1432F483" w14:textId="3A05D295" w:rsidR="00E54183" w:rsidRPr="00792236" w:rsidRDefault="00E54183" w:rsidP="00792236">
      <w:pPr>
        <w:spacing w:before="240" w:after="120" w:line="360" w:lineRule="auto"/>
        <w:rPr>
          <w:rFonts w:ascii="Calibri" w:eastAsia="Calibri" w:hAnsi="Calibri" w:cs="Calibri"/>
          <w:b/>
          <w:bCs/>
          <w:sz w:val="22"/>
          <w:szCs w:val="22"/>
        </w:rPr>
      </w:pPr>
      <w:r w:rsidRPr="00792236">
        <w:rPr>
          <w:rFonts w:ascii="Calibri" w:eastAsia="Calibri" w:hAnsi="Calibri" w:cs="Calibri"/>
          <w:b/>
          <w:bCs/>
          <w:sz w:val="22"/>
          <w:szCs w:val="22"/>
        </w:rPr>
        <w:t>Conclusions</w:t>
      </w:r>
    </w:p>
    <w:p w14:paraId="0747B83D" w14:textId="1C71B797" w:rsidR="00790EA7" w:rsidRPr="00E54183" w:rsidRDefault="00E54183">
      <w:pPr>
        <w:spacing w:line="360" w:lineRule="auto"/>
        <w:jc w:val="both"/>
        <w:rPr>
          <w:rFonts w:ascii="Calibri" w:hAnsi="Calibri" w:cs="Calibri"/>
          <w:sz w:val="22"/>
          <w:szCs w:val="22"/>
        </w:rPr>
      </w:pPr>
      <w:r w:rsidRPr="00E54183">
        <w:rPr>
          <w:rFonts w:ascii="Calibri" w:eastAsia="Calibri" w:hAnsi="Calibri" w:cs="Calibri"/>
          <w:sz w:val="22"/>
          <w:szCs w:val="22"/>
        </w:rPr>
        <w:t>The presentation situates these developments within the international context, drawing on comparative examples from Finland, the United Kingdom, and Canada, as well as the work of the International Centre for Career Development and Public Policy. By integrating AI ethics and digital equity into a comprehensive quality framework, Australia’s 2026 Guiding Principles are well positioned in the international field, offering a model that other national career development organisations may find instructive.</w:t>
      </w:r>
    </w:p>
    <w:p w14:paraId="6573AE49" w14:textId="77777777" w:rsidR="00790EA7" w:rsidRPr="00E54183" w:rsidRDefault="00790EA7">
      <w:pPr>
        <w:spacing w:line="360" w:lineRule="auto"/>
        <w:rPr>
          <w:rFonts w:ascii="Calibri" w:hAnsi="Calibri" w:cs="Calibri"/>
          <w:sz w:val="22"/>
          <w:szCs w:val="22"/>
        </w:rPr>
      </w:pPr>
    </w:p>
    <w:p w14:paraId="5EFE58D2" w14:textId="2790A40B" w:rsidR="00790EA7" w:rsidRPr="00E54183" w:rsidRDefault="00E54183">
      <w:pPr>
        <w:spacing w:line="360" w:lineRule="auto"/>
        <w:jc w:val="both"/>
        <w:rPr>
          <w:rFonts w:ascii="Calibri" w:hAnsi="Calibri" w:cs="Calibri"/>
          <w:sz w:val="22"/>
          <w:szCs w:val="22"/>
        </w:rPr>
      </w:pPr>
      <w:r w:rsidRPr="00E54183">
        <w:rPr>
          <w:rFonts w:ascii="Calibri" w:eastAsia="Calibri" w:hAnsi="Calibri" w:cs="Calibri"/>
          <w:sz w:val="22"/>
          <w:szCs w:val="22"/>
        </w:rPr>
        <w:t>The CICA 2026 Guiding Principles mark a substantive advance in the professionalisation agenda in Australia. They deepen integration with the Professional Standards and the Australian Blueprint for Career Development, set clear ethical expectations for digital and AI-enabled practice, extend quality assurance obligations to the organisational and systemic levels, and provide practitioners with practical tools for reflective practice and continuous improvement. The presentation concludes that the three-framework model offers a distinctive and transferable contribution to international discussions on how career development professions can maintain quality, integrity, and public trust amid rapid technological change.</w:t>
      </w:r>
    </w:p>
    <w:p w14:paraId="5EA25E22" w14:textId="77777777" w:rsidR="00790EA7" w:rsidRPr="00E54183" w:rsidRDefault="00790EA7">
      <w:pPr>
        <w:spacing w:line="360" w:lineRule="auto"/>
        <w:rPr>
          <w:rFonts w:ascii="Calibri" w:hAnsi="Calibri" w:cs="Calibri"/>
          <w:sz w:val="22"/>
          <w:szCs w:val="22"/>
        </w:rPr>
      </w:pPr>
    </w:p>
    <w:p w14:paraId="6B0A8E97" w14:textId="77777777" w:rsidR="00790EA7" w:rsidRPr="00E54183" w:rsidRDefault="00790EA7">
      <w:pPr>
        <w:spacing w:line="360" w:lineRule="auto"/>
        <w:rPr>
          <w:rFonts w:ascii="Calibri" w:hAnsi="Calibri" w:cs="Calibri"/>
          <w:sz w:val="22"/>
          <w:szCs w:val="22"/>
        </w:rPr>
      </w:pPr>
    </w:p>
    <w:p w14:paraId="0F0D1C63" w14:textId="77777777" w:rsidR="00790EA7" w:rsidRPr="00792236" w:rsidRDefault="00000000">
      <w:pPr>
        <w:spacing w:before="240" w:after="120" w:line="360" w:lineRule="auto"/>
        <w:rPr>
          <w:rFonts w:ascii="Calibri" w:hAnsi="Calibri" w:cs="Calibri"/>
          <w:b/>
          <w:bCs/>
          <w:sz w:val="22"/>
          <w:szCs w:val="22"/>
        </w:rPr>
      </w:pPr>
      <w:r w:rsidRPr="00792236">
        <w:rPr>
          <w:rFonts w:ascii="Calibri" w:eastAsia="Calibri" w:hAnsi="Calibri" w:cs="Calibri"/>
          <w:b/>
          <w:bCs/>
          <w:sz w:val="22"/>
          <w:szCs w:val="22"/>
        </w:rPr>
        <w:t>References</w:t>
      </w:r>
    </w:p>
    <w:p w14:paraId="0506BA3D"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Career Industry Council of Australia. (2026). Guiding principles for career development services and career information products (3rd ed.). https://www.cica.org.au</w:t>
      </w:r>
    </w:p>
    <w:p w14:paraId="6E237971"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Career Industry Council of Australia. (2026). Professional standards for Australian career development practitioners (5th ed.). https://www.cica.org.au</w:t>
      </w:r>
    </w:p>
    <w:p w14:paraId="61F6E899" w14:textId="77777777" w:rsidR="00790EA7" w:rsidRPr="00E54183" w:rsidRDefault="00000000">
      <w:pPr>
        <w:spacing w:after="120" w:line="360" w:lineRule="auto"/>
        <w:ind w:left="720" w:hanging="720"/>
        <w:rPr>
          <w:rFonts w:ascii="Calibri" w:hAnsi="Calibri" w:cs="Calibri"/>
          <w:sz w:val="22"/>
          <w:szCs w:val="22"/>
        </w:rPr>
      </w:pPr>
      <w:proofErr w:type="spellStart"/>
      <w:r w:rsidRPr="00E54183">
        <w:rPr>
          <w:rFonts w:ascii="Calibri" w:eastAsia="Calibri" w:hAnsi="Calibri" w:cs="Calibri"/>
          <w:sz w:val="22"/>
          <w:szCs w:val="22"/>
        </w:rPr>
        <w:t>Cedefop</w:t>
      </w:r>
      <w:proofErr w:type="spellEnd"/>
      <w:r w:rsidRPr="00E54183">
        <w:rPr>
          <w:rFonts w:ascii="Calibri" w:eastAsia="Calibri" w:hAnsi="Calibri" w:cs="Calibri"/>
          <w:sz w:val="22"/>
          <w:szCs w:val="22"/>
        </w:rPr>
        <w:t>, ETF, European Commission, ICCDPP, ILO, OECD, &amp; UNESCO. (2021). Digital transitions in lifelong guidance: Rethinking careers practitioner professionalism. Publications Office of the European Union.</w:t>
      </w:r>
    </w:p>
    <w:p w14:paraId="58461BDC"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Freidson, E. (2001). Professionalism: The third logic. Polity Press.</w:t>
      </w:r>
    </w:p>
    <w:p w14:paraId="14A79E71"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lastRenderedPageBreak/>
        <w:t>Gough, J., &amp; Neary, S. (2021). The career development profession: Professionalisation, professionalism, and professional identity. In P. J. Robertson, T. Hooley, &amp; P. McCash (Eds.), The Oxford handbook of career development (pp. 556–568). Oxford University Press.</w:t>
      </w:r>
    </w:p>
    <w:p w14:paraId="7D760E84"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International Centre for Career Development and Public Policy. (2019). Career guidance for equity and social justice: Symposium report. ICCDPP.</w:t>
      </w:r>
    </w:p>
    <w:p w14:paraId="3517EA5F"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O’Reilly, V., McMahon, M., &amp; Parker, P. (2020). Career development: Profession or not? Australian Journal of Career Development, 29(2), 79–86. https://doi.org/10.1177/1038416219898548</w:t>
      </w:r>
    </w:p>
    <w:p w14:paraId="7187011F" w14:textId="77777777" w:rsidR="00790EA7" w:rsidRPr="00E54183" w:rsidRDefault="00000000">
      <w:pPr>
        <w:spacing w:after="120" w:line="360" w:lineRule="auto"/>
        <w:ind w:left="720" w:hanging="720"/>
        <w:rPr>
          <w:rFonts w:ascii="Calibri" w:hAnsi="Calibri" w:cs="Calibri"/>
          <w:sz w:val="22"/>
          <w:szCs w:val="22"/>
        </w:rPr>
      </w:pPr>
      <w:r w:rsidRPr="00E54183">
        <w:rPr>
          <w:rFonts w:ascii="Calibri" w:eastAsia="Calibri" w:hAnsi="Calibri" w:cs="Calibri"/>
          <w:sz w:val="22"/>
          <w:szCs w:val="22"/>
        </w:rPr>
        <w:t>Wilensky, H. (1964). The professionalization of everyone? American Journal of Sociology, 70(2), 137–158.</w:t>
      </w:r>
    </w:p>
    <w:sectPr w:rsidR="00790EA7" w:rsidRPr="00E5418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320A0"/>
    <w:multiLevelType w:val="hybridMultilevel"/>
    <w:tmpl w:val="98A477B8"/>
    <w:lvl w:ilvl="0" w:tplc="5548054E">
      <w:start w:val="1"/>
      <w:numFmt w:val="bullet"/>
      <w:lvlText w:val="●"/>
      <w:lvlJc w:val="left"/>
      <w:pPr>
        <w:ind w:left="720" w:hanging="360"/>
      </w:pPr>
    </w:lvl>
    <w:lvl w:ilvl="1" w:tplc="F7D8E2FA">
      <w:start w:val="1"/>
      <w:numFmt w:val="bullet"/>
      <w:lvlText w:val="○"/>
      <w:lvlJc w:val="left"/>
      <w:pPr>
        <w:ind w:left="1440" w:hanging="360"/>
      </w:pPr>
    </w:lvl>
    <w:lvl w:ilvl="2" w:tplc="2BEA143C">
      <w:start w:val="1"/>
      <w:numFmt w:val="bullet"/>
      <w:lvlText w:val="■"/>
      <w:lvlJc w:val="left"/>
      <w:pPr>
        <w:ind w:left="2160" w:hanging="360"/>
      </w:pPr>
    </w:lvl>
    <w:lvl w:ilvl="3" w:tplc="822EA998">
      <w:start w:val="1"/>
      <w:numFmt w:val="bullet"/>
      <w:lvlText w:val="●"/>
      <w:lvlJc w:val="left"/>
      <w:pPr>
        <w:ind w:left="2880" w:hanging="360"/>
      </w:pPr>
    </w:lvl>
    <w:lvl w:ilvl="4" w:tplc="A8F43060">
      <w:start w:val="1"/>
      <w:numFmt w:val="bullet"/>
      <w:lvlText w:val="○"/>
      <w:lvlJc w:val="left"/>
      <w:pPr>
        <w:ind w:left="3600" w:hanging="360"/>
      </w:pPr>
    </w:lvl>
    <w:lvl w:ilvl="5" w:tplc="5AE68682">
      <w:start w:val="1"/>
      <w:numFmt w:val="bullet"/>
      <w:lvlText w:val="■"/>
      <w:lvlJc w:val="left"/>
      <w:pPr>
        <w:ind w:left="4320" w:hanging="360"/>
      </w:pPr>
    </w:lvl>
    <w:lvl w:ilvl="6" w:tplc="B1F0F750">
      <w:start w:val="1"/>
      <w:numFmt w:val="bullet"/>
      <w:lvlText w:val="●"/>
      <w:lvlJc w:val="left"/>
      <w:pPr>
        <w:ind w:left="5040" w:hanging="360"/>
      </w:pPr>
    </w:lvl>
    <w:lvl w:ilvl="7" w:tplc="3AF2C80C">
      <w:start w:val="1"/>
      <w:numFmt w:val="bullet"/>
      <w:lvlText w:val="●"/>
      <w:lvlJc w:val="left"/>
      <w:pPr>
        <w:ind w:left="5760" w:hanging="360"/>
      </w:pPr>
    </w:lvl>
    <w:lvl w:ilvl="8" w:tplc="E83E35F2">
      <w:start w:val="1"/>
      <w:numFmt w:val="bullet"/>
      <w:lvlText w:val="●"/>
      <w:lvlJc w:val="left"/>
      <w:pPr>
        <w:ind w:left="6480" w:hanging="360"/>
      </w:pPr>
    </w:lvl>
  </w:abstractNum>
  <w:num w:numId="1" w16cid:durableId="12326934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EA7"/>
    <w:rsid w:val="00083AC7"/>
    <w:rsid w:val="000C042F"/>
    <w:rsid w:val="001E4ED2"/>
    <w:rsid w:val="00210347"/>
    <w:rsid w:val="0033152C"/>
    <w:rsid w:val="00372A47"/>
    <w:rsid w:val="00436023"/>
    <w:rsid w:val="005E4B7B"/>
    <w:rsid w:val="00790EA7"/>
    <w:rsid w:val="00792236"/>
    <w:rsid w:val="0088443B"/>
    <w:rsid w:val="00952F3C"/>
    <w:rsid w:val="009B309C"/>
    <w:rsid w:val="00A90CB3"/>
    <w:rsid w:val="00BD377C"/>
    <w:rsid w:val="00CF5952"/>
    <w:rsid w:val="00D10147"/>
    <w:rsid w:val="00E541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699C9"/>
  <w15:docId w15:val="{A3ED6331-F3A1-DE42-BCD4-79CA10580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E54183"/>
    <w:rPr>
      <w:sz w:val="16"/>
      <w:szCs w:val="16"/>
    </w:rPr>
  </w:style>
  <w:style w:type="paragraph" w:styleId="CommentText">
    <w:name w:val="annotation text"/>
    <w:basedOn w:val="Normal"/>
    <w:link w:val="CommentTextChar"/>
    <w:uiPriority w:val="99"/>
    <w:unhideWhenUsed/>
    <w:rsid w:val="00E54183"/>
  </w:style>
  <w:style w:type="character" w:customStyle="1" w:styleId="CommentTextChar">
    <w:name w:val="Comment Text Char"/>
    <w:basedOn w:val="DefaultParagraphFont"/>
    <w:link w:val="CommentText"/>
    <w:uiPriority w:val="99"/>
    <w:rsid w:val="00E54183"/>
  </w:style>
  <w:style w:type="paragraph" w:styleId="CommentSubject">
    <w:name w:val="annotation subject"/>
    <w:basedOn w:val="CommentText"/>
    <w:next w:val="CommentText"/>
    <w:link w:val="CommentSubjectChar"/>
    <w:uiPriority w:val="99"/>
    <w:semiHidden/>
    <w:unhideWhenUsed/>
    <w:rsid w:val="00CF5952"/>
    <w:rPr>
      <w:b/>
      <w:bCs/>
    </w:rPr>
  </w:style>
  <w:style w:type="character" w:customStyle="1" w:styleId="CommentSubjectChar">
    <w:name w:val="Comment Subject Char"/>
    <w:basedOn w:val="CommentTextChar"/>
    <w:link w:val="CommentSubject"/>
    <w:uiPriority w:val="99"/>
    <w:semiHidden/>
    <w:rsid w:val="00CF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1969</Words>
  <Characters>13254</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Carney</cp:lastModifiedBy>
  <cp:revision>6</cp:revision>
  <dcterms:created xsi:type="dcterms:W3CDTF">2026-04-16T07:03:00Z</dcterms:created>
  <dcterms:modified xsi:type="dcterms:W3CDTF">2026-04-17T00:46:00Z</dcterms:modified>
</cp:coreProperties>
</file>