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CABA2" w14:textId="77777777" w:rsidR="001E272D" w:rsidRDefault="00F96217" w:rsidP="00EC3C40">
      <w:pPr>
        <w:spacing w:line="360" w:lineRule="auto"/>
        <w:jc w:val="both"/>
        <w:rPr>
          <w:rFonts w:ascii="Calibri" w:hAnsi="Calibri" w:cs="Calibri"/>
          <w:szCs w:val="22"/>
        </w:rPr>
      </w:pPr>
      <w:r>
        <w:rPr>
          <w:rFonts w:ascii="Calibri" w:hAnsi="Calibri" w:cs="Calibri" w:hint="eastAsia"/>
          <w:szCs w:val="22"/>
        </w:rPr>
        <w:t>・</w:t>
      </w:r>
      <w:r w:rsidRPr="00F96217">
        <w:rPr>
          <w:rFonts w:ascii="Calibri" w:hAnsi="Calibri" w:cs="Calibri"/>
          <w:szCs w:val="22"/>
        </w:rPr>
        <w:t>Family name and first name of the first contributor</w:t>
      </w:r>
      <w:r w:rsidR="001E272D">
        <w:rPr>
          <w:rFonts w:ascii="Calibri" w:hAnsi="Calibri" w:cs="Calibri" w:hint="eastAsia"/>
          <w:szCs w:val="22"/>
        </w:rPr>
        <w:t xml:space="preserve">　</w:t>
      </w:r>
    </w:p>
    <w:p w14:paraId="14D6D29F" w14:textId="56361F54" w:rsidR="00F96217" w:rsidRPr="00F96217" w:rsidRDefault="00F96217" w:rsidP="00EC3C40">
      <w:pPr>
        <w:spacing w:line="360" w:lineRule="auto"/>
        <w:jc w:val="both"/>
        <w:rPr>
          <w:rFonts w:ascii="Calibri" w:hAnsi="Calibri" w:cs="Calibri"/>
          <w:szCs w:val="22"/>
        </w:rPr>
      </w:pPr>
      <w:r>
        <w:rPr>
          <w:rFonts w:ascii="Calibri" w:hAnsi="Calibri" w:cs="Calibri" w:hint="eastAsia"/>
          <w:szCs w:val="22"/>
        </w:rPr>
        <w:t>Hashimoto Minori</w:t>
      </w:r>
    </w:p>
    <w:p w14:paraId="6C44B2FA" w14:textId="77777777" w:rsidR="00F96217" w:rsidRDefault="00F96217" w:rsidP="00EC3C40">
      <w:pPr>
        <w:spacing w:line="360" w:lineRule="auto"/>
        <w:jc w:val="both"/>
        <w:rPr>
          <w:rFonts w:ascii="Calibri" w:hAnsi="Calibri" w:cs="Calibri"/>
          <w:szCs w:val="22"/>
        </w:rPr>
      </w:pPr>
    </w:p>
    <w:p w14:paraId="597E2B4C" w14:textId="77777777" w:rsidR="00F96217" w:rsidRDefault="00F96217" w:rsidP="00EC3C40">
      <w:pPr>
        <w:spacing w:line="360" w:lineRule="auto"/>
        <w:jc w:val="both"/>
        <w:rPr>
          <w:rFonts w:ascii="Calibri" w:hAnsi="Calibri" w:cs="Calibri"/>
          <w:szCs w:val="22"/>
        </w:rPr>
      </w:pPr>
      <w:r>
        <w:rPr>
          <w:rFonts w:ascii="Calibri" w:hAnsi="Calibri" w:cs="Calibri" w:hint="eastAsia"/>
          <w:szCs w:val="22"/>
        </w:rPr>
        <w:t>・</w:t>
      </w:r>
      <w:r w:rsidRPr="00F96217">
        <w:rPr>
          <w:rFonts w:ascii="Calibri" w:hAnsi="Calibri" w:cs="Calibri"/>
          <w:szCs w:val="22"/>
        </w:rPr>
        <w:t>Title/position of the first contributor</w:t>
      </w:r>
    </w:p>
    <w:p w14:paraId="39BA2FE9" w14:textId="53D337F3" w:rsidR="00F96217" w:rsidRPr="00F96217" w:rsidRDefault="001E272D" w:rsidP="00EC3C40">
      <w:pPr>
        <w:spacing w:line="360" w:lineRule="auto"/>
        <w:jc w:val="both"/>
        <w:rPr>
          <w:rFonts w:ascii="Calibri" w:hAnsi="Calibri" w:cs="Calibri"/>
          <w:szCs w:val="22"/>
        </w:rPr>
      </w:pPr>
      <w:r>
        <w:rPr>
          <w:rFonts w:ascii="Calibri" w:hAnsi="Calibri" w:cs="Calibri" w:hint="eastAsia"/>
          <w:szCs w:val="22"/>
        </w:rPr>
        <w:t xml:space="preserve">Associate Professor </w:t>
      </w:r>
      <w:r w:rsidR="00F96217" w:rsidRPr="00F96217">
        <w:rPr>
          <w:rFonts w:ascii="Calibri" w:hAnsi="Calibri" w:cs="Calibri"/>
          <w:szCs w:val="22"/>
        </w:rPr>
        <w:t xml:space="preserve"> </w:t>
      </w:r>
    </w:p>
    <w:p w14:paraId="5F9C0B07" w14:textId="77777777" w:rsidR="001E272D" w:rsidRDefault="001E272D" w:rsidP="00EC3C40">
      <w:pPr>
        <w:spacing w:line="360" w:lineRule="auto"/>
        <w:jc w:val="both"/>
        <w:rPr>
          <w:rFonts w:ascii="Calibri" w:hAnsi="Calibri" w:cs="Calibri"/>
          <w:szCs w:val="22"/>
        </w:rPr>
      </w:pPr>
    </w:p>
    <w:p w14:paraId="1627ED82" w14:textId="77777777" w:rsidR="001E272D" w:rsidRDefault="001E272D" w:rsidP="00EC3C40">
      <w:pPr>
        <w:spacing w:line="360" w:lineRule="auto"/>
        <w:jc w:val="both"/>
        <w:rPr>
          <w:rFonts w:ascii="Calibri" w:hAnsi="Calibri" w:cs="Calibri"/>
          <w:szCs w:val="22"/>
        </w:rPr>
      </w:pPr>
      <w:r>
        <w:rPr>
          <w:rFonts w:ascii="Calibri" w:hAnsi="Calibri" w:cs="Calibri" w:hint="eastAsia"/>
          <w:szCs w:val="22"/>
        </w:rPr>
        <w:t>・</w:t>
      </w:r>
      <w:r w:rsidR="00F96217" w:rsidRPr="00F96217">
        <w:rPr>
          <w:rFonts w:ascii="Calibri" w:hAnsi="Calibri" w:cs="Calibri"/>
          <w:szCs w:val="22"/>
        </w:rPr>
        <w:t>E-mail of the first contributor</w:t>
      </w:r>
    </w:p>
    <w:p w14:paraId="36CCCDBE" w14:textId="3AA57944" w:rsidR="00F96217" w:rsidRPr="00F96217" w:rsidRDefault="001E272D" w:rsidP="00EC3C40">
      <w:pPr>
        <w:spacing w:line="360" w:lineRule="auto"/>
        <w:jc w:val="both"/>
        <w:rPr>
          <w:rFonts w:ascii="Calibri" w:hAnsi="Calibri" w:cs="Calibri"/>
          <w:szCs w:val="22"/>
        </w:rPr>
      </w:pPr>
      <w:r w:rsidRPr="001E272D">
        <w:rPr>
          <w:rFonts w:ascii="Calibri" w:hAnsi="Calibri" w:cs="Calibri"/>
          <w:szCs w:val="22"/>
        </w:rPr>
        <w:t>minori.hashimoto@komatsu-u.ac.jp</w:t>
      </w:r>
      <w:r w:rsidR="00F96217" w:rsidRPr="00F96217">
        <w:rPr>
          <w:rFonts w:ascii="Calibri" w:hAnsi="Calibri" w:cs="Calibri"/>
          <w:szCs w:val="22"/>
        </w:rPr>
        <w:t xml:space="preserve"> </w:t>
      </w:r>
    </w:p>
    <w:p w14:paraId="4A69E68A" w14:textId="77777777" w:rsidR="001E272D" w:rsidRDefault="001E272D" w:rsidP="00EC3C40">
      <w:pPr>
        <w:spacing w:line="360" w:lineRule="auto"/>
        <w:jc w:val="both"/>
        <w:rPr>
          <w:rFonts w:ascii="Calibri" w:hAnsi="Calibri" w:cs="Calibri"/>
          <w:szCs w:val="22"/>
        </w:rPr>
      </w:pPr>
    </w:p>
    <w:p w14:paraId="69FDD287" w14:textId="3EE0DEE1" w:rsidR="00F96217" w:rsidRDefault="001E272D" w:rsidP="00EC3C40">
      <w:pPr>
        <w:spacing w:line="360" w:lineRule="auto"/>
        <w:jc w:val="both"/>
        <w:rPr>
          <w:rFonts w:ascii="Calibri" w:hAnsi="Calibri" w:cs="Calibri"/>
          <w:szCs w:val="22"/>
        </w:rPr>
      </w:pPr>
      <w:r>
        <w:rPr>
          <w:rFonts w:ascii="Calibri" w:hAnsi="Calibri" w:cs="Calibri" w:hint="eastAsia"/>
          <w:szCs w:val="22"/>
        </w:rPr>
        <w:t>・</w:t>
      </w:r>
      <w:r w:rsidR="00F96217" w:rsidRPr="00F96217">
        <w:rPr>
          <w:rFonts w:ascii="Calibri" w:hAnsi="Calibri" w:cs="Calibri"/>
          <w:szCs w:val="22"/>
        </w:rPr>
        <w:t xml:space="preserve">Institution to which the first contributor/author belongs </w:t>
      </w:r>
    </w:p>
    <w:p w14:paraId="6B2CA2FA" w14:textId="2A7553CC" w:rsidR="001E272D" w:rsidRPr="00F96217" w:rsidRDefault="001E272D" w:rsidP="00EC3C40">
      <w:pPr>
        <w:spacing w:line="360" w:lineRule="auto"/>
        <w:jc w:val="both"/>
        <w:rPr>
          <w:rFonts w:ascii="Calibri" w:hAnsi="Calibri" w:cs="Calibri"/>
          <w:szCs w:val="22"/>
        </w:rPr>
      </w:pPr>
      <w:r>
        <w:rPr>
          <w:rFonts w:ascii="Calibri" w:hAnsi="Calibri" w:cs="Calibri" w:hint="eastAsia"/>
          <w:szCs w:val="22"/>
        </w:rPr>
        <w:t xml:space="preserve"> Komatsu University</w:t>
      </w:r>
    </w:p>
    <w:p w14:paraId="197F8588" w14:textId="77777777" w:rsidR="001E272D" w:rsidRDefault="001E272D" w:rsidP="00EC3C40">
      <w:pPr>
        <w:spacing w:line="360" w:lineRule="auto"/>
        <w:jc w:val="both"/>
        <w:rPr>
          <w:rFonts w:ascii="Calibri" w:hAnsi="Calibri" w:cs="Calibri"/>
          <w:szCs w:val="22"/>
        </w:rPr>
      </w:pPr>
    </w:p>
    <w:p w14:paraId="49828372" w14:textId="594E678D" w:rsidR="00F96217" w:rsidRPr="00F96217" w:rsidRDefault="001E272D" w:rsidP="00EC3C40">
      <w:pPr>
        <w:spacing w:line="360" w:lineRule="auto"/>
        <w:jc w:val="both"/>
        <w:rPr>
          <w:rFonts w:ascii="Calibri" w:hAnsi="Calibri" w:cs="Calibri"/>
          <w:szCs w:val="22"/>
        </w:rPr>
      </w:pPr>
      <w:r>
        <w:rPr>
          <w:rFonts w:ascii="Calibri" w:hAnsi="Calibri" w:cs="Calibri" w:hint="eastAsia"/>
          <w:szCs w:val="22"/>
        </w:rPr>
        <w:t>・</w:t>
      </w:r>
      <w:r w:rsidR="00F96217" w:rsidRPr="00F96217">
        <w:rPr>
          <w:rFonts w:ascii="Calibri" w:hAnsi="Calibri" w:cs="Calibri"/>
          <w:szCs w:val="22"/>
        </w:rPr>
        <w:t xml:space="preserve">Family name, first name, institution and title/position of presenters at the conference </w:t>
      </w:r>
    </w:p>
    <w:p w14:paraId="091C3690" w14:textId="0514C6FE" w:rsidR="00F96217" w:rsidRDefault="001E272D" w:rsidP="00EC3C40">
      <w:pPr>
        <w:spacing w:line="360" w:lineRule="auto"/>
        <w:jc w:val="both"/>
        <w:rPr>
          <w:rFonts w:ascii="Calibri" w:hAnsi="Calibri" w:cs="Calibri"/>
          <w:szCs w:val="22"/>
        </w:rPr>
      </w:pPr>
      <w:r>
        <w:rPr>
          <w:rFonts w:ascii="Calibri" w:hAnsi="Calibri" w:cs="Calibri" w:hint="eastAsia"/>
          <w:szCs w:val="22"/>
        </w:rPr>
        <w:t>Hashimoto Minori</w:t>
      </w:r>
      <w:r>
        <w:rPr>
          <w:rFonts w:ascii="Calibri" w:hAnsi="Calibri" w:cs="Calibri" w:hint="eastAsia"/>
          <w:szCs w:val="22"/>
        </w:rPr>
        <w:t xml:space="preserve">　</w:t>
      </w:r>
      <w:r>
        <w:rPr>
          <w:rFonts w:ascii="Calibri" w:hAnsi="Calibri" w:cs="Calibri" w:hint="eastAsia"/>
          <w:szCs w:val="22"/>
        </w:rPr>
        <w:t>Komatsu University</w:t>
      </w:r>
      <w:r>
        <w:rPr>
          <w:rFonts w:ascii="Calibri" w:hAnsi="Calibri" w:cs="Calibri" w:hint="eastAsia"/>
          <w:szCs w:val="22"/>
        </w:rPr>
        <w:t xml:space="preserve">　</w:t>
      </w:r>
      <w:r>
        <w:rPr>
          <w:rFonts w:ascii="Calibri" w:hAnsi="Calibri" w:cs="Calibri" w:hint="eastAsia"/>
          <w:szCs w:val="22"/>
        </w:rPr>
        <w:t>Associate Professor</w:t>
      </w:r>
    </w:p>
    <w:p w14:paraId="3EC46F6C" w14:textId="77777777" w:rsidR="00F96217" w:rsidRPr="00F96217" w:rsidRDefault="00F96217" w:rsidP="00EC3C40">
      <w:pPr>
        <w:spacing w:line="360" w:lineRule="auto"/>
        <w:jc w:val="both"/>
        <w:rPr>
          <w:rFonts w:ascii="Calibri" w:hAnsi="Calibri" w:cs="Calibri"/>
          <w:szCs w:val="22"/>
        </w:rPr>
      </w:pPr>
    </w:p>
    <w:p w14:paraId="3FA9374E" w14:textId="11798366" w:rsidR="00F96217" w:rsidRDefault="00F96217" w:rsidP="00EC3C40">
      <w:pPr>
        <w:spacing w:line="360" w:lineRule="auto"/>
        <w:jc w:val="both"/>
        <w:rPr>
          <w:rFonts w:ascii="Calibri" w:hAnsi="Calibri" w:cs="Calibri"/>
          <w:szCs w:val="22"/>
        </w:rPr>
      </w:pPr>
      <w:r w:rsidRPr="00F96217">
        <w:rPr>
          <w:rFonts w:ascii="Calibri" w:hAnsi="Calibri" w:cs="Calibri"/>
          <w:szCs w:val="22"/>
        </w:rPr>
        <w:t>・</w:t>
      </w:r>
      <w:r w:rsidRPr="00F96217">
        <w:rPr>
          <w:rFonts w:ascii="Calibri" w:hAnsi="Calibri" w:cs="Calibri"/>
          <w:szCs w:val="22"/>
        </w:rPr>
        <w:t>Title of poster</w:t>
      </w:r>
    </w:p>
    <w:p w14:paraId="7D8F0866" w14:textId="26C98CCC" w:rsidR="006E595C" w:rsidRDefault="00DF1B9E" w:rsidP="00EC3C40">
      <w:pPr>
        <w:spacing w:line="360" w:lineRule="auto"/>
        <w:jc w:val="both"/>
        <w:rPr>
          <w:rFonts w:ascii="Calibri" w:hAnsi="Calibri" w:cs="Calibri"/>
        </w:rPr>
      </w:pPr>
      <w:r w:rsidRPr="00DF1B9E">
        <w:rPr>
          <w:rFonts w:ascii="Calibri" w:hAnsi="Calibri" w:cs="Calibri"/>
        </w:rPr>
        <w:t>Shifts in Meaning of Work under Corporate Logic among Administrators at Japanese National Universities</w:t>
      </w:r>
    </w:p>
    <w:p w14:paraId="3EEC3173" w14:textId="77777777" w:rsidR="00DF1B9E" w:rsidRDefault="00DF1B9E" w:rsidP="00EC3C40">
      <w:pPr>
        <w:spacing w:line="360" w:lineRule="auto"/>
        <w:jc w:val="both"/>
        <w:rPr>
          <w:rFonts w:ascii="Calibri" w:hAnsi="Calibri" w:cs="Calibri"/>
          <w:szCs w:val="22"/>
        </w:rPr>
      </w:pPr>
    </w:p>
    <w:p w14:paraId="7C7D7ECF" w14:textId="5EA5F8B6" w:rsidR="00F96217" w:rsidRDefault="00F96217" w:rsidP="00EC3C40">
      <w:pPr>
        <w:spacing w:line="360" w:lineRule="auto"/>
        <w:jc w:val="both"/>
        <w:rPr>
          <w:rFonts w:ascii="Calibri" w:hAnsi="Calibri" w:cs="Calibri"/>
          <w:szCs w:val="22"/>
        </w:rPr>
      </w:pPr>
      <w:r>
        <w:rPr>
          <w:rFonts w:ascii="Calibri" w:hAnsi="Calibri" w:cs="Calibri" w:hint="eastAsia"/>
          <w:szCs w:val="22"/>
        </w:rPr>
        <w:t>・</w:t>
      </w:r>
      <w:r>
        <w:rPr>
          <w:rFonts w:ascii="Calibri" w:hAnsi="Calibri" w:cs="Calibri" w:hint="eastAsia"/>
          <w:szCs w:val="22"/>
        </w:rPr>
        <w:t>T</w:t>
      </w:r>
      <w:r w:rsidRPr="00F96217">
        <w:rPr>
          <w:rFonts w:ascii="Calibri" w:hAnsi="Calibri" w:cs="Calibri"/>
          <w:szCs w:val="22"/>
        </w:rPr>
        <w:t>he conference theme</w:t>
      </w:r>
    </w:p>
    <w:p w14:paraId="7F9D3C51" w14:textId="336091EE" w:rsidR="00F96217" w:rsidRDefault="001E272D" w:rsidP="00EC3C40">
      <w:pPr>
        <w:spacing w:line="360" w:lineRule="auto"/>
        <w:jc w:val="both"/>
        <w:rPr>
          <w:rFonts w:ascii="Calibri" w:hAnsi="Calibri" w:cs="Calibri"/>
          <w:szCs w:val="22"/>
        </w:rPr>
      </w:pPr>
      <w:r w:rsidRPr="001E272D">
        <w:rPr>
          <w:rFonts w:ascii="Calibri" w:hAnsi="Calibri" w:cs="Calibri"/>
          <w:szCs w:val="22"/>
        </w:rPr>
        <w:t>Research</w:t>
      </w:r>
    </w:p>
    <w:p w14:paraId="01517B96" w14:textId="77777777" w:rsidR="001E272D" w:rsidRDefault="001E272D" w:rsidP="00EC3C40">
      <w:pPr>
        <w:spacing w:line="360" w:lineRule="auto"/>
        <w:jc w:val="both"/>
        <w:rPr>
          <w:rFonts w:ascii="Calibri" w:hAnsi="Calibri" w:cs="Calibri"/>
          <w:szCs w:val="22"/>
        </w:rPr>
      </w:pPr>
    </w:p>
    <w:p w14:paraId="0B0D7438" w14:textId="4687DD71" w:rsidR="00F96217" w:rsidRDefault="00F96217" w:rsidP="00EC3C40">
      <w:pPr>
        <w:spacing w:line="360" w:lineRule="auto"/>
        <w:jc w:val="both"/>
        <w:rPr>
          <w:rFonts w:ascii="Calibri" w:hAnsi="Calibri" w:cs="Calibri"/>
          <w:szCs w:val="22"/>
        </w:rPr>
      </w:pPr>
      <w:r>
        <w:rPr>
          <w:rFonts w:ascii="Calibri" w:hAnsi="Calibri" w:cs="Calibri" w:hint="eastAsia"/>
          <w:szCs w:val="22"/>
        </w:rPr>
        <w:t>・</w:t>
      </w:r>
      <w:r w:rsidRPr="00F96217">
        <w:rPr>
          <w:rFonts w:ascii="Calibri" w:hAnsi="Calibri" w:cs="Calibri"/>
          <w:szCs w:val="22"/>
        </w:rPr>
        <w:t xml:space="preserve">Presentation language at the conference </w:t>
      </w:r>
    </w:p>
    <w:p w14:paraId="0D55D519" w14:textId="53B77ED2" w:rsidR="00F96217" w:rsidRPr="00F96217" w:rsidRDefault="00F96217" w:rsidP="00EC3C40">
      <w:pPr>
        <w:spacing w:line="360" w:lineRule="auto"/>
        <w:jc w:val="both"/>
        <w:rPr>
          <w:rFonts w:ascii="Calibri" w:hAnsi="Calibri" w:cs="Calibri"/>
          <w:szCs w:val="22"/>
        </w:rPr>
      </w:pPr>
      <w:r>
        <w:rPr>
          <w:rFonts w:ascii="Calibri" w:hAnsi="Calibri" w:cs="Calibri" w:hint="eastAsia"/>
          <w:szCs w:val="22"/>
        </w:rPr>
        <w:t xml:space="preserve">English </w:t>
      </w:r>
    </w:p>
    <w:p w14:paraId="3BA8B4AF" w14:textId="77777777" w:rsidR="00F96217" w:rsidRDefault="00F96217" w:rsidP="00EC3C40">
      <w:pPr>
        <w:spacing w:line="360" w:lineRule="auto"/>
        <w:jc w:val="both"/>
        <w:rPr>
          <w:rFonts w:ascii="Calibri" w:hAnsi="Calibri" w:cs="Calibri"/>
          <w:szCs w:val="22"/>
        </w:rPr>
      </w:pPr>
    </w:p>
    <w:p w14:paraId="1E304962" w14:textId="7FA235C7" w:rsidR="00F96217" w:rsidRPr="0084449A" w:rsidRDefault="00F96217" w:rsidP="00EC3C40">
      <w:pPr>
        <w:spacing w:line="360" w:lineRule="auto"/>
        <w:jc w:val="both"/>
        <w:rPr>
          <w:rFonts w:ascii="Calibri" w:hAnsi="Calibri" w:cs="Calibri"/>
          <w:i/>
          <w:iCs/>
          <w:szCs w:val="22"/>
        </w:rPr>
      </w:pPr>
      <w:r w:rsidRPr="0084449A">
        <w:rPr>
          <w:rFonts w:ascii="Calibri" w:hAnsi="Calibri" w:cs="Calibri"/>
          <w:szCs w:val="22"/>
        </w:rPr>
        <w:t>・</w:t>
      </w:r>
      <w:r w:rsidRPr="00F96217">
        <w:rPr>
          <w:rFonts w:ascii="Calibri" w:hAnsi="Calibri" w:cs="Calibri"/>
          <w:szCs w:val="22"/>
        </w:rPr>
        <w:t xml:space="preserve">Abstract maximum 600 words – </w:t>
      </w:r>
      <w:r w:rsidRPr="00F96217">
        <w:rPr>
          <w:rFonts w:ascii="Calibri" w:hAnsi="Calibri" w:cs="Calibri"/>
          <w:i/>
          <w:iCs/>
          <w:szCs w:val="22"/>
        </w:rPr>
        <w:t xml:space="preserve">will be published </w:t>
      </w:r>
      <w:r w:rsidR="0084449A">
        <w:rPr>
          <w:rFonts w:ascii="Calibri" w:hAnsi="Calibri" w:cs="Calibri" w:hint="eastAsia"/>
          <w:i/>
          <w:iCs/>
          <w:szCs w:val="22"/>
        </w:rPr>
        <w:t xml:space="preserve"> </w:t>
      </w:r>
    </w:p>
    <w:p w14:paraId="1D479818" w14:textId="0B016615" w:rsidR="000A6202" w:rsidRPr="00A63C19" w:rsidRDefault="000A6202" w:rsidP="00EC3C40">
      <w:pPr>
        <w:spacing w:line="360" w:lineRule="auto"/>
        <w:jc w:val="both"/>
        <w:rPr>
          <w:rFonts w:ascii="Calibri" w:hAnsi="Calibri" w:cs="Calibri"/>
          <w:szCs w:val="22"/>
        </w:rPr>
      </w:pPr>
      <w:r w:rsidRPr="00A63C19">
        <w:rPr>
          <w:rFonts w:ascii="Calibri" w:hAnsi="Calibri" w:cs="Calibri"/>
          <w:b/>
          <w:bCs/>
          <w:szCs w:val="22"/>
        </w:rPr>
        <w:t>Introduction</w:t>
      </w:r>
      <w:r w:rsidRPr="00A63C19">
        <w:rPr>
          <w:rFonts w:ascii="Calibri" w:hAnsi="Calibri" w:cs="Calibri"/>
          <w:szCs w:val="22"/>
        </w:rPr>
        <w:br/>
      </w:r>
      <w:r w:rsidR="003C3E91" w:rsidRPr="003C3E91">
        <w:rPr>
          <w:rFonts w:ascii="Calibri" w:hAnsi="Calibri" w:cs="Calibri"/>
          <w:szCs w:val="22"/>
        </w:rPr>
        <w:t xml:space="preserve">The environment surrounding Japanese national universities has changed significantly due to declining birth rates, reductions in management expense grants, and the expansion of competitive funding. In this context, </w:t>
      </w:r>
      <w:proofErr w:type="gramStart"/>
      <w:r w:rsidR="003C3E91" w:rsidRPr="003C3E91">
        <w:rPr>
          <w:rFonts w:ascii="Calibri" w:hAnsi="Calibri" w:cs="Calibri"/>
          <w:szCs w:val="22"/>
        </w:rPr>
        <w:t>a corporate</w:t>
      </w:r>
      <w:proofErr w:type="gramEnd"/>
      <w:r w:rsidR="003C3E91" w:rsidRPr="003C3E91">
        <w:rPr>
          <w:rFonts w:ascii="Calibri" w:hAnsi="Calibri" w:cs="Calibri"/>
          <w:szCs w:val="22"/>
        </w:rPr>
        <w:t xml:space="preserve"> institutional logic that emphasizes performance and strategy has increasingly </w:t>
      </w:r>
      <w:r w:rsidR="003C3E91" w:rsidRPr="003C3E91">
        <w:rPr>
          <w:rFonts w:ascii="Calibri" w:hAnsi="Calibri" w:cs="Calibri"/>
          <w:szCs w:val="22"/>
        </w:rPr>
        <w:lastRenderedPageBreak/>
        <w:t xml:space="preserve">permeated national universities, alongside their traditional public mission and stability. Consequently, administrative managers are now expected to assume more advanced and </w:t>
      </w:r>
      <w:proofErr w:type="gramStart"/>
      <w:r w:rsidR="003C3E91" w:rsidRPr="003C3E91">
        <w:rPr>
          <w:rFonts w:ascii="Calibri" w:hAnsi="Calibri" w:cs="Calibri"/>
          <w:szCs w:val="22"/>
        </w:rPr>
        <w:t>nonroutine</w:t>
      </w:r>
      <w:proofErr w:type="gramEnd"/>
      <w:r w:rsidR="003C3E91" w:rsidRPr="003C3E91">
        <w:rPr>
          <w:rFonts w:ascii="Calibri" w:hAnsi="Calibri" w:cs="Calibri"/>
          <w:szCs w:val="22"/>
        </w:rPr>
        <w:t xml:space="preserve"> roles.</w:t>
      </w:r>
    </w:p>
    <w:p w14:paraId="5EA293B4" w14:textId="75C8A968" w:rsidR="000A6202" w:rsidRPr="00A63C19" w:rsidRDefault="000A6202" w:rsidP="00EC3C40">
      <w:pPr>
        <w:spacing w:line="360" w:lineRule="auto"/>
        <w:jc w:val="both"/>
        <w:rPr>
          <w:rFonts w:ascii="Calibri" w:hAnsi="Calibri" w:cs="Calibri"/>
          <w:szCs w:val="22"/>
        </w:rPr>
      </w:pPr>
      <w:r w:rsidRPr="00A63C19">
        <w:rPr>
          <w:rFonts w:ascii="Calibri" w:hAnsi="Calibri" w:cs="Calibri"/>
          <w:b/>
          <w:bCs/>
          <w:szCs w:val="22"/>
        </w:rPr>
        <w:t>Objective</w:t>
      </w:r>
      <w:r w:rsidRPr="00A63C19">
        <w:rPr>
          <w:rFonts w:ascii="Calibri" w:hAnsi="Calibri" w:cs="Calibri"/>
          <w:szCs w:val="22"/>
        </w:rPr>
        <w:br/>
      </w:r>
      <w:r w:rsidR="003C3E91" w:rsidRPr="003C3E91">
        <w:rPr>
          <w:rFonts w:ascii="Calibri" w:hAnsi="Calibri" w:cs="Calibri"/>
          <w:szCs w:val="22"/>
        </w:rPr>
        <w:t>This study aims to clarify how administrative managers at Japanese national universities respond to role changes, associated conflicts, and shifts in the meaning of work under these changing conditions.</w:t>
      </w:r>
    </w:p>
    <w:p w14:paraId="1E094911" w14:textId="02418747" w:rsidR="000A6202" w:rsidRPr="00A63C19" w:rsidRDefault="00B1704E" w:rsidP="00EC3C40">
      <w:pPr>
        <w:spacing w:line="360" w:lineRule="auto"/>
        <w:jc w:val="both"/>
        <w:rPr>
          <w:rFonts w:ascii="Calibri" w:hAnsi="Calibri" w:cs="Calibri"/>
          <w:szCs w:val="22"/>
        </w:rPr>
      </w:pPr>
      <w:r w:rsidRPr="00B1704E">
        <w:rPr>
          <w:rFonts w:ascii="Calibri" w:hAnsi="Calibri" w:cs="Calibri"/>
          <w:b/>
          <w:bCs/>
          <w:szCs w:val="22"/>
        </w:rPr>
        <w:t>Theoretical Basis</w:t>
      </w:r>
      <w:r w:rsidR="000A6202" w:rsidRPr="00A63C19">
        <w:rPr>
          <w:rFonts w:ascii="Calibri" w:hAnsi="Calibri" w:cs="Calibri"/>
          <w:szCs w:val="22"/>
        </w:rPr>
        <w:br/>
      </w:r>
      <w:r w:rsidR="003C3E91" w:rsidRPr="003C3E91">
        <w:rPr>
          <w:rFonts w:ascii="Calibri" w:hAnsi="Calibri" w:cs="Calibri"/>
          <w:szCs w:val="22"/>
        </w:rPr>
        <w:t>This study adopts the institutional logics perspective to examine changes in managerial roles and the meaning of work, based on the view that meanings of work are formed at the intersection of multiple institutional logics.</w:t>
      </w:r>
    </w:p>
    <w:p w14:paraId="6544E17F" w14:textId="2F381F5C" w:rsidR="000A6202" w:rsidRPr="00A63C19" w:rsidRDefault="000A6202" w:rsidP="00EC3C40">
      <w:pPr>
        <w:spacing w:line="360" w:lineRule="auto"/>
        <w:jc w:val="both"/>
        <w:rPr>
          <w:rFonts w:ascii="Calibri" w:hAnsi="Calibri" w:cs="Calibri"/>
          <w:szCs w:val="22"/>
        </w:rPr>
      </w:pPr>
      <w:r w:rsidRPr="00A63C19">
        <w:rPr>
          <w:rFonts w:ascii="Calibri" w:hAnsi="Calibri" w:cs="Calibri"/>
          <w:b/>
          <w:bCs/>
          <w:szCs w:val="22"/>
        </w:rPr>
        <w:t>Methodology</w:t>
      </w:r>
      <w:r w:rsidRPr="00A63C19">
        <w:rPr>
          <w:rFonts w:ascii="Calibri" w:hAnsi="Calibri" w:cs="Calibri"/>
          <w:szCs w:val="22"/>
        </w:rPr>
        <w:br/>
      </w:r>
      <w:r w:rsidR="003C3E91" w:rsidRPr="003C3E91">
        <w:rPr>
          <w:rFonts w:ascii="Calibri" w:hAnsi="Calibri" w:cs="Calibri"/>
          <w:szCs w:val="22"/>
        </w:rPr>
        <w:t>Seven administrative managers at mid-sized National University A, located in a regional area of Japan, participated in semi-structured face-to-face interviews. The interview data were organized into 446 meaning units and deductively coded using thematic analysis. Specifically, each meaning unit was coded from two perspectives: first, the basis of legitimacy and taken-for-granted assumptions embedded in the utterance; and second, the nature of the work being described. Based on Thornton et al. (2012), six institutional logics were employed as coding categories: family, community, state, market, profession, and corporation.</w:t>
      </w:r>
    </w:p>
    <w:p w14:paraId="1E8BBA8D" w14:textId="45532E83" w:rsidR="000A6202" w:rsidRPr="00A63C19" w:rsidRDefault="000A6202" w:rsidP="00EC3C40">
      <w:pPr>
        <w:spacing w:line="360" w:lineRule="auto"/>
        <w:jc w:val="both"/>
        <w:rPr>
          <w:rFonts w:ascii="Calibri" w:hAnsi="Calibri" w:cs="Calibri"/>
          <w:szCs w:val="22"/>
        </w:rPr>
      </w:pPr>
      <w:r w:rsidRPr="00A63C19">
        <w:rPr>
          <w:rFonts w:ascii="Calibri" w:hAnsi="Calibri" w:cs="Calibri"/>
          <w:b/>
          <w:bCs/>
          <w:szCs w:val="22"/>
        </w:rPr>
        <w:t>Results</w:t>
      </w:r>
      <w:r w:rsidRPr="00A63C19">
        <w:rPr>
          <w:rFonts w:ascii="Calibri" w:hAnsi="Calibri" w:cs="Calibri"/>
          <w:szCs w:val="22"/>
        </w:rPr>
        <w:br/>
      </w:r>
      <w:r w:rsidR="003C3E91" w:rsidRPr="003C3E91">
        <w:rPr>
          <w:rFonts w:ascii="Calibri" w:hAnsi="Calibri" w:cs="Calibri"/>
          <w:szCs w:val="22"/>
        </w:rPr>
        <w:t>The legitimacy of administrative managers’ work was supported mainly by state and community logics, whereas recent work was more strongly characterized by corporate logic. This discrepancy engendered both conflict and instability in the meaning of work. For example, some participants described difficulty coping with newly assigned top-down tasks that required planning, coordination, and managerial judgment, unlike the procedural and rule-based work in which they had built their careers. In response, they showed several ways of coping, such as partially incorporating corporate logic and updating their views of work, relying on a sense of community to support people and places, rediscovering the value of their own work, and moving forward by integrating their experiences.</w:t>
      </w:r>
    </w:p>
    <w:p w14:paraId="2E39D0ED" w14:textId="77777777" w:rsidR="00F5477C" w:rsidRPr="00A63C19" w:rsidRDefault="00F5477C" w:rsidP="00EC3C40">
      <w:pPr>
        <w:spacing w:line="360" w:lineRule="auto"/>
        <w:jc w:val="both"/>
        <w:rPr>
          <w:rFonts w:ascii="Calibri" w:hAnsi="Calibri" w:cs="Calibri"/>
          <w:b/>
          <w:bCs/>
          <w:szCs w:val="22"/>
        </w:rPr>
      </w:pPr>
      <w:r w:rsidRPr="00A63C19">
        <w:rPr>
          <w:rFonts w:ascii="Calibri" w:hAnsi="Calibri" w:cs="Calibri"/>
          <w:b/>
          <w:bCs/>
          <w:szCs w:val="22"/>
        </w:rPr>
        <w:t>Conclusions</w:t>
      </w:r>
    </w:p>
    <w:p w14:paraId="04597D7B" w14:textId="635BDE47" w:rsidR="00AD60E6" w:rsidRDefault="003C3E91" w:rsidP="00EC3C40">
      <w:pPr>
        <w:spacing w:line="360" w:lineRule="auto"/>
        <w:jc w:val="both"/>
        <w:rPr>
          <w:rFonts w:ascii="Calibri" w:hAnsi="Calibri" w:cs="Calibri"/>
          <w:szCs w:val="22"/>
        </w:rPr>
      </w:pPr>
      <w:r w:rsidRPr="003C3E91">
        <w:rPr>
          <w:rFonts w:ascii="Calibri" w:hAnsi="Calibri" w:cs="Calibri"/>
          <w:szCs w:val="22"/>
        </w:rPr>
        <w:t xml:space="preserve">The role perceptions that these administrative managers had long held were supported primarily by state and community logics. However, as corporate logic has increasingly permeated their work, conflicts have emerged between these earlier role perceptions and newly demanded roles. As the context surrounding the self and work has changed, they have experienced instability in the meaning of work. Future research should expand the number of participants and further examine conflicts among different logics, as well as differences by career background and generation. The findings suggest that career support for university </w:t>
      </w:r>
      <w:r w:rsidRPr="003C3E91">
        <w:rPr>
          <w:rFonts w:ascii="Calibri" w:hAnsi="Calibri" w:cs="Calibri"/>
          <w:szCs w:val="22"/>
        </w:rPr>
        <w:lastRenderedPageBreak/>
        <w:t>administrative staff should focus not only on the advancement of competencies but also on helping them reinterpret and integrate their work experiences amid changing institutional demands.</w:t>
      </w:r>
    </w:p>
    <w:p w14:paraId="14CEE184" w14:textId="77777777" w:rsidR="00B1704E" w:rsidRDefault="00B1704E" w:rsidP="00EC3C40">
      <w:pPr>
        <w:pStyle w:val="Web"/>
        <w:shd w:val="clear" w:color="auto" w:fill="FFFFFF"/>
        <w:spacing w:before="0" w:beforeAutospacing="0" w:after="0" w:afterAutospacing="0" w:line="360" w:lineRule="auto"/>
        <w:ind w:left="720" w:right="74" w:hanging="720"/>
        <w:rPr>
          <w:rFonts w:ascii="Calibri" w:eastAsiaTheme="minorEastAsia" w:hAnsi="Calibri" w:cs="Calibri"/>
          <w:b/>
          <w:bCs/>
          <w:kern w:val="2"/>
          <w:sz w:val="22"/>
          <w:szCs w:val="22"/>
          <w14:ligatures w14:val="standardContextual"/>
        </w:rPr>
      </w:pPr>
      <w:r w:rsidRPr="00B1704E">
        <w:rPr>
          <w:rFonts w:ascii="Calibri" w:eastAsiaTheme="minorEastAsia" w:hAnsi="Calibri" w:cs="Calibri"/>
          <w:b/>
          <w:bCs/>
          <w:kern w:val="2"/>
          <w:sz w:val="22"/>
          <w:szCs w:val="22"/>
          <w14:ligatures w14:val="standardContextual"/>
        </w:rPr>
        <w:t>Bibliographical References</w:t>
      </w:r>
    </w:p>
    <w:p w14:paraId="39FF530D" w14:textId="6A7B3C8D" w:rsidR="003C3E91" w:rsidRDefault="003C3E91" w:rsidP="00EC3C40">
      <w:pPr>
        <w:pStyle w:val="Web"/>
        <w:shd w:val="clear" w:color="auto" w:fill="FFFFFF"/>
        <w:spacing w:before="0" w:beforeAutospacing="0" w:after="0" w:afterAutospacing="0" w:line="360" w:lineRule="auto"/>
        <w:ind w:left="720" w:right="74" w:hanging="720"/>
        <w:rPr>
          <w:rFonts w:ascii="Calibri" w:hAnsi="Calibri" w:cs="Calibri"/>
          <w:color w:val="000000"/>
          <w:sz w:val="22"/>
          <w:szCs w:val="22"/>
        </w:rPr>
      </w:pPr>
      <w:r w:rsidRPr="003C3E91">
        <w:rPr>
          <w:rFonts w:ascii="Calibri" w:hAnsi="Calibri" w:cs="Calibri"/>
          <w:color w:val="000000"/>
          <w:sz w:val="22"/>
          <w:szCs w:val="22"/>
        </w:rPr>
        <w:t xml:space="preserve">Braun, V., &amp; Clarke, V. (2021). </w:t>
      </w:r>
      <w:r w:rsidRPr="003C3E91">
        <w:rPr>
          <w:rFonts w:ascii="Calibri" w:hAnsi="Calibri" w:cs="Calibri"/>
          <w:i/>
          <w:iCs/>
          <w:color w:val="000000"/>
          <w:sz w:val="22"/>
          <w:szCs w:val="22"/>
        </w:rPr>
        <w:t>Thematic analysis: A practical guide.</w:t>
      </w:r>
      <w:r w:rsidRPr="003C3E91">
        <w:rPr>
          <w:rFonts w:ascii="Calibri" w:hAnsi="Calibri" w:cs="Calibri"/>
          <w:color w:val="000000"/>
          <w:sz w:val="22"/>
          <w:szCs w:val="22"/>
        </w:rPr>
        <w:t xml:space="preserve"> SAGE.</w:t>
      </w:r>
    </w:p>
    <w:p w14:paraId="553BA797" w14:textId="76D08EB3" w:rsidR="000A6202" w:rsidRPr="00A63C19" w:rsidRDefault="00AD60E6" w:rsidP="00EC3C40">
      <w:pPr>
        <w:pStyle w:val="Web"/>
        <w:shd w:val="clear" w:color="auto" w:fill="FFFFFF"/>
        <w:spacing w:before="0" w:beforeAutospacing="0" w:after="0" w:afterAutospacing="0" w:line="360" w:lineRule="auto"/>
        <w:ind w:left="720" w:right="74" w:hanging="720"/>
        <w:rPr>
          <w:rFonts w:ascii="Calibri" w:hAnsi="Calibri" w:cs="Calibri"/>
          <w:color w:val="000000"/>
          <w:sz w:val="22"/>
          <w:szCs w:val="22"/>
        </w:rPr>
      </w:pPr>
      <w:r w:rsidRPr="00AD60E6">
        <w:rPr>
          <w:rFonts w:ascii="Calibri" w:hAnsi="Calibri" w:cs="Calibri"/>
          <w:color w:val="000000"/>
          <w:sz w:val="22"/>
          <w:szCs w:val="22"/>
        </w:rPr>
        <w:t xml:space="preserve">Thornton, P. H., Ocasio, W., &amp; Lounsbury, M. (2012). </w:t>
      </w:r>
      <w:r w:rsidRPr="00AD60E6">
        <w:rPr>
          <w:rFonts w:ascii="Calibri" w:hAnsi="Calibri" w:cs="Calibri"/>
          <w:i/>
          <w:iCs/>
          <w:color w:val="000000"/>
          <w:sz w:val="22"/>
          <w:szCs w:val="22"/>
        </w:rPr>
        <w:t>The institutional logics perspective: A new approach to culture, structure, and process</w:t>
      </w:r>
      <w:r w:rsidRPr="00AD60E6">
        <w:rPr>
          <w:rFonts w:ascii="Calibri" w:hAnsi="Calibri" w:cs="Calibri"/>
          <w:color w:val="000000"/>
          <w:sz w:val="22"/>
          <w:szCs w:val="22"/>
        </w:rPr>
        <w:t>. Oxford University Press.</w:t>
      </w:r>
    </w:p>
    <w:p w14:paraId="50C21FA9" w14:textId="4081254A" w:rsidR="00052ADE" w:rsidRDefault="00B1704E" w:rsidP="00052ADE">
      <w:pPr>
        <w:spacing w:line="360" w:lineRule="auto"/>
        <w:jc w:val="both"/>
        <w:rPr>
          <w:rFonts w:ascii="Calibri" w:hAnsi="Calibri" w:cs="Calibri"/>
          <w:szCs w:val="22"/>
        </w:rPr>
      </w:pPr>
      <w:r w:rsidRPr="00B1704E">
        <w:rPr>
          <w:rFonts w:ascii="Calibri" w:hAnsi="Calibri" w:cs="Calibri"/>
          <w:b/>
          <w:bCs/>
          <w:szCs w:val="22"/>
        </w:rPr>
        <w:t>Additional Note</w:t>
      </w:r>
      <w:r w:rsidR="00AD60E6" w:rsidRPr="00AD60E6">
        <w:rPr>
          <w:rFonts w:ascii="Calibri" w:hAnsi="Calibri" w:cs="Calibri"/>
          <w:szCs w:val="22"/>
        </w:rPr>
        <w:br/>
      </w:r>
      <w:r w:rsidR="00052ADE" w:rsidRPr="00052ADE">
        <w:rPr>
          <w:rFonts w:ascii="Calibri" w:hAnsi="Calibri" w:cs="Calibri"/>
          <w:szCs w:val="22"/>
        </w:rPr>
        <w:t>This presentation is also scheduled for presentation at the Annual Conference of the Japan Association for University Education (June 2026, Japan).</w:t>
      </w:r>
    </w:p>
    <w:p w14:paraId="5951F173" w14:textId="77777777" w:rsidR="00EC3C40" w:rsidRPr="00052ADE" w:rsidRDefault="00EC3C40" w:rsidP="00EC3C40">
      <w:pPr>
        <w:spacing w:line="360" w:lineRule="auto"/>
        <w:jc w:val="both"/>
        <w:rPr>
          <w:rFonts w:ascii="Calibri" w:hAnsi="Calibri" w:cs="Calibri"/>
          <w:szCs w:val="22"/>
        </w:rPr>
      </w:pPr>
    </w:p>
    <w:p w14:paraId="70E9B00C" w14:textId="1C8C9C39" w:rsidR="00EC3C40" w:rsidRPr="00F96217" w:rsidRDefault="00EC3C40" w:rsidP="00EC3C40">
      <w:pPr>
        <w:spacing w:line="360" w:lineRule="auto"/>
        <w:jc w:val="both"/>
        <w:rPr>
          <w:rFonts w:ascii="Calibri" w:hAnsi="Calibri" w:cs="Calibri"/>
          <w:szCs w:val="22"/>
        </w:rPr>
      </w:pPr>
      <w:r>
        <w:rPr>
          <w:rFonts w:ascii="Calibri" w:hAnsi="Calibri" w:cs="Calibri" w:hint="eastAsia"/>
          <w:szCs w:val="22"/>
        </w:rPr>
        <w:t>・</w:t>
      </w:r>
      <w:r w:rsidRPr="00F96217">
        <w:rPr>
          <w:rFonts w:ascii="Calibri" w:hAnsi="Calibri" w:cs="Calibri"/>
          <w:szCs w:val="22"/>
        </w:rPr>
        <w:t xml:space="preserve">Keywords: minimum of three (3) and a maximum of five (5). </w:t>
      </w:r>
    </w:p>
    <w:p w14:paraId="5013A422" w14:textId="638BC848" w:rsidR="00EC3C40" w:rsidRPr="00F96217" w:rsidRDefault="00052ADE" w:rsidP="00EC3C40">
      <w:pPr>
        <w:spacing w:line="360" w:lineRule="auto"/>
        <w:jc w:val="both"/>
        <w:rPr>
          <w:rFonts w:ascii="Calibri" w:hAnsi="Calibri" w:cs="Calibri"/>
          <w:szCs w:val="22"/>
        </w:rPr>
      </w:pPr>
      <w:r w:rsidRPr="00052ADE">
        <w:rPr>
          <w:rFonts w:ascii="Calibri" w:hAnsi="Calibri" w:cs="Calibri"/>
          <w:szCs w:val="22"/>
        </w:rPr>
        <w:t>institutional logics, meaning of work, administrative managers, higher education, Japanese national universities</w:t>
      </w:r>
    </w:p>
    <w:sectPr w:rsidR="00EC3C40" w:rsidRPr="00F96217" w:rsidSect="00EC3C40">
      <w:pgSz w:w="11906" w:h="17338"/>
      <w:pgMar w:top="1134" w:right="1247" w:bottom="1134" w:left="1247" w:header="720" w:footer="720" w:gutter="0"/>
      <w:cols w:space="720"/>
      <w:noEndnote/>
      <w:docGrid w:type="linesAndChars"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E5AC8" w14:textId="77777777" w:rsidR="008133A6" w:rsidRDefault="008133A6" w:rsidP="00953724">
      <w:pPr>
        <w:spacing w:line="240" w:lineRule="auto"/>
      </w:pPr>
      <w:r>
        <w:separator/>
      </w:r>
    </w:p>
  </w:endnote>
  <w:endnote w:type="continuationSeparator" w:id="0">
    <w:p w14:paraId="7383ADAD" w14:textId="77777777" w:rsidR="008133A6" w:rsidRDefault="008133A6" w:rsidP="009537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C2984" w14:textId="77777777" w:rsidR="008133A6" w:rsidRDefault="008133A6" w:rsidP="00953724">
      <w:pPr>
        <w:spacing w:line="240" w:lineRule="auto"/>
      </w:pPr>
      <w:r>
        <w:separator/>
      </w:r>
    </w:p>
  </w:footnote>
  <w:footnote w:type="continuationSeparator" w:id="0">
    <w:p w14:paraId="0F4E66B6" w14:textId="77777777" w:rsidR="008133A6" w:rsidRDefault="008133A6" w:rsidP="0095372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7B2DDC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8AA2B9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51684B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BEED81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453E1C3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4FC15D0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465857906">
    <w:abstractNumId w:val="1"/>
  </w:num>
  <w:num w:numId="2" w16cid:durableId="1727029776">
    <w:abstractNumId w:val="2"/>
  </w:num>
  <w:num w:numId="3" w16cid:durableId="1001198580">
    <w:abstractNumId w:val="5"/>
  </w:num>
  <w:num w:numId="4" w16cid:durableId="1431119227">
    <w:abstractNumId w:val="0"/>
  </w:num>
  <w:num w:numId="5" w16cid:durableId="887378351">
    <w:abstractNumId w:val="4"/>
  </w:num>
  <w:num w:numId="6" w16cid:durableId="18117053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10"/>
  <w:drawingGridVerticalSpacing w:val="29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217"/>
    <w:rsid w:val="00003879"/>
    <w:rsid w:val="00052ADE"/>
    <w:rsid w:val="00071517"/>
    <w:rsid w:val="000A6202"/>
    <w:rsid w:val="00157487"/>
    <w:rsid w:val="001E272D"/>
    <w:rsid w:val="001F2553"/>
    <w:rsid w:val="00203DE8"/>
    <w:rsid w:val="00237C55"/>
    <w:rsid w:val="0027773B"/>
    <w:rsid w:val="00281ECB"/>
    <w:rsid w:val="002B4A2B"/>
    <w:rsid w:val="002D743F"/>
    <w:rsid w:val="00330FAB"/>
    <w:rsid w:val="003C3E91"/>
    <w:rsid w:val="004A0CFD"/>
    <w:rsid w:val="004F673D"/>
    <w:rsid w:val="0058233D"/>
    <w:rsid w:val="005A6283"/>
    <w:rsid w:val="005B76A1"/>
    <w:rsid w:val="00615948"/>
    <w:rsid w:val="006308F4"/>
    <w:rsid w:val="00651373"/>
    <w:rsid w:val="006E595C"/>
    <w:rsid w:val="006F1F2B"/>
    <w:rsid w:val="00763A63"/>
    <w:rsid w:val="008133A6"/>
    <w:rsid w:val="0084449A"/>
    <w:rsid w:val="008D03B4"/>
    <w:rsid w:val="008D1919"/>
    <w:rsid w:val="00912CC6"/>
    <w:rsid w:val="00935B82"/>
    <w:rsid w:val="00946B70"/>
    <w:rsid w:val="00953724"/>
    <w:rsid w:val="009B63FA"/>
    <w:rsid w:val="00A3041D"/>
    <w:rsid w:val="00A37A9E"/>
    <w:rsid w:val="00A62953"/>
    <w:rsid w:val="00A63C19"/>
    <w:rsid w:val="00AA541B"/>
    <w:rsid w:val="00AD60E6"/>
    <w:rsid w:val="00AD72CB"/>
    <w:rsid w:val="00B1704E"/>
    <w:rsid w:val="00C25758"/>
    <w:rsid w:val="00C51621"/>
    <w:rsid w:val="00CB452A"/>
    <w:rsid w:val="00CD69D4"/>
    <w:rsid w:val="00D968CD"/>
    <w:rsid w:val="00DF1B9E"/>
    <w:rsid w:val="00EC3C40"/>
    <w:rsid w:val="00ED718F"/>
    <w:rsid w:val="00F5477C"/>
    <w:rsid w:val="00F962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25280BB"/>
  <w15:chartTrackingRefBased/>
  <w15:docId w15:val="{B5C456A7-8BE3-4B02-A3BF-A144B1B50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line="36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9621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unhideWhenUsed/>
    <w:qFormat/>
    <w:rsid w:val="00F9621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96217"/>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F9621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9621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9621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9621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9621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9621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9621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rsid w:val="00F9621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96217"/>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F9621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9621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9621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9621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9621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9621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96217"/>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9621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9621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9621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96217"/>
    <w:pPr>
      <w:spacing w:before="160" w:after="160"/>
      <w:jc w:val="center"/>
    </w:pPr>
    <w:rPr>
      <w:i/>
      <w:iCs/>
      <w:color w:val="404040" w:themeColor="text1" w:themeTint="BF"/>
    </w:rPr>
  </w:style>
  <w:style w:type="character" w:customStyle="1" w:styleId="a8">
    <w:name w:val="引用文 (文字)"/>
    <w:basedOn w:val="a0"/>
    <w:link w:val="a7"/>
    <w:uiPriority w:val="29"/>
    <w:rsid w:val="00F96217"/>
    <w:rPr>
      <w:i/>
      <w:iCs/>
      <w:color w:val="404040" w:themeColor="text1" w:themeTint="BF"/>
    </w:rPr>
  </w:style>
  <w:style w:type="paragraph" w:styleId="a9">
    <w:name w:val="List Paragraph"/>
    <w:basedOn w:val="a"/>
    <w:uiPriority w:val="34"/>
    <w:qFormat/>
    <w:rsid w:val="00F96217"/>
    <w:pPr>
      <w:ind w:left="720"/>
      <w:contextualSpacing/>
    </w:pPr>
  </w:style>
  <w:style w:type="character" w:styleId="21">
    <w:name w:val="Intense Emphasis"/>
    <w:basedOn w:val="a0"/>
    <w:uiPriority w:val="21"/>
    <w:qFormat/>
    <w:rsid w:val="00F96217"/>
    <w:rPr>
      <w:i/>
      <w:iCs/>
      <w:color w:val="0F4761" w:themeColor="accent1" w:themeShade="BF"/>
    </w:rPr>
  </w:style>
  <w:style w:type="paragraph" w:styleId="22">
    <w:name w:val="Intense Quote"/>
    <w:basedOn w:val="a"/>
    <w:next w:val="a"/>
    <w:link w:val="23"/>
    <w:uiPriority w:val="30"/>
    <w:qFormat/>
    <w:rsid w:val="00F962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96217"/>
    <w:rPr>
      <w:i/>
      <w:iCs/>
      <w:color w:val="0F4761" w:themeColor="accent1" w:themeShade="BF"/>
    </w:rPr>
  </w:style>
  <w:style w:type="character" w:styleId="24">
    <w:name w:val="Intense Reference"/>
    <w:basedOn w:val="a0"/>
    <w:uiPriority w:val="32"/>
    <w:qFormat/>
    <w:rsid w:val="00F96217"/>
    <w:rPr>
      <w:b/>
      <w:bCs/>
      <w:smallCaps/>
      <w:color w:val="0F4761" w:themeColor="accent1" w:themeShade="BF"/>
      <w:spacing w:val="5"/>
    </w:rPr>
  </w:style>
  <w:style w:type="paragraph" w:styleId="Web">
    <w:name w:val="Normal (Web)"/>
    <w:basedOn w:val="a"/>
    <w:uiPriority w:val="99"/>
    <w:semiHidden/>
    <w:unhideWhenUsed/>
    <w:rsid w:val="000A6202"/>
    <w:pPr>
      <w:spacing w:before="100" w:beforeAutospacing="1" w:after="100" w:afterAutospacing="1" w:line="240" w:lineRule="auto"/>
    </w:pPr>
    <w:rPr>
      <w:rFonts w:ascii="ＭＳ Ｐゴシック" w:eastAsia="ＭＳ Ｐゴシック" w:hAnsi="ＭＳ Ｐゴシック" w:cs="ＭＳ Ｐゴシック"/>
      <w:kern w:val="0"/>
      <w:sz w:val="24"/>
      <w14:ligatures w14:val="none"/>
    </w:rPr>
  </w:style>
  <w:style w:type="paragraph" w:styleId="aa">
    <w:name w:val="header"/>
    <w:basedOn w:val="a"/>
    <w:link w:val="ab"/>
    <w:uiPriority w:val="99"/>
    <w:unhideWhenUsed/>
    <w:rsid w:val="00953724"/>
    <w:pPr>
      <w:tabs>
        <w:tab w:val="center" w:pos="4252"/>
        <w:tab w:val="right" w:pos="8504"/>
      </w:tabs>
      <w:snapToGrid w:val="0"/>
    </w:pPr>
  </w:style>
  <w:style w:type="character" w:customStyle="1" w:styleId="ab">
    <w:name w:val="ヘッダー (文字)"/>
    <w:basedOn w:val="a0"/>
    <w:link w:val="aa"/>
    <w:uiPriority w:val="99"/>
    <w:rsid w:val="00953724"/>
  </w:style>
  <w:style w:type="paragraph" w:styleId="ac">
    <w:name w:val="footer"/>
    <w:basedOn w:val="a"/>
    <w:link w:val="ad"/>
    <w:uiPriority w:val="99"/>
    <w:unhideWhenUsed/>
    <w:rsid w:val="00953724"/>
    <w:pPr>
      <w:tabs>
        <w:tab w:val="center" w:pos="4252"/>
        <w:tab w:val="right" w:pos="8504"/>
      </w:tabs>
      <w:snapToGrid w:val="0"/>
    </w:pPr>
  </w:style>
  <w:style w:type="character" w:customStyle="1" w:styleId="ad">
    <w:name w:val="フッター (文字)"/>
    <w:basedOn w:val="a0"/>
    <w:link w:val="ac"/>
    <w:uiPriority w:val="99"/>
    <w:rsid w:val="009537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570F5F-2B04-4AA7-979D-4E46100E76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Pages>
  <Words>674</Words>
  <Characters>3842</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橋本 みの里</dc:creator>
  <cp:keywords/>
  <dc:description/>
  <cp:lastModifiedBy>橋本 みの里</cp:lastModifiedBy>
  <cp:revision>7</cp:revision>
  <dcterms:created xsi:type="dcterms:W3CDTF">2026-04-16T01:51:00Z</dcterms:created>
  <dcterms:modified xsi:type="dcterms:W3CDTF">2026-04-16T09:03:00Z</dcterms:modified>
</cp:coreProperties>
</file>