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16AF7" w14:textId="5D1D33C3" w:rsidR="00355CD6" w:rsidRDefault="004E1FC5" w:rsidP="00222405">
      <w:pPr>
        <w:spacing w:line="360" w:lineRule="auto"/>
        <w:jc w:val="both"/>
        <w:rPr>
          <w:b/>
          <w:bCs/>
        </w:rPr>
      </w:pPr>
      <w:r>
        <w:rPr>
          <w:b/>
          <w:bCs/>
        </w:rPr>
        <w:t xml:space="preserve">Title: </w:t>
      </w:r>
      <w:r w:rsidR="00355CD6" w:rsidRPr="004E1FC5">
        <w:t xml:space="preserve">Artificial intelligence in career guidance: </w:t>
      </w:r>
      <w:r w:rsidR="00355CD6" w:rsidRPr="004E1FC5">
        <w:t>Q</w:t>
      </w:r>
      <w:r w:rsidR="00355CD6" w:rsidRPr="004E1FC5">
        <w:t>ualitative study of a hybrid career counseling model for adolescents</w:t>
      </w:r>
    </w:p>
    <w:p w14:paraId="579E0A3B" w14:textId="025EA0C1" w:rsidR="00627355" w:rsidRPr="004E1FC5" w:rsidRDefault="004E1FC5" w:rsidP="00222405">
      <w:pPr>
        <w:spacing w:line="360" w:lineRule="auto"/>
        <w:jc w:val="both"/>
      </w:pPr>
      <w:r>
        <w:rPr>
          <w:b/>
          <w:bCs/>
        </w:rPr>
        <w:t xml:space="preserve">Theme: </w:t>
      </w:r>
      <w:r w:rsidRPr="004E1FC5">
        <w:t>Research - Hiwa-i-te-rangi</w:t>
      </w:r>
    </w:p>
    <w:p w14:paraId="3D6FE9D1" w14:textId="4EBA32EB" w:rsidR="004E1FC5" w:rsidRDefault="004E1FC5" w:rsidP="00222405">
      <w:pPr>
        <w:spacing w:line="360" w:lineRule="auto"/>
        <w:jc w:val="both"/>
        <w:rPr>
          <w:b/>
          <w:bCs/>
        </w:rPr>
      </w:pPr>
      <w:r>
        <w:rPr>
          <w:b/>
          <w:bCs/>
        </w:rPr>
        <w:t xml:space="preserve">Language: </w:t>
      </w:r>
      <w:r w:rsidRPr="004E1FC5">
        <w:t>English</w:t>
      </w:r>
    </w:p>
    <w:p w14:paraId="5477799E" w14:textId="736868A9" w:rsidR="004E1FC5" w:rsidRPr="00627355" w:rsidRDefault="004E1FC5" w:rsidP="00222405">
      <w:pPr>
        <w:spacing w:line="360" w:lineRule="auto"/>
        <w:jc w:val="both"/>
        <w:rPr>
          <w:b/>
          <w:bCs/>
        </w:rPr>
      </w:pPr>
      <w:r>
        <w:rPr>
          <w:b/>
          <w:bCs/>
        </w:rPr>
        <w:t xml:space="preserve">Keywords: </w:t>
      </w:r>
      <w:r w:rsidRPr="004E1FC5">
        <w:t>career guidance; artificial intelligence; hybrid career counseling</w:t>
      </w:r>
      <w:r>
        <w:t xml:space="preserve">, </w:t>
      </w:r>
      <w:r w:rsidRPr="004E1FC5">
        <w:t>AI-supported guidance</w:t>
      </w:r>
    </w:p>
    <w:p w14:paraId="619CD1CF" w14:textId="5F4DEC97" w:rsidR="0040484D" w:rsidRDefault="0040484D" w:rsidP="00222405">
      <w:pPr>
        <w:spacing w:line="360" w:lineRule="auto"/>
        <w:jc w:val="both"/>
        <w:rPr>
          <w:b/>
          <w:bCs/>
        </w:rPr>
      </w:pPr>
      <w:r>
        <w:rPr>
          <w:b/>
          <w:bCs/>
        </w:rPr>
        <w:t>Abstract</w:t>
      </w:r>
    </w:p>
    <w:p w14:paraId="64FB5F56" w14:textId="061B551C" w:rsidR="00627355" w:rsidRPr="00627355" w:rsidRDefault="00627355" w:rsidP="00222405">
      <w:pPr>
        <w:spacing w:line="360" w:lineRule="auto"/>
        <w:jc w:val="both"/>
        <w:rPr>
          <w:b/>
          <w:bCs/>
        </w:rPr>
      </w:pPr>
      <w:r w:rsidRPr="00627355">
        <w:rPr>
          <w:b/>
          <w:bCs/>
        </w:rPr>
        <w:t>Introduction</w:t>
      </w:r>
    </w:p>
    <w:p w14:paraId="3D3E16BC" w14:textId="657D7BB2" w:rsidR="00D542AD" w:rsidRPr="00D542AD" w:rsidRDefault="00D542AD" w:rsidP="00D542AD">
      <w:pPr>
        <w:spacing w:line="360" w:lineRule="auto"/>
        <w:jc w:val="both"/>
      </w:pPr>
      <w:r w:rsidRPr="00D542AD">
        <w:t>The rapid expansion of artificial intelligence and ongoing labour-market transformation are reshaping career guidance. These changes increase decision uncertainty among adolescents and raise questions about the role of the counselor. While established models continue to provide a structured framework, artificial intelligence adds a new dimension by enabling faster processing of information and generating labour-market-relevant suggestions. This study examines how combining traditional methods with AI-supported analysis can support career decision-making among secondary school students.</w:t>
      </w:r>
    </w:p>
    <w:p w14:paraId="0526353C" w14:textId="77777777" w:rsidR="00627355" w:rsidRPr="00627355" w:rsidRDefault="00627355" w:rsidP="00222405">
      <w:pPr>
        <w:spacing w:line="360" w:lineRule="auto"/>
        <w:jc w:val="both"/>
        <w:rPr>
          <w:b/>
          <w:bCs/>
        </w:rPr>
      </w:pPr>
      <w:r w:rsidRPr="00627355">
        <w:rPr>
          <w:b/>
          <w:bCs/>
        </w:rPr>
        <w:t>Objectives</w:t>
      </w:r>
    </w:p>
    <w:p w14:paraId="25D4FC9D" w14:textId="77777777" w:rsidR="00627355" w:rsidRPr="00627355" w:rsidRDefault="00627355" w:rsidP="00EC63D0">
      <w:pPr>
        <w:spacing w:line="360" w:lineRule="auto"/>
      </w:pPr>
      <w:r w:rsidRPr="00627355">
        <w:t>The study focused on how traditional and AI-supported approaches interact within real counseling processes. It addressed the following questions:</w:t>
      </w:r>
      <w:r w:rsidRPr="00627355">
        <w:br/>
        <w:t>• What similarities and differences can be identified between recommendations generated by traditional tools and AI-supported analysis?</w:t>
      </w:r>
      <w:r w:rsidRPr="00627355">
        <w:br/>
        <w:t>• How do students’ attitudes toward AI influence their acceptance and use of AI-generated suggestions?</w:t>
      </w:r>
      <w:r w:rsidRPr="00627355">
        <w:br/>
        <w:t>• In what ways can a hybrid model combining the Zurich–Mainz Life Design Counseling Model, psychometric tools, and AI analysis reduce decision uncertainty and strengthen commitment?</w:t>
      </w:r>
    </w:p>
    <w:p w14:paraId="76EBE740" w14:textId="77777777" w:rsidR="00627355" w:rsidRPr="00627355" w:rsidRDefault="00627355" w:rsidP="00222405">
      <w:pPr>
        <w:spacing w:line="360" w:lineRule="auto"/>
        <w:jc w:val="both"/>
        <w:rPr>
          <w:b/>
          <w:bCs/>
        </w:rPr>
      </w:pPr>
      <w:r w:rsidRPr="00627355">
        <w:rPr>
          <w:b/>
          <w:bCs/>
        </w:rPr>
        <w:t>Theoretical Basis</w:t>
      </w:r>
    </w:p>
    <w:p w14:paraId="531388BF" w14:textId="77777777" w:rsidR="00627355" w:rsidRPr="00627355" w:rsidRDefault="00627355" w:rsidP="00222405">
      <w:pPr>
        <w:spacing w:line="360" w:lineRule="auto"/>
        <w:jc w:val="both"/>
      </w:pPr>
      <w:r w:rsidRPr="00627355">
        <w:t>The study draws on person–environment fit, life-span career development, and narrative career construction perspectives, integrated through the Zurich–Mainz Life Design Counseling Model. Within this framework, artificial intelligence is treated as a decision-support resource whose value depends on professional interpretation and integration into the counseling process.</w:t>
      </w:r>
    </w:p>
    <w:p w14:paraId="2F71E306" w14:textId="77777777" w:rsidR="00627355" w:rsidRPr="00627355" w:rsidRDefault="00627355" w:rsidP="00222405">
      <w:pPr>
        <w:spacing w:line="360" w:lineRule="auto"/>
        <w:jc w:val="both"/>
        <w:rPr>
          <w:b/>
          <w:bCs/>
        </w:rPr>
      </w:pPr>
      <w:r w:rsidRPr="00627355">
        <w:rPr>
          <w:b/>
          <w:bCs/>
        </w:rPr>
        <w:t>Methodology</w:t>
      </w:r>
    </w:p>
    <w:p w14:paraId="3F1F3CA4" w14:textId="77777777" w:rsidR="00627355" w:rsidRPr="00627355" w:rsidRDefault="00627355" w:rsidP="00222405">
      <w:pPr>
        <w:spacing w:line="360" w:lineRule="auto"/>
        <w:jc w:val="both"/>
      </w:pPr>
      <w:r w:rsidRPr="00627355">
        <w:t xml:space="preserve">A qualitative multiple case study design was used. Five secondary school students aged 16–18 participated in a four-session individual counseling process, including a structured interview, </w:t>
      </w:r>
      <w:r w:rsidRPr="00627355">
        <w:lastRenderedPageBreak/>
        <w:t>psychometric assessments, AI-supported analysis using ChatGPT, and a final reflection session. Data included counseling notes, a research diary, AI outputs, and reflection summaries. The material was analyzed using thematic content analysis at both case and cross-case levels. Triangulation was achieved by comparing assessment results, AI outputs, and counseling reflections. Ethical safeguards included informed consent and anonymization.</w:t>
      </w:r>
    </w:p>
    <w:p w14:paraId="2C6622CA" w14:textId="77777777" w:rsidR="00627355" w:rsidRPr="00627355" w:rsidRDefault="00627355" w:rsidP="00222405">
      <w:pPr>
        <w:spacing w:line="360" w:lineRule="auto"/>
        <w:jc w:val="both"/>
        <w:rPr>
          <w:b/>
          <w:bCs/>
        </w:rPr>
      </w:pPr>
      <w:r w:rsidRPr="00627355">
        <w:rPr>
          <w:b/>
          <w:bCs/>
        </w:rPr>
        <w:t>Results</w:t>
      </w:r>
    </w:p>
    <w:p w14:paraId="65517699" w14:textId="77777777" w:rsidR="00627355" w:rsidRPr="00627355" w:rsidRDefault="00627355" w:rsidP="00222405">
      <w:pPr>
        <w:spacing w:line="360" w:lineRule="auto"/>
        <w:jc w:val="both"/>
      </w:pPr>
      <w:r w:rsidRPr="00627355">
        <w:t>Traditional methods proved effective in clarifying interests, values, and preferred roles, but often resulted in relatively fixed occupational lists. AI-supported analysis broadened the range of options by introducing more current and hybrid career paths. Students were generally open to these inputs, especially when they were interpreted together with earlier results. The usefulness of AI depended strongly on prior self-exploration and counselor guidance. Without sufficient framing, the system tended to generate too many options or overly optimistic scenarios. The most effective cases combined traditional tools and AI outputs, leading to clearer decisions and stronger commitment.</w:t>
      </w:r>
    </w:p>
    <w:p w14:paraId="013FB5E9" w14:textId="77777777" w:rsidR="00627355" w:rsidRPr="00627355" w:rsidRDefault="00627355" w:rsidP="00222405">
      <w:pPr>
        <w:spacing w:line="360" w:lineRule="auto"/>
        <w:jc w:val="both"/>
        <w:rPr>
          <w:b/>
          <w:bCs/>
        </w:rPr>
      </w:pPr>
      <w:r w:rsidRPr="00627355">
        <w:rPr>
          <w:b/>
          <w:bCs/>
        </w:rPr>
        <w:t>Conclusions</w:t>
      </w:r>
    </w:p>
    <w:p w14:paraId="04325575" w14:textId="77777777" w:rsidR="00627355" w:rsidRPr="00627355" w:rsidRDefault="00627355" w:rsidP="00222405">
      <w:pPr>
        <w:spacing w:line="360" w:lineRule="auto"/>
        <w:jc w:val="both"/>
      </w:pPr>
      <w:r w:rsidRPr="00627355">
        <w:t>The findings suggest that artificial intelligence can strengthen, but not replace, career counseling when used within a structured hybrid process. Traditional methods provide interpretive depth, while AI expands the range of possibilities. The results also point to changing professional demands, including the need for AI literacy and critical interpretation skills. Although based on a small sample, the study offers a grounded view of how human and AI-supported elements can work together in adolescent career guidance.</w:t>
      </w:r>
    </w:p>
    <w:p w14:paraId="108A8281" w14:textId="565A232A" w:rsidR="00627355" w:rsidRPr="00627355" w:rsidRDefault="00627355" w:rsidP="00222405">
      <w:pPr>
        <w:spacing w:line="360" w:lineRule="auto"/>
        <w:jc w:val="both"/>
        <w:rPr>
          <w:b/>
          <w:bCs/>
        </w:rPr>
      </w:pPr>
      <w:r w:rsidRPr="00627355">
        <w:rPr>
          <w:b/>
          <w:bCs/>
        </w:rPr>
        <w:t xml:space="preserve">References </w:t>
      </w:r>
    </w:p>
    <w:p w14:paraId="605869AC" w14:textId="77777777" w:rsidR="008411D1" w:rsidRPr="008411D1" w:rsidRDefault="008411D1" w:rsidP="00222405">
      <w:pPr>
        <w:spacing w:line="360" w:lineRule="auto"/>
        <w:jc w:val="both"/>
      </w:pPr>
      <w:r w:rsidRPr="008411D1">
        <w:t xml:space="preserve">Bankins, S., Jooss, S., Restubog, S. L. D., Marrone, M., Ocampo, A. C., &amp; Shoss, M. (2024). Navigating career stages in the age of artificial intelligence: A systematic interdisciplinary review and agenda for future research. </w:t>
      </w:r>
      <w:r w:rsidRPr="008411D1">
        <w:rPr>
          <w:i/>
          <w:iCs/>
        </w:rPr>
        <w:t>Journal of Vocational Behavior, 145</w:t>
      </w:r>
      <w:r w:rsidRPr="008411D1">
        <w:t>, 104011.</w:t>
      </w:r>
    </w:p>
    <w:p w14:paraId="3ADAD489" w14:textId="77777777" w:rsidR="008411D1" w:rsidRPr="008411D1" w:rsidRDefault="008411D1" w:rsidP="00222405">
      <w:pPr>
        <w:spacing w:line="360" w:lineRule="auto"/>
        <w:jc w:val="both"/>
      </w:pPr>
      <w:r w:rsidRPr="008411D1">
        <w:t xml:space="preserve">Savickas, M. L. (2013). Career construction theory and practice. In S. D. Brown &amp; R. W. Lent (Eds.), </w:t>
      </w:r>
      <w:r w:rsidRPr="008411D1">
        <w:rPr>
          <w:i/>
          <w:iCs/>
        </w:rPr>
        <w:t>Career development and counseling: Putting theory and research to work</w:t>
      </w:r>
      <w:r w:rsidRPr="008411D1">
        <w:t xml:space="preserve"> (pp. 147–183). John Wiley &amp; Sons.</w:t>
      </w:r>
    </w:p>
    <w:p w14:paraId="78185891" w14:textId="77777777" w:rsidR="008411D1" w:rsidRPr="008411D1" w:rsidRDefault="008411D1" w:rsidP="00222405">
      <w:pPr>
        <w:spacing w:line="360" w:lineRule="auto"/>
        <w:jc w:val="both"/>
      </w:pPr>
      <w:r w:rsidRPr="008411D1">
        <w:t xml:space="preserve">Westman, S., Kauttonen, J., Klemetti, A., Korhonen, N., Manninen, M., Mononen, A., &amp; Niittymäki, S. (2021). Artificial intelligence for career guidance: Current requirements and prospects for the future. </w:t>
      </w:r>
      <w:r w:rsidRPr="008411D1">
        <w:rPr>
          <w:i/>
          <w:iCs/>
        </w:rPr>
        <w:t>IAFOR Journal of Education, 9</w:t>
      </w:r>
      <w:r w:rsidRPr="008411D1">
        <w:t>(1), 29–47.</w:t>
      </w:r>
    </w:p>
    <w:p w14:paraId="74364A5F" w14:textId="77777777" w:rsidR="00627355" w:rsidRDefault="00627355" w:rsidP="00222405">
      <w:pPr>
        <w:spacing w:line="360" w:lineRule="auto"/>
        <w:jc w:val="both"/>
      </w:pPr>
    </w:p>
    <w:p w14:paraId="0534C6E4" w14:textId="77777777" w:rsidR="00627355" w:rsidRPr="00E64DEE" w:rsidRDefault="00627355" w:rsidP="00222405">
      <w:pPr>
        <w:spacing w:line="360" w:lineRule="auto"/>
        <w:jc w:val="both"/>
      </w:pPr>
    </w:p>
    <w:sectPr w:rsidR="00627355" w:rsidRPr="00E64DEE" w:rsidSect="00C43C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824A3"/>
    <w:multiLevelType w:val="multilevel"/>
    <w:tmpl w:val="913C5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4498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8B1"/>
    <w:rsid w:val="001D074C"/>
    <w:rsid w:val="00210454"/>
    <w:rsid w:val="00222405"/>
    <w:rsid w:val="00332A6C"/>
    <w:rsid w:val="00355CD6"/>
    <w:rsid w:val="0040484D"/>
    <w:rsid w:val="0049569F"/>
    <w:rsid w:val="004B48B1"/>
    <w:rsid w:val="004E1FC5"/>
    <w:rsid w:val="00585D72"/>
    <w:rsid w:val="00627355"/>
    <w:rsid w:val="008411D1"/>
    <w:rsid w:val="00947845"/>
    <w:rsid w:val="00A15D1D"/>
    <w:rsid w:val="00C43C00"/>
    <w:rsid w:val="00D542AD"/>
    <w:rsid w:val="00D75EA3"/>
    <w:rsid w:val="00E47984"/>
    <w:rsid w:val="00E64DEE"/>
    <w:rsid w:val="00EC63D0"/>
    <w:rsid w:val="00F301A3"/>
    <w:rsid w:val="00F70FBD"/>
    <w:rsid w:val="00F83529"/>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47458"/>
  <w15:chartTrackingRefBased/>
  <w15:docId w15:val="{CE7CEBDA-3F39-4C90-AB24-82AE1EF0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4B48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4B48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4B48B1"/>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4B48B1"/>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4B48B1"/>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4B48B1"/>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4B48B1"/>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4B48B1"/>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4B48B1"/>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B48B1"/>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4B48B1"/>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4B48B1"/>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4B48B1"/>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4B48B1"/>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4B48B1"/>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B48B1"/>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B48B1"/>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B48B1"/>
    <w:rPr>
      <w:rFonts w:eastAsiaTheme="majorEastAsia" w:cstheme="majorBidi"/>
      <w:color w:val="272727" w:themeColor="text1" w:themeTint="D8"/>
    </w:rPr>
  </w:style>
  <w:style w:type="paragraph" w:styleId="Cm">
    <w:name w:val="Title"/>
    <w:basedOn w:val="Norml"/>
    <w:next w:val="Norml"/>
    <w:link w:val="CmChar"/>
    <w:uiPriority w:val="10"/>
    <w:qFormat/>
    <w:rsid w:val="004B4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4B48B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B48B1"/>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4B48B1"/>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B48B1"/>
    <w:pPr>
      <w:spacing w:before="160"/>
      <w:jc w:val="center"/>
    </w:pPr>
    <w:rPr>
      <w:i/>
      <w:iCs/>
      <w:color w:val="404040" w:themeColor="text1" w:themeTint="BF"/>
    </w:rPr>
  </w:style>
  <w:style w:type="character" w:customStyle="1" w:styleId="IdzetChar">
    <w:name w:val="Idézet Char"/>
    <w:basedOn w:val="Bekezdsalapbettpusa"/>
    <w:link w:val="Idzet"/>
    <w:uiPriority w:val="29"/>
    <w:rsid w:val="004B48B1"/>
    <w:rPr>
      <w:i/>
      <w:iCs/>
      <w:color w:val="404040" w:themeColor="text1" w:themeTint="BF"/>
    </w:rPr>
  </w:style>
  <w:style w:type="paragraph" w:styleId="Listaszerbekezds">
    <w:name w:val="List Paragraph"/>
    <w:basedOn w:val="Norml"/>
    <w:uiPriority w:val="34"/>
    <w:qFormat/>
    <w:rsid w:val="004B48B1"/>
    <w:pPr>
      <w:ind w:left="720"/>
      <w:contextualSpacing/>
    </w:pPr>
  </w:style>
  <w:style w:type="character" w:styleId="Erskiemels">
    <w:name w:val="Intense Emphasis"/>
    <w:basedOn w:val="Bekezdsalapbettpusa"/>
    <w:uiPriority w:val="21"/>
    <w:qFormat/>
    <w:rsid w:val="004B48B1"/>
    <w:rPr>
      <w:i/>
      <w:iCs/>
      <w:color w:val="2F5496" w:themeColor="accent1" w:themeShade="BF"/>
    </w:rPr>
  </w:style>
  <w:style w:type="paragraph" w:styleId="Kiemeltidzet">
    <w:name w:val="Intense Quote"/>
    <w:basedOn w:val="Norml"/>
    <w:next w:val="Norml"/>
    <w:link w:val="KiemeltidzetChar"/>
    <w:uiPriority w:val="30"/>
    <w:qFormat/>
    <w:rsid w:val="004B48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4B48B1"/>
    <w:rPr>
      <w:i/>
      <w:iCs/>
      <w:color w:val="2F5496" w:themeColor="accent1" w:themeShade="BF"/>
    </w:rPr>
  </w:style>
  <w:style w:type="character" w:styleId="Ershivatkozs">
    <w:name w:val="Intense Reference"/>
    <w:basedOn w:val="Bekezdsalapbettpusa"/>
    <w:uiPriority w:val="32"/>
    <w:qFormat/>
    <w:rsid w:val="004B48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565</Words>
  <Characters>3901</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csillagep@outlook.hu</dc:creator>
  <cp:keywords/>
  <dc:description/>
  <cp:lastModifiedBy>csillagep@outlook.hu</cp:lastModifiedBy>
  <cp:revision>5</cp:revision>
  <dcterms:created xsi:type="dcterms:W3CDTF">2026-04-17T09:19:00Z</dcterms:created>
  <dcterms:modified xsi:type="dcterms:W3CDTF">2026-04-17T09:36:00Z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e08ac162-568a-4fbc-8c9b-10aad00be598</vt:lpwstr>
  </property>
</Properties>
</file>