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FE683" w14:textId="7CE5C291" w:rsidR="00E17AB6" w:rsidRPr="00F97B96" w:rsidRDefault="007D5355"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Family name and first name of the first author</w:t>
      </w:r>
      <w:proofErr w:type="gramStart"/>
      <w:r w:rsidR="00221EB7" w:rsidRPr="00F97B96">
        <w:rPr>
          <w:rFonts w:ascii="Calibri" w:eastAsia="游明朝" w:hAnsi="Calibri" w:cs="Calibri"/>
          <w:snapToGrid w:val="0"/>
          <w:kern w:val="16"/>
          <w:sz w:val="22"/>
          <w:lang w:eastAsia="ja-JP"/>
        </w:rPr>
        <w:t xml:space="preserve">: </w:t>
      </w:r>
      <w:r w:rsidR="00221EB7" w:rsidRPr="00F97B96">
        <w:rPr>
          <w:rFonts w:ascii="Calibri" w:eastAsia="游明朝" w:hAnsi="Calibri" w:cs="Calibri"/>
          <w:snapToGrid w:val="0"/>
          <w:kern w:val="16"/>
          <w:sz w:val="22"/>
          <w:lang w:eastAsia="ja-JP"/>
        </w:rPr>
        <w:tab/>
        <w:t>Idehara</w:t>
      </w:r>
      <w:proofErr w:type="gramEnd"/>
      <w:r w:rsidRPr="00F97B96">
        <w:rPr>
          <w:rFonts w:ascii="Calibri" w:eastAsia="游明朝" w:hAnsi="Calibri" w:cs="Calibri"/>
          <w:snapToGrid w:val="0"/>
          <w:kern w:val="16"/>
          <w:sz w:val="22"/>
          <w:lang w:eastAsia="ja-JP"/>
        </w:rPr>
        <w:t xml:space="preserve"> Mikihiro</w:t>
      </w:r>
    </w:p>
    <w:p w14:paraId="4394C563" w14:textId="3F1CE3C4" w:rsidR="00E17AB6" w:rsidRPr="00F97B96" w:rsidRDefault="007D5355"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Title/position of the first contributor/author:</w:t>
      </w:r>
      <w:r w:rsidRPr="00F97B96">
        <w:rPr>
          <w:rFonts w:ascii="Calibri" w:eastAsia="游明朝" w:hAnsi="Calibri" w:cs="Calibri"/>
          <w:snapToGrid w:val="0"/>
          <w:kern w:val="16"/>
          <w:sz w:val="22"/>
          <w:lang w:eastAsia="ja-JP"/>
        </w:rPr>
        <w:tab/>
      </w:r>
      <w:r w:rsidR="00350C2F" w:rsidRPr="00F97B96">
        <w:rPr>
          <w:rFonts w:ascii="Calibri" w:eastAsia="游明朝" w:hAnsi="Calibri" w:cs="Calibri"/>
          <w:snapToGrid w:val="0"/>
          <w:kern w:val="16"/>
          <w:sz w:val="22"/>
          <w:lang w:eastAsia="ja-JP"/>
        </w:rPr>
        <w:t>Doctoral Student</w:t>
      </w:r>
    </w:p>
    <w:p w14:paraId="7968C6F6" w14:textId="7C3332A2" w:rsidR="00C4389D" w:rsidRPr="00F97B96" w:rsidRDefault="00C4389D"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E-mail of the first author:</w:t>
      </w:r>
      <w:r w:rsidRPr="00F97B96">
        <w:rPr>
          <w:rFonts w:ascii="Calibri" w:eastAsia="游明朝" w:hAnsi="Calibri" w:cs="Calibri"/>
          <w:snapToGrid w:val="0"/>
          <w:kern w:val="16"/>
          <w:sz w:val="22"/>
          <w:lang w:eastAsia="ja-JP"/>
        </w:rPr>
        <w:tab/>
      </w:r>
      <w:r w:rsidRPr="00F97B96">
        <w:rPr>
          <w:rFonts w:ascii="Calibri" w:eastAsia="游明朝" w:hAnsi="Calibri" w:cs="Calibri"/>
          <w:snapToGrid w:val="0"/>
          <w:kern w:val="16"/>
          <w:sz w:val="22"/>
          <w:lang w:eastAsia="ja-JP"/>
        </w:rPr>
        <w:tab/>
      </w:r>
      <w:r w:rsidRPr="00F97B96">
        <w:rPr>
          <w:rFonts w:ascii="Calibri" w:eastAsia="游明朝" w:hAnsi="Calibri" w:cs="Calibri"/>
          <w:snapToGrid w:val="0"/>
          <w:kern w:val="16"/>
          <w:sz w:val="22"/>
          <w:lang w:eastAsia="ja-JP"/>
        </w:rPr>
        <w:tab/>
      </w:r>
      <w:hyperlink r:id="rId8" w:history="1">
        <w:r w:rsidRPr="00F97B96">
          <w:rPr>
            <w:rStyle w:val="a8"/>
            <w:rFonts w:ascii="Calibri" w:eastAsia="游明朝" w:hAnsi="Calibri" w:cs="Calibri"/>
            <w:snapToGrid w:val="0"/>
            <w:kern w:val="16"/>
            <w:sz w:val="22"/>
            <w:lang w:eastAsia="ja-JP"/>
          </w:rPr>
          <w:t>s2530352@u.tsukuba.ac.jp</w:t>
        </w:r>
      </w:hyperlink>
    </w:p>
    <w:p w14:paraId="4C66A441" w14:textId="37D5719D" w:rsidR="00C4389D" w:rsidRPr="00F97B96" w:rsidRDefault="00272E66"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Institution to which the first author belongs:</w:t>
      </w:r>
      <w:r w:rsidRPr="00F97B96">
        <w:rPr>
          <w:rFonts w:ascii="Calibri" w:eastAsia="游明朝" w:hAnsi="Calibri" w:cs="Calibri"/>
          <w:snapToGrid w:val="0"/>
          <w:kern w:val="16"/>
          <w:sz w:val="22"/>
          <w:lang w:eastAsia="ja-JP"/>
        </w:rPr>
        <w:tab/>
        <w:t>University of Tsukuba</w:t>
      </w:r>
    </w:p>
    <w:p w14:paraId="17D03A3D" w14:textId="77EC281E" w:rsidR="00272E66" w:rsidRPr="00F97B96" w:rsidRDefault="00836C08"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Family name, first name, institution and title/position of presenters at the conference</w:t>
      </w:r>
    </w:p>
    <w:p w14:paraId="0A22E65D" w14:textId="34D76729" w:rsidR="00836C08" w:rsidRPr="00F97B96" w:rsidRDefault="00836C08" w:rsidP="000D68CD">
      <w:pPr>
        <w:wordWrap/>
        <w:spacing w:after="0" w:line="360" w:lineRule="auto"/>
        <w:ind w:firstLineChars="250" w:firstLine="550"/>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Idehara</w:t>
      </w:r>
      <w:r w:rsidR="00221EB7" w:rsidRPr="00F97B96">
        <w:rPr>
          <w:rFonts w:ascii="Calibri" w:eastAsia="游明朝" w:hAnsi="Calibri" w:cs="Calibri"/>
          <w:snapToGrid w:val="0"/>
          <w:kern w:val="16"/>
          <w:sz w:val="22"/>
          <w:lang w:eastAsia="ja-JP"/>
        </w:rPr>
        <w:t>,</w:t>
      </w:r>
      <w:r w:rsidRPr="00F97B96">
        <w:rPr>
          <w:rFonts w:ascii="Calibri" w:eastAsia="游明朝" w:hAnsi="Calibri" w:cs="Calibri"/>
          <w:snapToGrid w:val="0"/>
          <w:kern w:val="16"/>
          <w:sz w:val="22"/>
          <w:lang w:eastAsia="ja-JP"/>
        </w:rPr>
        <w:t xml:space="preserve"> </w:t>
      </w:r>
      <w:proofErr w:type="spellStart"/>
      <w:r w:rsidRPr="00F97B96">
        <w:rPr>
          <w:rFonts w:ascii="Calibri" w:eastAsia="游明朝" w:hAnsi="Calibri" w:cs="Calibri"/>
          <w:snapToGrid w:val="0"/>
          <w:kern w:val="16"/>
          <w:sz w:val="22"/>
          <w:lang w:eastAsia="ja-JP"/>
        </w:rPr>
        <w:t>Mikihiro</w:t>
      </w:r>
      <w:proofErr w:type="spellEnd"/>
      <w:r w:rsidRPr="00F97B96">
        <w:rPr>
          <w:rFonts w:ascii="Calibri" w:eastAsia="游明朝" w:hAnsi="Calibri" w:cs="Calibri"/>
          <w:snapToGrid w:val="0"/>
          <w:kern w:val="16"/>
          <w:sz w:val="22"/>
          <w:lang w:eastAsia="ja-JP"/>
        </w:rPr>
        <w:t>, University of Tsukuba, Doctoral Student</w:t>
      </w:r>
    </w:p>
    <w:p w14:paraId="4AC8D7BA" w14:textId="0F419A83" w:rsidR="00D60AB6" w:rsidRPr="00F97B96" w:rsidRDefault="000A71BB" w:rsidP="000D68CD">
      <w:pPr>
        <w:wordWrap/>
        <w:spacing w:after="0" w:line="360" w:lineRule="auto"/>
        <w:rPr>
          <w:rFonts w:ascii="Calibri" w:hAnsi="Calibri" w:cs="Calibri"/>
          <w:snapToGrid w:val="0"/>
          <w:kern w:val="16"/>
          <w:sz w:val="22"/>
        </w:rPr>
      </w:pPr>
      <w:r w:rsidRPr="00F97B96">
        <w:rPr>
          <w:rFonts w:ascii="Calibri" w:hAnsi="Calibri" w:cs="Calibri"/>
          <w:snapToGrid w:val="0"/>
          <w:kern w:val="16"/>
          <w:sz w:val="22"/>
        </w:rPr>
        <w:t>Title</w:t>
      </w:r>
      <w:r w:rsidR="00234AB8" w:rsidRPr="00F97B96">
        <w:rPr>
          <w:rFonts w:ascii="Calibri" w:eastAsia="游明朝" w:hAnsi="Calibri" w:cs="Calibri"/>
          <w:snapToGrid w:val="0"/>
          <w:kern w:val="16"/>
          <w:sz w:val="22"/>
          <w:lang w:eastAsia="ja-JP"/>
        </w:rPr>
        <w:t>:</w:t>
      </w:r>
      <w:r w:rsidR="00234AB8" w:rsidRPr="00F97B96">
        <w:rPr>
          <w:rFonts w:ascii="Calibri" w:eastAsia="游明朝" w:hAnsi="Calibri" w:cs="Calibri"/>
          <w:snapToGrid w:val="0"/>
          <w:kern w:val="16"/>
          <w:sz w:val="22"/>
          <w:lang w:eastAsia="ja-JP"/>
        </w:rPr>
        <w:tab/>
      </w:r>
      <w:r w:rsidR="00921FC8" w:rsidRPr="00F97B96">
        <w:rPr>
          <w:rFonts w:ascii="Calibri" w:hAnsi="Calibri" w:cs="Calibri"/>
          <w:snapToGrid w:val="0"/>
          <w:kern w:val="16"/>
          <w:sz w:val="22"/>
        </w:rPr>
        <w:t>Declared but Not Theorized: Care and Its Ambivalence in the Psychology of Working Framework</w:t>
      </w:r>
    </w:p>
    <w:p w14:paraId="45A6EEF0" w14:textId="51A4EA13" w:rsidR="00576455" w:rsidRPr="00F97B96" w:rsidRDefault="00576455"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Indicate which of the conference themes your paper is linked to:</w:t>
      </w:r>
      <w:r w:rsidRPr="00F97B96">
        <w:rPr>
          <w:rFonts w:ascii="Calibri" w:eastAsia="游明朝" w:hAnsi="Calibri" w:cs="Calibri"/>
          <w:snapToGrid w:val="0"/>
          <w:kern w:val="16"/>
          <w:sz w:val="22"/>
          <w:lang w:eastAsia="ja-JP"/>
        </w:rPr>
        <w:tab/>
      </w:r>
      <w:r w:rsidR="00AA32EE" w:rsidRPr="00F97B96">
        <w:rPr>
          <w:rFonts w:ascii="Calibri" w:eastAsia="游明朝" w:hAnsi="Calibri" w:cs="Calibri"/>
          <w:snapToGrid w:val="0"/>
          <w:kern w:val="16"/>
          <w:sz w:val="22"/>
          <w:lang w:eastAsia="ja-JP"/>
        </w:rPr>
        <w:t>Hiwa-</w:t>
      </w:r>
      <w:proofErr w:type="spellStart"/>
      <w:r w:rsidR="00AA32EE" w:rsidRPr="00F97B96">
        <w:rPr>
          <w:rFonts w:ascii="Calibri" w:eastAsia="游明朝" w:hAnsi="Calibri" w:cs="Calibri"/>
          <w:snapToGrid w:val="0"/>
          <w:kern w:val="16"/>
          <w:sz w:val="22"/>
          <w:lang w:eastAsia="ja-JP"/>
        </w:rPr>
        <w:t>i</w:t>
      </w:r>
      <w:proofErr w:type="spellEnd"/>
      <w:r w:rsidR="00AA32EE" w:rsidRPr="00F97B96">
        <w:rPr>
          <w:rFonts w:ascii="Calibri" w:eastAsia="游明朝" w:hAnsi="Calibri" w:cs="Calibri"/>
          <w:snapToGrid w:val="0"/>
          <w:kern w:val="16"/>
          <w:sz w:val="22"/>
          <w:lang w:eastAsia="ja-JP"/>
        </w:rPr>
        <w:t>-</w:t>
      </w:r>
      <w:proofErr w:type="spellStart"/>
      <w:r w:rsidR="00AA32EE" w:rsidRPr="00F97B96">
        <w:rPr>
          <w:rFonts w:ascii="Calibri" w:eastAsia="游明朝" w:hAnsi="Calibri" w:cs="Calibri"/>
          <w:snapToGrid w:val="0"/>
          <w:kern w:val="16"/>
          <w:sz w:val="22"/>
          <w:lang w:eastAsia="ja-JP"/>
        </w:rPr>
        <w:t>te-rangi</w:t>
      </w:r>
      <w:proofErr w:type="spellEnd"/>
      <w:r w:rsidR="00C13A98" w:rsidRPr="00F97B96">
        <w:rPr>
          <w:rFonts w:ascii="Calibri" w:eastAsia="游明朝" w:hAnsi="Calibri" w:cs="Calibri"/>
          <w:snapToGrid w:val="0"/>
          <w:kern w:val="16"/>
          <w:sz w:val="22"/>
          <w:lang w:eastAsia="ja-JP"/>
        </w:rPr>
        <w:t xml:space="preserve"> - Research</w:t>
      </w:r>
    </w:p>
    <w:p w14:paraId="593C4530" w14:textId="59796A82" w:rsidR="00234AB8" w:rsidRPr="00F97B96" w:rsidRDefault="00931410"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Presentation language at the conference:</w:t>
      </w:r>
      <w:r w:rsidRPr="00F97B96">
        <w:rPr>
          <w:rFonts w:ascii="Calibri" w:eastAsia="游明朝" w:hAnsi="Calibri" w:cs="Calibri"/>
          <w:snapToGrid w:val="0"/>
          <w:kern w:val="16"/>
          <w:sz w:val="22"/>
          <w:lang w:eastAsia="ja-JP"/>
        </w:rPr>
        <w:tab/>
        <w:t>English</w:t>
      </w:r>
    </w:p>
    <w:p w14:paraId="3D69C8AF" w14:textId="77777777" w:rsidR="00931410" w:rsidRPr="00F97B96" w:rsidRDefault="00931410" w:rsidP="000D68CD">
      <w:pPr>
        <w:wordWrap/>
        <w:spacing w:after="0" w:line="360" w:lineRule="auto"/>
        <w:rPr>
          <w:rFonts w:ascii="Calibri" w:eastAsia="游明朝" w:hAnsi="Calibri" w:cs="Calibri"/>
          <w:snapToGrid w:val="0"/>
          <w:kern w:val="16"/>
          <w:sz w:val="22"/>
          <w:lang w:eastAsia="ja-JP"/>
        </w:rPr>
      </w:pPr>
    </w:p>
    <w:p w14:paraId="0F92032B" w14:textId="4562293F" w:rsidR="00BC1915" w:rsidRPr="00F97B96" w:rsidRDefault="00BC1915"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Abstract</w:t>
      </w:r>
      <w:r w:rsidR="001F762C" w:rsidRPr="00F97B96">
        <w:rPr>
          <w:rFonts w:ascii="Calibri" w:eastAsia="游明朝" w:hAnsi="Calibri" w:cs="Calibri"/>
          <w:snapToGrid w:val="0"/>
          <w:kern w:val="16"/>
          <w:sz w:val="22"/>
          <w:lang w:eastAsia="ja-JP"/>
        </w:rPr>
        <w:t>:</w:t>
      </w:r>
    </w:p>
    <w:p w14:paraId="51066A30" w14:textId="77777777" w:rsidR="00BC1915" w:rsidRPr="00F97B96" w:rsidRDefault="00BC1915"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The Psychology of Working Framework (PWF), initiated by Richardson (1993) and Blustein (2006), was developed to challenge the privileged assumptions of mainstream career theories by reconceptualizing "work" as a fundamental human activity encompassing both paid labor and unpaid care work. Its subsequent formalization as Psychology of Working Theory (PWT; Duffy et al., 2016) provided an empirically testable framework centered on work volition, economic constraints, and marginalization. While the paradigm explicitly includes caregiving within its definition of work, it has not theorized the conceptual complexity that care introduces. Care is an inherently ambivalent endeavor: it simultaneously affords fulfillment while placing the provider in structural vulnerability. This study conducts a normative theoretical critique examining whether PWF/PWT possesses the conceptual resources to theorize this ambivalence.</w:t>
      </w:r>
    </w:p>
    <w:p w14:paraId="7E24A673" w14:textId="1311AED1" w:rsidR="00BC1915" w:rsidRPr="00F97B96" w:rsidRDefault="00BC1915"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 xml:space="preserve">The analytical framework draws on two complementary intellectual traditions. From feminist social policy, </w:t>
      </w:r>
      <w:proofErr w:type="spellStart"/>
      <w:r w:rsidRPr="00F97B96">
        <w:rPr>
          <w:rFonts w:ascii="Calibri" w:eastAsia="游明朝" w:hAnsi="Calibri" w:cs="Calibri"/>
          <w:snapToGrid w:val="0"/>
          <w:kern w:val="16"/>
          <w:sz w:val="22"/>
          <w:lang w:eastAsia="ja-JP"/>
        </w:rPr>
        <w:t>Ungerson</w:t>
      </w:r>
      <w:proofErr w:type="spellEnd"/>
      <w:r w:rsidRPr="00F97B96">
        <w:rPr>
          <w:rFonts w:ascii="Calibri" w:eastAsia="游明朝" w:hAnsi="Calibri" w:cs="Calibri"/>
          <w:snapToGrid w:val="0"/>
          <w:kern w:val="16"/>
          <w:sz w:val="22"/>
          <w:lang w:eastAsia="ja-JP"/>
        </w:rPr>
        <w:t xml:space="preserve"> (1983) identified care as composed of two irreducible dimensions: "caring about" (an emotional disposition) and "caring for" (time-consuming labor arising from obligation). This distinction links the two poles of ambivalence—fulfillment and structural vulnerability—to the internal properties of care. From the ethics of care, Kittay (1999) supplies the missing mechanism through the concept of the dependency worker: the moral obligation arising from intimate relational bonds is ontologically prior to choice, meaning </w:t>
      </w:r>
      <w:r w:rsidR="009266E5" w:rsidRPr="00F97B96">
        <w:rPr>
          <w:rFonts w:ascii="Calibri" w:eastAsia="游明朝" w:hAnsi="Calibri" w:cs="Calibri"/>
          <w:snapToGrid w:val="0"/>
          <w:kern w:val="16"/>
          <w:sz w:val="22"/>
          <w:lang w:eastAsia="ja-JP"/>
        </w:rPr>
        <w:t xml:space="preserve">that </w:t>
      </w:r>
      <w:r w:rsidRPr="00F97B96">
        <w:rPr>
          <w:rFonts w:ascii="Calibri" w:eastAsia="游明朝" w:hAnsi="Calibri" w:cs="Calibri"/>
          <w:snapToGrid w:val="0"/>
          <w:kern w:val="16"/>
          <w:sz w:val="22"/>
          <w:lang w:eastAsia="ja-JP"/>
        </w:rPr>
        <w:t xml:space="preserve">neither pole of ambivalence can be eliminated without dissolving the relationship itself. While </w:t>
      </w:r>
      <w:proofErr w:type="spellStart"/>
      <w:r w:rsidRPr="00F97B96">
        <w:rPr>
          <w:rFonts w:ascii="Calibri" w:eastAsia="游明朝" w:hAnsi="Calibri" w:cs="Calibri"/>
          <w:snapToGrid w:val="0"/>
          <w:kern w:val="16"/>
          <w:sz w:val="22"/>
          <w:lang w:eastAsia="ja-JP"/>
        </w:rPr>
        <w:t>Ungerson</w:t>
      </w:r>
      <w:proofErr w:type="spellEnd"/>
      <w:r w:rsidRPr="00F97B96">
        <w:rPr>
          <w:rFonts w:ascii="Calibri" w:eastAsia="游明朝" w:hAnsi="Calibri" w:cs="Calibri"/>
          <w:snapToGrid w:val="0"/>
          <w:kern w:val="16"/>
          <w:sz w:val="22"/>
          <w:lang w:eastAsia="ja-JP"/>
        </w:rPr>
        <w:t xml:space="preserve"> identifies the dual nature of care that gives rise to ambivalence, Kittay explains why it is inherent.</w:t>
      </w:r>
    </w:p>
    <w:p w14:paraId="5F128302" w14:textId="6EBDDC28" w:rsidR="00BC1915" w:rsidRPr="00F97B96" w:rsidRDefault="00BC1915"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The analysis examines</w:t>
      </w:r>
      <w:r w:rsidR="0063603B" w:rsidRPr="00F97B96">
        <w:rPr>
          <w:rFonts w:ascii="Calibri" w:eastAsia="游明朝" w:hAnsi="Calibri" w:cs="Calibri"/>
          <w:snapToGrid w:val="0"/>
          <w:kern w:val="16"/>
          <w:sz w:val="22"/>
          <w:lang w:eastAsia="ja-JP"/>
        </w:rPr>
        <w:t xml:space="preserve"> </w:t>
      </w:r>
      <w:r w:rsidRPr="00F97B96">
        <w:rPr>
          <w:rFonts w:ascii="Calibri" w:eastAsia="游明朝" w:hAnsi="Calibri" w:cs="Calibri"/>
          <w:snapToGrid w:val="0"/>
          <w:kern w:val="16"/>
          <w:sz w:val="22"/>
          <w:lang w:eastAsia="ja-JP"/>
        </w:rPr>
        <w:t>canonical PWF/PWT texts along three dimensions derived from the internal structure of ambivalence: (</w:t>
      </w:r>
      <w:proofErr w:type="spellStart"/>
      <w:r w:rsidRPr="00F97B96">
        <w:rPr>
          <w:rFonts w:ascii="Calibri" w:eastAsia="游明朝" w:hAnsi="Calibri" w:cs="Calibri"/>
          <w:snapToGrid w:val="0"/>
          <w:kern w:val="16"/>
          <w:sz w:val="22"/>
          <w:lang w:eastAsia="ja-JP"/>
        </w:rPr>
        <w:t>i</w:t>
      </w:r>
      <w:proofErr w:type="spellEnd"/>
      <w:r w:rsidRPr="00F97B96">
        <w:rPr>
          <w:rFonts w:ascii="Calibri" w:eastAsia="游明朝" w:hAnsi="Calibri" w:cs="Calibri"/>
          <w:snapToGrid w:val="0"/>
          <w:kern w:val="16"/>
          <w:sz w:val="22"/>
          <w:lang w:eastAsia="ja-JP"/>
        </w:rPr>
        <w:t xml:space="preserve">) what care is within the framework, (ii) who provides care, and (iii) why individuals </w:t>
      </w:r>
      <w:proofErr w:type="gramStart"/>
      <w:r w:rsidRPr="00F97B96">
        <w:rPr>
          <w:rFonts w:ascii="Calibri" w:eastAsia="游明朝" w:hAnsi="Calibri" w:cs="Calibri"/>
          <w:snapToGrid w:val="0"/>
          <w:kern w:val="16"/>
          <w:sz w:val="22"/>
          <w:lang w:eastAsia="ja-JP"/>
        </w:rPr>
        <w:t>take on</w:t>
      </w:r>
      <w:proofErr w:type="gramEnd"/>
      <w:r w:rsidRPr="00F97B96">
        <w:rPr>
          <w:rFonts w:ascii="Calibri" w:eastAsia="游明朝" w:hAnsi="Calibri" w:cs="Calibri"/>
          <w:snapToGrid w:val="0"/>
          <w:kern w:val="16"/>
          <w:sz w:val="22"/>
          <w:lang w:eastAsia="ja-JP"/>
        </w:rPr>
        <w:t xml:space="preserve"> care.</w:t>
      </w:r>
    </w:p>
    <w:p w14:paraId="6438E008" w14:textId="3923BF3E" w:rsidR="00BC1915" w:rsidRPr="00F97B96" w:rsidRDefault="00BC1915"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 xml:space="preserve">On the first dimension, care is consistently affirmed at the level of theoretical declaration while remaining absent from the theory's operational apparatus. </w:t>
      </w:r>
      <w:r w:rsidR="001920BE" w:rsidRPr="00F97B96">
        <w:rPr>
          <w:rFonts w:ascii="Calibri" w:eastAsia="游明朝" w:hAnsi="Calibri" w:cs="Calibri"/>
          <w:snapToGrid w:val="0"/>
          <w:kern w:val="16"/>
          <w:sz w:val="22"/>
          <w:lang w:eastAsia="ja-JP"/>
        </w:rPr>
        <w:t>Indeed,</w:t>
      </w:r>
      <w:r w:rsidRPr="00F97B96">
        <w:rPr>
          <w:rFonts w:ascii="Calibri" w:eastAsia="游明朝" w:hAnsi="Calibri" w:cs="Calibri"/>
          <w:snapToGrid w:val="0"/>
          <w:kern w:val="16"/>
          <w:sz w:val="22"/>
          <w:lang w:eastAsia="ja-JP"/>
        </w:rPr>
        <w:t xml:space="preserve"> Duffy et al.'s (2024) review of approximately 100 quantitative PWT studies identifies no study incorporating care work as a model variable. On the second dimension, the paradigm constructs its subject through attribute-based marginalization categories, whereas the care provider is constituted by a relational position—an ongoing engagement with a dependent other from which withdrawal entails moral remainder. No such subject position exists within the paradigm's typology. On the third dimension, the motivational </w:t>
      </w:r>
      <w:r w:rsidRPr="00F97B96">
        <w:rPr>
          <w:rFonts w:ascii="Calibri" w:eastAsia="游明朝" w:hAnsi="Calibri" w:cs="Calibri"/>
          <w:snapToGrid w:val="0"/>
          <w:kern w:val="16"/>
          <w:sz w:val="22"/>
          <w:lang w:eastAsia="ja-JP"/>
        </w:rPr>
        <w:lastRenderedPageBreak/>
        <w:t xml:space="preserve">architecture supplied by self-determination theory (SDT) confines explanation to autonomous self-regulation and </w:t>
      </w:r>
      <w:proofErr w:type="gramStart"/>
      <w:r w:rsidRPr="00F97B96">
        <w:rPr>
          <w:rFonts w:ascii="Calibri" w:eastAsia="游明朝" w:hAnsi="Calibri" w:cs="Calibri"/>
          <w:snapToGrid w:val="0"/>
          <w:kern w:val="16"/>
          <w:sz w:val="22"/>
          <w:lang w:eastAsia="ja-JP"/>
        </w:rPr>
        <w:t>need</w:t>
      </w:r>
      <w:proofErr w:type="gramEnd"/>
      <w:r w:rsidRPr="00F97B96">
        <w:rPr>
          <w:rFonts w:ascii="Calibri" w:eastAsia="游明朝" w:hAnsi="Calibri" w:cs="Calibri"/>
          <w:snapToGrid w:val="0"/>
          <w:kern w:val="16"/>
          <w:sz w:val="22"/>
          <w:lang w:eastAsia="ja-JP"/>
        </w:rPr>
        <w:t xml:space="preserve"> satisfaction. Care obligation, arising from asymmetrical and inescapable dependency prior to voluntary connection (Kittay, 1999), has no corresponding concept. Even SDT's introjected regulation treats felt obligation as a suboptimal state to be transcended, thereby casting the obligatory character of care as a deficiency rather than a constitutive feature.</w:t>
      </w:r>
    </w:p>
    <w:p w14:paraId="2B06D252" w14:textId="74F779DB" w:rsidR="00BC1915" w:rsidRPr="00F97B96" w:rsidRDefault="00BC1915"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 xml:space="preserve">The study concludes that the paradigm's inability to theorize care's ambivalence is not a localized omission but a consequence of its organizing logic: the centrality of occupational participation as the axis around which </w:t>
      </w:r>
      <w:proofErr w:type="gramStart"/>
      <w:r w:rsidRPr="00F97B96">
        <w:rPr>
          <w:rFonts w:ascii="Calibri" w:eastAsia="游明朝" w:hAnsi="Calibri" w:cs="Calibri"/>
          <w:snapToGrid w:val="0"/>
          <w:kern w:val="16"/>
          <w:sz w:val="22"/>
          <w:lang w:eastAsia="ja-JP"/>
        </w:rPr>
        <w:t>the theory</w:t>
      </w:r>
      <w:proofErr w:type="gramEnd"/>
      <w:r w:rsidRPr="00F97B96">
        <w:rPr>
          <w:rFonts w:ascii="Calibri" w:eastAsia="游明朝" w:hAnsi="Calibri" w:cs="Calibri"/>
          <w:snapToGrid w:val="0"/>
          <w:kern w:val="16"/>
          <w:sz w:val="22"/>
          <w:lang w:eastAsia="ja-JP"/>
        </w:rPr>
        <w:t xml:space="preserve"> is constructed. Within this logic, care can appear only in relation to employment—as a barrier, a gendered inequity, or an activity subsumed under a general definition of work—but never as an activity possessing its own theoretical standing. Ultimately, this analysis calls for a paradigm shift in which occupational participation is decentered, allowing care to be repositioned as a domain of human life generating its own forms of obligation, fulfillment, and vulnerability, demanding </w:t>
      </w:r>
      <w:proofErr w:type="gramStart"/>
      <w:r w:rsidRPr="00F97B96">
        <w:rPr>
          <w:rFonts w:ascii="Calibri" w:eastAsia="游明朝" w:hAnsi="Calibri" w:cs="Calibri"/>
          <w:snapToGrid w:val="0"/>
          <w:kern w:val="16"/>
          <w:sz w:val="22"/>
          <w:lang w:eastAsia="ja-JP"/>
        </w:rPr>
        <w:t>theorization in its own right</w:t>
      </w:r>
      <w:proofErr w:type="gramEnd"/>
      <w:r w:rsidRPr="00F97B96">
        <w:rPr>
          <w:rFonts w:ascii="Calibri" w:eastAsia="游明朝" w:hAnsi="Calibri" w:cs="Calibri"/>
          <w:snapToGrid w:val="0"/>
          <w:kern w:val="16"/>
          <w:sz w:val="22"/>
          <w:lang w:eastAsia="ja-JP"/>
        </w:rPr>
        <w:t>.</w:t>
      </w:r>
    </w:p>
    <w:p w14:paraId="0BBE9D9E" w14:textId="77777777" w:rsidR="001F0C0A" w:rsidRDefault="001F0C0A" w:rsidP="000D68CD">
      <w:pPr>
        <w:wordWrap/>
        <w:spacing w:after="0" w:line="360" w:lineRule="auto"/>
        <w:rPr>
          <w:rFonts w:ascii="Calibri" w:eastAsia="游明朝" w:hAnsi="Calibri" w:cs="Calibri"/>
          <w:snapToGrid w:val="0"/>
          <w:kern w:val="16"/>
          <w:sz w:val="22"/>
          <w:lang w:eastAsia="ja-JP"/>
        </w:rPr>
      </w:pPr>
    </w:p>
    <w:p w14:paraId="602D40E2" w14:textId="7BDDEC49" w:rsidR="00703383" w:rsidRPr="00F97B96" w:rsidRDefault="00703383"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Keywords:</w:t>
      </w:r>
      <w:r w:rsidRPr="00F97B96">
        <w:rPr>
          <w:rFonts w:ascii="Calibri" w:eastAsia="游明朝" w:hAnsi="Calibri" w:cs="Calibri"/>
          <w:snapToGrid w:val="0"/>
          <w:kern w:val="16"/>
          <w:sz w:val="22"/>
          <w:lang w:eastAsia="ja-JP"/>
        </w:rPr>
        <w:tab/>
      </w:r>
      <w:r w:rsidR="00E84F46" w:rsidRPr="00F97B96">
        <w:rPr>
          <w:rFonts w:ascii="Calibri" w:eastAsia="游明朝" w:hAnsi="Calibri" w:cs="Calibri"/>
          <w:snapToGrid w:val="0"/>
          <w:kern w:val="16"/>
          <w:sz w:val="22"/>
          <w:lang w:eastAsia="ja-JP"/>
        </w:rPr>
        <w:t>Psychology of Working Framework</w:t>
      </w:r>
      <w:r w:rsidR="007468AB" w:rsidRPr="00F97B96">
        <w:rPr>
          <w:rFonts w:ascii="Calibri" w:eastAsia="游明朝" w:hAnsi="Calibri" w:cs="Calibri"/>
          <w:snapToGrid w:val="0"/>
          <w:kern w:val="16"/>
          <w:sz w:val="22"/>
          <w:lang w:eastAsia="ja-JP"/>
        </w:rPr>
        <w:t xml:space="preserve"> / care / </w:t>
      </w:r>
      <w:r w:rsidR="00CE5B2D" w:rsidRPr="00F97B96">
        <w:rPr>
          <w:rFonts w:ascii="Calibri" w:eastAsia="游明朝" w:hAnsi="Calibri" w:cs="Calibri"/>
          <w:snapToGrid w:val="0"/>
          <w:kern w:val="16"/>
          <w:sz w:val="22"/>
          <w:lang w:eastAsia="ja-JP"/>
        </w:rPr>
        <w:t>ambivalence / ethics of care / dependency</w:t>
      </w:r>
    </w:p>
    <w:p w14:paraId="186A6027" w14:textId="77777777" w:rsidR="00CE5B2D" w:rsidRPr="00F97B96" w:rsidRDefault="00CE5B2D" w:rsidP="000D68CD">
      <w:pPr>
        <w:wordWrap/>
        <w:spacing w:after="0" w:line="360" w:lineRule="auto"/>
        <w:rPr>
          <w:rFonts w:ascii="Calibri" w:eastAsia="游明朝" w:hAnsi="Calibri" w:cs="Calibri"/>
          <w:snapToGrid w:val="0"/>
          <w:kern w:val="16"/>
          <w:sz w:val="22"/>
          <w:lang w:eastAsia="ja-JP"/>
        </w:rPr>
      </w:pPr>
    </w:p>
    <w:p w14:paraId="5ABCF5FD" w14:textId="77777777" w:rsidR="000D68CD" w:rsidRDefault="000D68CD">
      <w:pPr>
        <w:widowControl/>
        <w:wordWrap/>
        <w:autoSpaceDE/>
        <w:autoSpaceDN/>
        <w:rPr>
          <w:rFonts w:ascii="Calibri" w:hAnsi="Calibri" w:cs="Calibri"/>
          <w:snapToGrid w:val="0"/>
          <w:kern w:val="16"/>
          <w:sz w:val="22"/>
        </w:rPr>
      </w:pPr>
      <w:r>
        <w:rPr>
          <w:rFonts w:ascii="Calibri" w:hAnsi="Calibri" w:cs="Calibri"/>
          <w:snapToGrid w:val="0"/>
          <w:kern w:val="16"/>
          <w:sz w:val="22"/>
        </w:rPr>
        <w:br w:type="page"/>
      </w:r>
    </w:p>
    <w:p w14:paraId="6EE7CC18" w14:textId="5F36F760" w:rsidR="0003099D" w:rsidRPr="00F97B96" w:rsidRDefault="00EA0760" w:rsidP="000D68CD">
      <w:pPr>
        <w:wordWrap/>
        <w:spacing w:after="0" w:line="360" w:lineRule="auto"/>
        <w:rPr>
          <w:rFonts w:ascii="Calibri" w:hAnsi="Calibri" w:cs="Calibri"/>
          <w:snapToGrid w:val="0"/>
          <w:kern w:val="16"/>
          <w:sz w:val="22"/>
        </w:rPr>
      </w:pPr>
      <w:r w:rsidRPr="00F97B96">
        <w:rPr>
          <w:rFonts w:ascii="Calibri" w:hAnsi="Calibri" w:cs="Calibri"/>
          <w:snapToGrid w:val="0"/>
          <w:kern w:val="16"/>
          <w:sz w:val="22"/>
        </w:rPr>
        <w:lastRenderedPageBreak/>
        <w:t>Contents</w:t>
      </w:r>
      <w:r w:rsidR="00446CD2" w:rsidRPr="00F97B96">
        <w:rPr>
          <w:rFonts w:ascii="Calibri" w:eastAsia="游明朝" w:hAnsi="Calibri" w:cs="Calibri"/>
          <w:snapToGrid w:val="0"/>
          <w:kern w:val="16"/>
          <w:sz w:val="22"/>
          <w:lang w:eastAsia="ja-JP"/>
        </w:rPr>
        <w:t>:</w:t>
      </w:r>
    </w:p>
    <w:p w14:paraId="4C329CB2" w14:textId="21D3F748" w:rsidR="00D26835" w:rsidRPr="00F97B96" w:rsidRDefault="00EA0760" w:rsidP="000D68CD">
      <w:pPr>
        <w:wordWrap/>
        <w:spacing w:after="0" w:line="360" w:lineRule="auto"/>
        <w:rPr>
          <w:rFonts w:ascii="Calibri" w:eastAsia="游明朝" w:hAnsi="Calibri" w:cs="Calibri"/>
          <w:snapToGrid w:val="0"/>
          <w:kern w:val="16"/>
          <w:sz w:val="22"/>
          <w:lang w:eastAsia="ja-JP"/>
        </w:rPr>
      </w:pPr>
      <w:r w:rsidRPr="00F97B96">
        <w:rPr>
          <w:rFonts w:ascii="Calibri" w:hAnsi="Calibri" w:cs="Calibri"/>
          <w:snapToGrid w:val="0"/>
          <w:kern w:val="16"/>
          <w:sz w:val="22"/>
        </w:rPr>
        <w:t>-</w:t>
      </w:r>
      <w:r w:rsidR="00005297" w:rsidRPr="00F97B96">
        <w:rPr>
          <w:rFonts w:ascii="Calibri" w:hAnsi="Calibri" w:cs="Calibri"/>
          <w:snapToGrid w:val="0"/>
          <w:kern w:val="16"/>
          <w:sz w:val="22"/>
        </w:rPr>
        <w:t>In</w:t>
      </w:r>
      <w:r w:rsidR="00087C73" w:rsidRPr="00F97B96">
        <w:rPr>
          <w:rFonts w:ascii="Calibri" w:hAnsi="Calibri" w:cs="Calibri"/>
          <w:snapToGrid w:val="0"/>
          <w:kern w:val="16"/>
          <w:sz w:val="22"/>
        </w:rPr>
        <w:t>trod</w:t>
      </w:r>
      <w:r w:rsidR="00005297" w:rsidRPr="00F97B96">
        <w:rPr>
          <w:rFonts w:ascii="Calibri" w:hAnsi="Calibri" w:cs="Calibri"/>
          <w:snapToGrid w:val="0"/>
          <w:kern w:val="16"/>
          <w:sz w:val="22"/>
        </w:rPr>
        <w:t>uction</w:t>
      </w:r>
    </w:p>
    <w:p w14:paraId="2D482551" w14:textId="77777777" w:rsidR="00710033" w:rsidRPr="00F97B96" w:rsidRDefault="00710033"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Mainstream career theories have long constructed their frameworks around the experiences of those with access to stable employment and continuous career development. The Psychology of Working Framework (PWF), initiated by Richardson (1993) and Blustein (2006), was developed precisely to challenge this limitation. By reconceptualizing "work" as a fundamental human activity encompassing both paid market labor and unpaid care work, the tradition decentered the privileged status of professional careers and extended its theoretical scope to populations historically excluded from career theory—including poor and working-class people, racial and ethnic minorities, immigrants, and those facing systemic discrimination (Duffy et al., 2016). The subsequent formalization of Psychology of Working Theory (PWT; Duffy et al., 2016) advanced this project further by providing an empirically testable framework centered on work volition, economic constraints, and marginalization, through which structural barriers to decent work could be systematically analyzed. In these respects, the PWF/PWT paradigm represents a significant corrective to the individualist and privilege-bound assumptions of earlier career theories.</w:t>
      </w:r>
    </w:p>
    <w:p w14:paraId="43CC53D1" w14:textId="77777777" w:rsidR="00710033" w:rsidRPr="00F97B96" w:rsidRDefault="00710033"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Yet a fundamental problem remains. Although PWF/PWT explicitly includes caregiving work within its definition of work (Blustein, 2006; Richardson, 2012; Duffy et al., 2016), the paradigm has not theorized the conceptual complexity that care introduces. Care is an inherently ambivalent endeavor: it simultaneously affords fulfillment while placing the provider in structural vulnerability. As Kittay (1999) demonstrates, the obligation that compels a care provider to respond to a dependent other arises not from freely chosen commitment but from a relational bond rooted in dependency as an ontological condition of human existence.</w:t>
      </w:r>
    </w:p>
    <w:p w14:paraId="7B8F4260" w14:textId="32D1A5F1" w:rsidR="00672039" w:rsidRPr="00F97B96" w:rsidRDefault="00710033"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Qualitative research on family caregiving illustrates the structure of this ambivalence vividly. In a study of family caregivers in palliative home settings, Haan et al. (2021) found that even when professional night care was present, caregivers still felt compelled to respond personally. One daughter, despite being told by night care staff to remain in bed, reported rising because her father called her name: "</w:t>
      </w:r>
      <w:r w:rsidR="00B9277D" w:rsidRPr="00F97B96">
        <w:rPr>
          <w:rFonts w:ascii="Calibri" w:eastAsia="游明朝" w:hAnsi="Calibri" w:cs="Calibri"/>
          <w:snapToGrid w:val="0"/>
          <w:kern w:val="16"/>
          <w:sz w:val="22"/>
          <w:lang w:eastAsia="ja-JP"/>
        </w:rPr>
        <w:t>M</w:t>
      </w:r>
      <w:r w:rsidRPr="00F97B96">
        <w:rPr>
          <w:rFonts w:ascii="Calibri" w:eastAsia="游明朝" w:hAnsi="Calibri" w:cs="Calibri"/>
          <w:snapToGrid w:val="0"/>
          <w:kern w:val="16"/>
          <w:sz w:val="22"/>
          <w:lang w:eastAsia="ja-JP"/>
        </w:rPr>
        <w:t>y father calls me, never mind. I'm awake anyway" (p.6). The obligation was activated not by the absence of institutional support but by the relational bond itself. Within PWT's existing framework, this caregiver's situation would be processed as diminished work volition attributable to contextual barriers, and intervention would be directed toward restoring volition or removing obstacles. Yet the driving force is a moral obligation rooted in an inescapable relational bond. The ambivalence that Haan et al. document—caregivers simultaneously experiencing care as deeply rewarding and structurally depleting—has no conceptual home within the theory. What is required, therefore, is a critical examination of whether PWF/PWT possesses the conceptual resources to theorize this ambivalence.</w:t>
      </w:r>
    </w:p>
    <w:p w14:paraId="31E0147C" w14:textId="77777777" w:rsidR="00710033" w:rsidRPr="00F97B96" w:rsidRDefault="00710033" w:rsidP="000D68CD">
      <w:pPr>
        <w:wordWrap/>
        <w:spacing w:after="0" w:line="360" w:lineRule="auto"/>
        <w:rPr>
          <w:rFonts w:ascii="Calibri" w:eastAsia="游明朝" w:hAnsi="Calibri" w:cs="Calibri"/>
          <w:snapToGrid w:val="0"/>
          <w:kern w:val="16"/>
          <w:sz w:val="22"/>
          <w:lang w:eastAsia="ja-JP"/>
        </w:rPr>
      </w:pPr>
    </w:p>
    <w:p w14:paraId="3D61DD15" w14:textId="2D19D736" w:rsidR="00DA52D7" w:rsidRPr="00F97B96" w:rsidRDefault="00DA52D7"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-O</w:t>
      </w:r>
      <w:r w:rsidRPr="00F97B96">
        <w:rPr>
          <w:rFonts w:ascii="Calibri" w:hAnsi="Calibri" w:cs="Calibri"/>
          <w:snapToGrid w:val="0"/>
          <w:kern w:val="16"/>
          <w:sz w:val="22"/>
        </w:rPr>
        <w:t>bjectives</w:t>
      </w:r>
    </w:p>
    <w:p w14:paraId="5989C172" w14:textId="3D7D05DC" w:rsidR="00DA52D7" w:rsidRPr="00F97B96" w:rsidRDefault="00710033"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This study aims to investigate how the PWF/PWT conceptualizes care, drawing on feminist social policy and the ethics of care as complementary analytical resources to illuminate the structural limitations of the paradigm's treatment of care.</w:t>
      </w:r>
    </w:p>
    <w:p w14:paraId="59BF4199" w14:textId="77777777" w:rsidR="00710033" w:rsidRPr="00F97B96" w:rsidRDefault="00710033" w:rsidP="000D68CD">
      <w:pPr>
        <w:wordWrap/>
        <w:spacing w:after="0" w:line="360" w:lineRule="auto"/>
        <w:rPr>
          <w:rFonts w:ascii="Calibri" w:eastAsia="游明朝" w:hAnsi="Calibri" w:cs="Calibri"/>
          <w:snapToGrid w:val="0"/>
          <w:kern w:val="16"/>
          <w:sz w:val="22"/>
          <w:lang w:eastAsia="ja-JP"/>
        </w:rPr>
      </w:pPr>
    </w:p>
    <w:p w14:paraId="1773211F" w14:textId="77777777" w:rsidR="00637915" w:rsidRPr="00F97B96" w:rsidRDefault="00637915" w:rsidP="000D68CD">
      <w:pPr>
        <w:wordWrap/>
        <w:spacing w:after="0" w:line="360" w:lineRule="auto"/>
        <w:rPr>
          <w:rFonts w:ascii="Calibri" w:hAnsi="Calibri" w:cs="Calibri"/>
          <w:snapToGrid w:val="0"/>
          <w:kern w:val="16"/>
          <w:sz w:val="22"/>
        </w:rPr>
      </w:pPr>
      <w:r w:rsidRPr="00F97B96">
        <w:rPr>
          <w:rFonts w:ascii="Calibri" w:hAnsi="Calibri" w:cs="Calibri"/>
          <w:snapToGrid w:val="0"/>
          <w:kern w:val="16"/>
          <w:sz w:val="22"/>
        </w:rPr>
        <w:lastRenderedPageBreak/>
        <w:t>-Theoretical basis</w:t>
      </w:r>
    </w:p>
    <w:p w14:paraId="7B3E3317" w14:textId="77777777" w:rsidR="005E4C28" w:rsidRPr="00F97B96" w:rsidRDefault="005E4C28"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This study asks whether PWF/PWT possesses the conceptual resources to theorize care's inherent ambivalence. Answering this question requires an analytical framework that has already articulated what ambivalence consists of and why it arises—a framework that PWF/PWT itself has not engaged with. Two contributions from distinct intellectual traditions supply the necessary apparatus.</w:t>
      </w:r>
    </w:p>
    <w:p w14:paraId="1C3AF85D" w14:textId="77777777" w:rsidR="005E4C28" w:rsidRPr="00F97B96" w:rsidRDefault="005E4C28"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 xml:space="preserve">From feminist social policy, </w:t>
      </w:r>
      <w:proofErr w:type="spellStart"/>
      <w:r w:rsidRPr="00F97B96">
        <w:rPr>
          <w:rFonts w:ascii="Calibri" w:eastAsia="游明朝" w:hAnsi="Calibri" w:cs="Calibri"/>
          <w:snapToGrid w:val="0"/>
          <w:kern w:val="16"/>
          <w:sz w:val="22"/>
          <w:lang w:eastAsia="ja-JP"/>
        </w:rPr>
        <w:t>Ungerson</w:t>
      </w:r>
      <w:proofErr w:type="spellEnd"/>
      <w:r w:rsidRPr="00F97B96">
        <w:rPr>
          <w:rFonts w:ascii="Calibri" w:eastAsia="游明朝" w:hAnsi="Calibri" w:cs="Calibri"/>
          <w:snapToGrid w:val="0"/>
          <w:kern w:val="16"/>
          <w:sz w:val="22"/>
          <w:lang w:eastAsia="ja-JP"/>
        </w:rPr>
        <w:t xml:space="preserve"> (1983) identified care as composed of two irreducible dimensions: "caring about"—an emotional disposition requiring no </w:t>
      </w:r>
      <w:proofErr w:type="gramStart"/>
      <w:r w:rsidRPr="00F97B96">
        <w:rPr>
          <w:rFonts w:ascii="Calibri" w:eastAsia="游明朝" w:hAnsi="Calibri" w:cs="Calibri"/>
          <w:snapToGrid w:val="0"/>
          <w:kern w:val="16"/>
          <w:sz w:val="22"/>
          <w:lang w:eastAsia="ja-JP"/>
        </w:rPr>
        <w:t>particular time</w:t>
      </w:r>
      <w:proofErr w:type="gramEnd"/>
      <w:r w:rsidRPr="00F97B96">
        <w:rPr>
          <w:rFonts w:ascii="Calibri" w:eastAsia="游明朝" w:hAnsi="Calibri" w:cs="Calibri"/>
          <w:snapToGrid w:val="0"/>
          <w:kern w:val="16"/>
          <w:sz w:val="22"/>
          <w:lang w:eastAsia="ja-JP"/>
        </w:rPr>
        <w:t>—and "caring for"—time-consuming labor arising from obligation or normative expectation (pp.31–32). This distinction is analytically indispensable because it reveals care as a composite of affective attachment and labor burden, generating fulfillment and structural vulnerability respectively. Without it, the two poles of ambivalence cannot be linked to the internal properties of care.</w:t>
      </w:r>
    </w:p>
    <w:p w14:paraId="1D56B6C5" w14:textId="52E49EB8" w:rsidR="005E4C28" w:rsidRPr="00F97B96" w:rsidRDefault="005E4C28"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 xml:space="preserve">Yet </w:t>
      </w:r>
      <w:proofErr w:type="spellStart"/>
      <w:r w:rsidRPr="00F97B96">
        <w:rPr>
          <w:rFonts w:ascii="Calibri" w:eastAsia="游明朝" w:hAnsi="Calibri" w:cs="Calibri"/>
          <w:snapToGrid w:val="0"/>
          <w:kern w:val="16"/>
          <w:sz w:val="22"/>
          <w:lang w:eastAsia="ja-JP"/>
        </w:rPr>
        <w:t>Ungerson's</w:t>
      </w:r>
      <w:proofErr w:type="spellEnd"/>
      <w:r w:rsidRPr="00F97B96">
        <w:rPr>
          <w:rFonts w:ascii="Calibri" w:eastAsia="游明朝" w:hAnsi="Calibri" w:cs="Calibri"/>
          <w:snapToGrid w:val="0"/>
          <w:kern w:val="16"/>
          <w:sz w:val="22"/>
          <w:lang w:eastAsia="ja-JP"/>
        </w:rPr>
        <w:t xml:space="preserve"> analysis does not explain why these two dimensions are bound together in a way that institutional support or individual choice cannot resolve. It is Kittay's (1999) work within the ethics of care that supplies the missing mechanism. Introducing the concept of the dependency worker, Kittay demonstrates that the moral obligation arising from intimate relational bonds generates fulfillment for the care provider while simultaneously producing structural vulnerability. Because this bond is ontologically prior to choice, neither pole can be eliminated without dissolving the relationship itself. </w:t>
      </w:r>
      <w:r w:rsidR="00B9277D" w:rsidRPr="00F97B96">
        <w:rPr>
          <w:rFonts w:ascii="Calibri" w:eastAsia="游明朝" w:hAnsi="Calibri" w:cs="Calibri"/>
          <w:snapToGrid w:val="0"/>
          <w:kern w:val="16"/>
          <w:sz w:val="22"/>
          <w:lang w:eastAsia="ja-JP"/>
        </w:rPr>
        <w:t>Taken together,</w:t>
      </w:r>
      <w:r w:rsidRPr="00F97B96">
        <w:rPr>
          <w:rFonts w:ascii="Calibri" w:eastAsia="游明朝" w:hAnsi="Calibri" w:cs="Calibri"/>
          <w:snapToGrid w:val="0"/>
          <w:kern w:val="16"/>
          <w:sz w:val="22"/>
          <w:lang w:eastAsia="ja-JP"/>
        </w:rPr>
        <w:t xml:space="preserve"> </w:t>
      </w:r>
      <w:proofErr w:type="spellStart"/>
      <w:r w:rsidRPr="00F97B96">
        <w:rPr>
          <w:rFonts w:ascii="Calibri" w:eastAsia="游明朝" w:hAnsi="Calibri" w:cs="Calibri"/>
          <w:snapToGrid w:val="0"/>
          <w:kern w:val="16"/>
          <w:sz w:val="22"/>
          <w:lang w:eastAsia="ja-JP"/>
        </w:rPr>
        <w:t>Ungerson</w:t>
      </w:r>
      <w:proofErr w:type="spellEnd"/>
      <w:r w:rsidRPr="00F97B96">
        <w:rPr>
          <w:rFonts w:ascii="Calibri" w:eastAsia="游明朝" w:hAnsi="Calibri" w:cs="Calibri"/>
          <w:snapToGrid w:val="0"/>
          <w:kern w:val="16"/>
          <w:sz w:val="22"/>
          <w:lang w:eastAsia="ja-JP"/>
        </w:rPr>
        <w:t xml:space="preserve"> identifies the dual nature of care that gives rise to ambivalence, </w:t>
      </w:r>
      <w:r w:rsidR="00B9277D" w:rsidRPr="00F97B96">
        <w:rPr>
          <w:rFonts w:ascii="Calibri" w:eastAsia="游明朝" w:hAnsi="Calibri" w:cs="Calibri"/>
          <w:snapToGrid w:val="0"/>
          <w:kern w:val="16"/>
          <w:sz w:val="22"/>
          <w:lang w:eastAsia="ja-JP"/>
        </w:rPr>
        <w:t>while</w:t>
      </w:r>
      <w:r w:rsidRPr="00F97B96">
        <w:rPr>
          <w:rFonts w:ascii="Calibri" w:eastAsia="游明朝" w:hAnsi="Calibri" w:cs="Calibri"/>
          <w:snapToGrid w:val="0"/>
          <w:kern w:val="16"/>
          <w:sz w:val="22"/>
          <w:lang w:eastAsia="ja-JP"/>
        </w:rPr>
        <w:t xml:space="preserve"> Kittay explains why it is inherent. This combined framework provides the analytical lens for this study.</w:t>
      </w:r>
    </w:p>
    <w:p w14:paraId="4E29FFCF" w14:textId="77777777" w:rsidR="005B1027" w:rsidRPr="00F97B96" w:rsidRDefault="005B1027" w:rsidP="000D68CD">
      <w:pPr>
        <w:wordWrap/>
        <w:spacing w:after="0" w:line="360" w:lineRule="auto"/>
        <w:rPr>
          <w:rFonts w:ascii="Calibri" w:eastAsia="游明朝" w:hAnsi="Calibri" w:cs="Calibri"/>
          <w:snapToGrid w:val="0"/>
          <w:kern w:val="16"/>
          <w:sz w:val="22"/>
          <w:lang w:eastAsia="ja-JP"/>
        </w:rPr>
      </w:pPr>
    </w:p>
    <w:p w14:paraId="78C79BC3" w14:textId="62CF9488" w:rsidR="00005297" w:rsidRPr="00F97B96" w:rsidRDefault="00EA0760" w:rsidP="000D68CD">
      <w:pPr>
        <w:wordWrap/>
        <w:spacing w:after="0" w:line="360" w:lineRule="auto"/>
        <w:rPr>
          <w:rFonts w:ascii="Calibri" w:hAnsi="Calibri" w:cs="Calibri"/>
          <w:snapToGrid w:val="0"/>
          <w:kern w:val="16"/>
          <w:sz w:val="22"/>
        </w:rPr>
      </w:pPr>
      <w:r w:rsidRPr="00F97B96">
        <w:rPr>
          <w:rFonts w:ascii="Calibri" w:hAnsi="Calibri" w:cs="Calibri"/>
          <w:snapToGrid w:val="0"/>
          <w:kern w:val="16"/>
          <w:sz w:val="22"/>
        </w:rPr>
        <w:t>-</w:t>
      </w:r>
      <w:r w:rsidR="00005297" w:rsidRPr="00F97B96">
        <w:rPr>
          <w:rFonts w:ascii="Calibri" w:hAnsi="Calibri" w:cs="Calibri"/>
          <w:snapToGrid w:val="0"/>
          <w:kern w:val="16"/>
          <w:sz w:val="22"/>
        </w:rPr>
        <w:t>Methodology</w:t>
      </w:r>
    </w:p>
    <w:p w14:paraId="15447A96" w14:textId="77777777" w:rsidR="005E4C28" w:rsidRPr="00F97B96" w:rsidRDefault="005E4C28"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This study conducts a normative theoretical critique of how the Psychology of Working paradigm has theorized care. It adopts feminist social policy and the ethics of care as external analytical standpoints from which the paradigm's canonical texts are examined, interrogating the presuppositions governing what the paradigm can and cannot theorize about care.</w:t>
      </w:r>
    </w:p>
    <w:p w14:paraId="7F1F7A6B" w14:textId="162D4854" w:rsidR="005E4C28" w:rsidRPr="00F97B96" w:rsidRDefault="005E4C28"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The analytical corpus comprises seven canonical texts: Blustein (2006); Blustein et al. (2008); Richardson (2012); Duffy et al. (2016); Blustein (2019); Blustein and Duffy (2021); and Duffy et al. (2024). While Richardson (1993) initiated the PWF, the formal theoretical architecture defining the paradigm's treatment of care was established in Blustein (2006) and subsequent works, which therefore constitute the analytical corpus. The methodological requirement is a structural examination of these core texts, rather than an exhaustive survey of derivative empirical studies.</w:t>
      </w:r>
    </w:p>
    <w:p w14:paraId="75A86855" w14:textId="3E5A4B72" w:rsidR="005E4C28" w:rsidRPr="00F97B96" w:rsidRDefault="00B9277D"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The analysis is organized along three core dimensions derived from the internal structure of the subject matter</w:t>
      </w:r>
      <w:r w:rsidR="005E4C28" w:rsidRPr="00F97B96">
        <w:rPr>
          <w:rFonts w:ascii="Calibri" w:eastAsia="游明朝" w:hAnsi="Calibri" w:cs="Calibri"/>
          <w:snapToGrid w:val="0"/>
          <w:kern w:val="16"/>
          <w:sz w:val="22"/>
          <w:lang w:eastAsia="ja-JP"/>
        </w:rPr>
        <w:t>: care's inherent ambivalence, understood as the simultaneous generation of fulfillment and structural vulnerability, rooted in labor burden (</w:t>
      </w:r>
      <w:proofErr w:type="spellStart"/>
      <w:r w:rsidR="005E4C28" w:rsidRPr="00F97B96">
        <w:rPr>
          <w:rFonts w:ascii="Calibri" w:eastAsia="游明朝" w:hAnsi="Calibri" w:cs="Calibri"/>
          <w:snapToGrid w:val="0"/>
          <w:kern w:val="16"/>
          <w:sz w:val="22"/>
          <w:lang w:eastAsia="ja-JP"/>
        </w:rPr>
        <w:t>Ungerson</w:t>
      </w:r>
      <w:proofErr w:type="spellEnd"/>
      <w:r w:rsidR="005E4C28" w:rsidRPr="00F97B96">
        <w:rPr>
          <w:rFonts w:ascii="Calibri" w:eastAsia="游明朝" w:hAnsi="Calibri" w:cs="Calibri"/>
          <w:snapToGrid w:val="0"/>
          <w:kern w:val="16"/>
          <w:sz w:val="22"/>
          <w:lang w:eastAsia="ja-JP"/>
        </w:rPr>
        <w:t xml:space="preserve">, 1983) and relational obligation (Kittay, 1999). For a theoretical framework to be capable of theorizing this ambivalence, it must possess conceptual resources adequate to three constitutive questions. Each is logically entailed by the definition of ambivalence itself, and the absence of </w:t>
      </w:r>
      <w:proofErr w:type="gramStart"/>
      <w:r w:rsidR="005E4C28" w:rsidRPr="00F97B96">
        <w:rPr>
          <w:rFonts w:ascii="Calibri" w:eastAsia="游明朝" w:hAnsi="Calibri" w:cs="Calibri"/>
          <w:snapToGrid w:val="0"/>
          <w:kern w:val="16"/>
          <w:sz w:val="22"/>
          <w:lang w:eastAsia="ja-JP"/>
        </w:rPr>
        <w:t>any one</w:t>
      </w:r>
      <w:proofErr w:type="gramEnd"/>
      <w:r w:rsidR="005E4C28" w:rsidRPr="00F97B96">
        <w:rPr>
          <w:rFonts w:ascii="Calibri" w:eastAsia="游明朝" w:hAnsi="Calibri" w:cs="Calibri"/>
          <w:snapToGrid w:val="0"/>
          <w:kern w:val="16"/>
          <w:sz w:val="22"/>
          <w:lang w:eastAsia="ja-JP"/>
        </w:rPr>
        <w:t xml:space="preserve"> renders the theorization of ambivalence impossible:</w:t>
      </w:r>
    </w:p>
    <w:p w14:paraId="58B782AF" w14:textId="77777777" w:rsidR="005E4C28" w:rsidRPr="00F97B96" w:rsidRDefault="005E4C28"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lastRenderedPageBreak/>
        <w:t>(</w:t>
      </w:r>
      <w:proofErr w:type="spellStart"/>
      <w:r w:rsidRPr="00F97B96">
        <w:rPr>
          <w:rFonts w:ascii="Calibri" w:eastAsia="游明朝" w:hAnsi="Calibri" w:cs="Calibri"/>
          <w:snapToGrid w:val="0"/>
          <w:kern w:val="16"/>
          <w:sz w:val="22"/>
          <w:lang w:eastAsia="ja-JP"/>
        </w:rPr>
        <w:t>i</w:t>
      </w:r>
      <w:proofErr w:type="spellEnd"/>
      <w:r w:rsidRPr="00F97B96">
        <w:rPr>
          <w:rFonts w:ascii="Calibri" w:eastAsia="游明朝" w:hAnsi="Calibri" w:cs="Calibri"/>
          <w:snapToGrid w:val="0"/>
          <w:kern w:val="16"/>
          <w:sz w:val="22"/>
          <w:lang w:eastAsia="ja-JP"/>
        </w:rPr>
        <w:t xml:space="preserve">) </w:t>
      </w:r>
      <w:r w:rsidRPr="00F97B96">
        <w:rPr>
          <w:rFonts w:ascii="Calibri" w:eastAsia="游明朝" w:hAnsi="Calibri" w:cs="Calibri"/>
          <w:i/>
          <w:iCs/>
          <w:snapToGrid w:val="0"/>
          <w:kern w:val="16"/>
          <w:sz w:val="22"/>
          <w:lang w:eastAsia="ja-JP"/>
        </w:rPr>
        <w:t xml:space="preserve">What </w:t>
      </w:r>
      <w:proofErr w:type="gramStart"/>
      <w:r w:rsidRPr="00F97B96">
        <w:rPr>
          <w:rFonts w:ascii="Calibri" w:eastAsia="游明朝" w:hAnsi="Calibri" w:cs="Calibri"/>
          <w:i/>
          <w:iCs/>
          <w:snapToGrid w:val="0"/>
          <w:kern w:val="16"/>
          <w:sz w:val="22"/>
          <w:lang w:eastAsia="ja-JP"/>
        </w:rPr>
        <w:t>is care</w:t>
      </w:r>
      <w:proofErr w:type="gramEnd"/>
      <w:r w:rsidRPr="00F97B96">
        <w:rPr>
          <w:rFonts w:ascii="Calibri" w:eastAsia="游明朝" w:hAnsi="Calibri" w:cs="Calibri"/>
          <w:i/>
          <w:iCs/>
          <w:snapToGrid w:val="0"/>
          <w:kern w:val="16"/>
          <w:sz w:val="22"/>
          <w:lang w:eastAsia="ja-JP"/>
        </w:rPr>
        <w:t xml:space="preserve"> within the </w:t>
      </w:r>
      <w:proofErr w:type="gramStart"/>
      <w:r w:rsidRPr="00F97B96">
        <w:rPr>
          <w:rFonts w:ascii="Calibri" w:eastAsia="游明朝" w:hAnsi="Calibri" w:cs="Calibri"/>
          <w:i/>
          <w:iCs/>
          <w:snapToGrid w:val="0"/>
          <w:kern w:val="16"/>
          <w:sz w:val="22"/>
          <w:lang w:eastAsia="ja-JP"/>
        </w:rPr>
        <w:t>framework?</w:t>
      </w:r>
      <w:r w:rsidRPr="00F97B96">
        <w:rPr>
          <w:rFonts w:ascii="Calibri" w:eastAsia="游明朝" w:hAnsi="Calibri" w:cs="Calibri"/>
          <w:snapToGrid w:val="0"/>
          <w:kern w:val="16"/>
          <w:sz w:val="22"/>
          <w:lang w:eastAsia="ja-JP"/>
        </w:rPr>
        <w:t xml:space="preserve"> —</w:t>
      </w:r>
      <w:proofErr w:type="gramEnd"/>
      <w:r w:rsidRPr="00F97B96">
        <w:rPr>
          <w:rFonts w:ascii="Calibri" w:eastAsia="游明朝" w:hAnsi="Calibri" w:cs="Calibri"/>
          <w:snapToGrid w:val="0"/>
          <w:kern w:val="16"/>
          <w:sz w:val="22"/>
          <w:lang w:eastAsia="ja-JP"/>
        </w:rPr>
        <w:t xml:space="preserve"> whether care is recognized as a form of labor generating structural consequences, not merely as an emotional disposition. Structural vulnerability arises from care's labor dimension; unless this dimension is registered, one pole of ambivalence remains invisible, and ambivalence cannot be theorized.</w:t>
      </w:r>
    </w:p>
    <w:p w14:paraId="131D4C84" w14:textId="77777777" w:rsidR="005E4C28" w:rsidRPr="00F97B96" w:rsidRDefault="005E4C28"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 xml:space="preserve">(ii) </w:t>
      </w:r>
      <w:r w:rsidRPr="00F97B96">
        <w:rPr>
          <w:rFonts w:ascii="Calibri" w:eastAsia="游明朝" w:hAnsi="Calibri" w:cs="Calibri"/>
          <w:i/>
          <w:iCs/>
          <w:snapToGrid w:val="0"/>
          <w:kern w:val="16"/>
          <w:sz w:val="22"/>
          <w:lang w:eastAsia="ja-JP"/>
        </w:rPr>
        <w:t xml:space="preserve">Who provides </w:t>
      </w:r>
      <w:proofErr w:type="gramStart"/>
      <w:r w:rsidRPr="00F97B96">
        <w:rPr>
          <w:rFonts w:ascii="Calibri" w:eastAsia="游明朝" w:hAnsi="Calibri" w:cs="Calibri"/>
          <w:i/>
          <w:iCs/>
          <w:snapToGrid w:val="0"/>
          <w:kern w:val="16"/>
          <w:sz w:val="22"/>
          <w:lang w:eastAsia="ja-JP"/>
        </w:rPr>
        <w:t>care?</w:t>
      </w:r>
      <w:r w:rsidRPr="00F97B96">
        <w:rPr>
          <w:rFonts w:ascii="Calibri" w:eastAsia="游明朝" w:hAnsi="Calibri" w:cs="Calibri"/>
          <w:snapToGrid w:val="0"/>
          <w:kern w:val="16"/>
          <w:sz w:val="22"/>
          <w:lang w:eastAsia="ja-JP"/>
        </w:rPr>
        <w:t xml:space="preserve"> —</w:t>
      </w:r>
      <w:proofErr w:type="gramEnd"/>
      <w:r w:rsidRPr="00F97B96">
        <w:rPr>
          <w:rFonts w:ascii="Calibri" w:eastAsia="游明朝" w:hAnsi="Calibri" w:cs="Calibri"/>
          <w:snapToGrid w:val="0"/>
          <w:kern w:val="16"/>
          <w:sz w:val="22"/>
          <w:lang w:eastAsia="ja-JP"/>
        </w:rPr>
        <w:t xml:space="preserve"> whether the care provider occupies a distinct subject position within the framework's typology. Ambivalence is not a free-floating theoretical property but must be attributable to a subject whose position is constituted by the relational bond. If no such subject position exists, ambivalence has no theoretical locus.</w:t>
      </w:r>
    </w:p>
    <w:p w14:paraId="660D2EBB" w14:textId="77777777" w:rsidR="005E4C28" w:rsidRPr="00F97B96" w:rsidRDefault="005E4C28"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 xml:space="preserve">(iii) </w:t>
      </w:r>
      <w:r w:rsidRPr="00F97B96">
        <w:rPr>
          <w:rFonts w:ascii="Calibri" w:eastAsia="游明朝" w:hAnsi="Calibri" w:cs="Calibri"/>
          <w:i/>
          <w:iCs/>
          <w:snapToGrid w:val="0"/>
          <w:kern w:val="16"/>
          <w:sz w:val="22"/>
          <w:lang w:eastAsia="ja-JP"/>
        </w:rPr>
        <w:t xml:space="preserve">Why do individuals </w:t>
      </w:r>
      <w:proofErr w:type="gramStart"/>
      <w:r w:rsidRPr="00F97B96">
        <w:rPr>
          <w:rFonts w:ascii="Calibri" w:eastAsia="游明朝" w:hAnsi="Calibri" w:cs="Calibri"/>
          <w:i/>
          <w:iCs/>
          <w:snapToGrid w:val="0"/>
          <w:kern w:val="16"/>
          <w:sz w:val="22"/>
          <w:lang w:eastAsia="ja-JP"/>
        </w:rPr>
        <w:t>take on</w:t>
      </w:r>
      <w:proofErr w:type="gramEnd"/>
      <w:r w:rsidRPr="00F97B96">
        <w:rPr>
          <w:rFonts w:ascii="Calibri" w:eastAsia="游明朝" w:hAnsi="Calibri" w:cs="Calibri"/>
          <w:i/>
          <w:iCs/>
          <w:snapToGrid w:val="0"/>
          <w:kern w:val="16"/>
          <w:sz w:val="22"/>
          <w:lang w:eastAsia="ja-JP"/>
        </w:rPr>
        <w:t xml:space="preserve"> </w:t>
      </w:r>
      <w:proofErr w:type="gramStart"/>
      <w:r w:rsidRPr="00F97B96">
        <w:rPr>
          <w:rFonts w:ascii="Calibri" w:eastAsia="游明朝" w:hAnsi="Calibri" w:cs="Calibri"/>
          <w:i/>
          <w:iCs/>
          <w:snapToGrid w:val="0"/>
          <w:kern w:val="16"/>
          <w:sz w:val="22"/>
          <w:lang w:eastAsia="ja-JP"/>
        </w:rPr>
        <w:t>care?</w:t>
      </w:r>
      <w:r w:rsidRPr="00F97B96">
        <w:rPr>
          <w:rFonts w:ascii="Calibri" w:eastAsia="游明朝" w:hAnsi="Calibri" w:cs="Calibri"/>
          <w:snapToGrid w:val="0"/>
          <w:kern w:val="16"/>
          <w:sz w:val="22"/>
          <w:lang w:eastAsia="ja-JP"/>
        </w:rPr>
        <w:t xml:space="preserve"> —</w:t>
      </w:r>
      <w:proofErr w:type="gramEnd"/>
      <w:r w:rsidRPr="00F97B96">
        <w:rPr>
          <w:rFonts w:ascii="Calibri" w:eastAsia="游明朝" w:hAnsi="Calibri" w:cs="Calibri"/>
          <w:snapToGrid w:val="0"/>
          <w:kern w:val="16"/>
          <w:sz w:val="22"/>
          <w:lang w:eastAsia="ja-JP"/>
        </w:rPr>
        <w:t xml:space="preserve"> whether the framework accounts for a motivational force orienting individuals toward care that is irreducible to autonomous choice. If this force is reducible to need satisfaction or choice, the vulnerability care generates is recast </w:t>
      </w:r>
      <w:proofErr w:type="gramStart"/>
      <w:r w:rsidRPr="00F97B96">
        <w:rPr>
          <w:rFonts w:ascii="Calibri" w:eastAsia="游明朝" w:hAnsi="Calibri" w:cs="Calibri"/>
          <w:snapToGrid w:val="0"/>
          <w:kern w:val="16"/>
          <w:sz w:val="22"/>
          <w:lang w:eastAsia="ja-JP"/>
        </w:rPr>
        <w:t>as a consequence of</w:t>
      </w:r>
      <w:proofErr w:type="gramEnd"/>
      <w:r w:rsidRPr="00F97B96">
        <w:rPr>
          <w:rFonts w:ascii="Calibri" w:eastAsia="游明朝" w:hAnsi="Calibri" w:cs="Calibri"/>
          <w:snapToGrid w:val="0"/>
          <w:kern w:val="16"/>
          <w:sz w:val="22"/>
          <w:lang w:eastAsia="ja-JP"/>
        </w:rPr>
        <w:t xml:space="preserve"> the subject's own decisions, and ambivalence—as the inseparable co-generation of fulfillment and vulnerability from the same bond—dissolves. This criterion does not deny that chosen activity may generate situational tension; it targets </w:t>
      </w:r>
      <w:proofErr w:type="gramStart"/>
      <w:r w:rsidRPr="00F97B96">
        <w:rPr>
          <w:rFonts w:ascii="Calibri" w:eastAsia="游明朝" w:hAnsi="Calibri" w:cs="Calibri"/>
          <w:snapToGrid w:val="0"/>
          <w:kern w:val="16"/>
          <w:sz w:val="22"/>
          <w:lang w:eastAsia="ja-JP"/>
        </w:rPr>
        <w:t>constitutive ambivalence—</w:t>
      </w:r>
      <w:proofErr w:type="gramEnd"/>
      <w:r w:rsidRPr="00F97B96">
        <w:rPr>
          <w:rFonts w:ascii="Calibri" w:eastAsia="游明朝" w:hAnsi="Calibri" w:cs="Calibri"/>
          <w:snapToGrid w:val="0"/>
          <w:kern w:val="16"/>
          <w:sz w:val="22"/>
          <w:lang w:eastAsia="ja-JP"/>
        </w:rPr>
        <w:t>ambivalence rooted in the structure of care itself rather than in the contingent circumstances of a particular decision.</w:t>
      </w:r>
    </w:p>
    <w:p w14:paraId="22C6A06A" w14:textId="77777777" w:rsidR="005E4C28" w:rsidRPr="00F97B96" w:rsidRDefault="005E4C28"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Dimension (</w:t>
      </w:r>
      <w:proofErr w:type="spellStart"/>
      <w:r w:rsidRPr="00F97B96">
        <w:rPr>
          <w:rFonts w:ascii="Calibri" w:eastAsia="游明朝" w:hAnsi="Calibri" w:cs="Calibri"/>
          <w:snapToGrid w:val="0"/>
          <w:kern w:val="16"/>
          <w:sz w:val="22"/>
          <w:lang w:eastAsia="ja-JP"/>
        </w:rPr>
        <w:t>i</w:t>
      </w:r>
      <w:proofErr w:type="spellEnd"/>
      <w:r w:rsidRPr="00F97B96">
        <w:rPr>
          <w:rFonts w:ascii="Calibri" w:eastAsia="游明朝" w:hAnsi="Calibri" w:cs="Calibri"/>
          <w:snapToGrid w:val="0"/>
          <w:kern w:val="16"/>
          <w:sz w:val="22"/>
          <w:lang w:eastAsia="ja-JP"/>
        </w:rPr>
        <w:t>) is necessary because without the labor dimension, one pole is invisible. Dimension (ii) is necessary because without a distinct subject, ambivalence has no locus. Dimension (iii) is necessary because without an irreducible motivational force, ambivalence collapses into a consequence of choice. Together, they constitute the minimum necessary conditions for theorizing care's ambivalence.</w:t>
      </w:r>
    </w:p>
    <w:p w14:paraId="1E268D60" w14:textId="77777777" w:rsidR="005B1027" w:rsidRPr="00F97B96" w:rsidRDefault="005B1027" w:rsidP="000D68CD">
      <w:pPr>
        <w:wordWrap/>
        <w:spacing w:after="0" w:line="360" w:lineRule="auto"/>
        <w:rPr>
          <w:rFonts w:ascii="Calibri" w:eastAsia="游明朝" w:hAnsi="Calibri" w:cs="Calibri"/>
          <w:snapToGrid w:val="0"/>
          <w:kern w:val="16"/>
          <w:sz w:val="22"/>
          <w:lang w:eastAsia="ja-JP"/>
        </w:rPr>
      </w:pPr>
    </w:p>
    <w:p w14:paraId="7DB09515" w14:textId="48245BE8" w:rsidR="000F57DD" w:rsidRPr="00F97B96" w:rsidRDefault="00EA0760" w:rsidP="000D68CD">
      <w:pPr>
        <w:wordWrap/>
        <w:spacing w:after="0" w:line="360" w:lineRule="auto"/>
        <w:rPr>
          <w:rFonts w:ascii="Calibri" w:eastAsia="游明朝" w:hAnsi="Calibri" w:cs="Calibri"/>
          <w:snapToGrid w:val="0"/>
          <w:kern w:val="16"/>
          <w:sz w:val="22"/>
          <w:lang w:eastAsia="ja-JP"/>
        </w:rPr>
      </w:pPr>
      <w:r w:rsidRPr="00F97B96">
        <w:rPr>
          <w:rFonts w:ascii="Calibri" w:hAnsi="Calibri" w:cs="Calibri"/>
          <w:snapToGrid w:val="0"/>
          <w:kern w:val="16"/>
          <w:sz w:val="22"/>
        </w:rPr>
        <w:t>-</w:t>
      </w:r>
      <w:r w:rsidR="00005297" w:rsidRPr="00F97B96">
        <w:rPr>
          <w:rFonts w:ascii="Calibri" w:hAnsi="Calibri" w:cs="Calibri"/>
          <w:snapToGrid w:val="0"/>
          <w:kern w:val="16"/>
          <w:sz w:val="22"/>
        </w:rPr>
        <w:t>Results</w:t>
      </w:r>
    </w:p>
    <w:p w14:paraId="5650A1DB" w14:textId="0F9D99DD" w:rsidR="005B1027" w:rsidRPr="00F97B96" w:rsidRDefault="005B1027"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 xml:space="preserve">(1) What Is </w:t>
      </w:r>
      <w:proofErr w:type="gramStart"/>
      <w:r w:rsidRPr="00F97B96">
        <w:rPr>
          <w:rFonts w:ascii="Calibri" w:eastAsia="游明朝" w:hAnsi="Calibri" w:cs="Calibri"/>
          <w:snapToGrid w:val="0"/>
          <w:kern w:val="16"/>
          <w:sz w:val="22"/>
          <w:lang w:eastAsia="ja-JP"/>
        </w:rPr>
        <w:t>Care?</w:t>
      </w:r>
      <w:r w:rsidR="00B9277D" w:rsidRPr="00F97B96">
        <w:rPr>
          <w:rFonts w:ascii="Calibri" w:eastAsia="游明朝" w:hAnsi="Calibri" w:cs="Calibri"/>
          <w:snapToGrid w:val="0"/>
          <w:kern w:val="16"/>
          <w:sz w:val="22"/>
          <w:lang w:eastAsia="ja-JP"/>
        </w:rPr>
        <w:t>:</w:t>
      </w:r>
      <w:proofErr w:type="gramEnd"/>
      <w:r w:rsidR="00B9277D" w:rsidRPr="00F97B96">
        <w:rPr>
          <w:rFonts w:ascii="Calibri" w:eastAsia="游明朝" w:hAnsi="Calibri" w:cs="Calibri"/>
          <w:snapToGrid w:val="0"/>
          <w:kern w:val="16"/>
          <w:sz w:val="22"/>
          <w:lang w:eastAsia="ja-JP"/>
        </w:rPr>
        <w:t xml:space="preserve"> </w:t>
      </w:r>
      <w:r w:rsidRPr="00F97B96">
        <w:rPr>
          <w:rFonts w:ascii="Calibri" w:eastAsia="游明朝" w:hAnsi="Calibri" w:cs="Calibri"/>
          <w:snapToGrid w:val="0"/>
          <w:kern w:val="16"/>
          <w:sz w:val="22"/>
          <w:lang w:eastAsia="ja-JP"/>
        </w:rPr>
        <w:t>Rhetorical Inclusion and Operational Exclusion</w:t>
      </w:r>
    </w:p>
    <w:p w14:paraId="15DDABBA" w14:textId="77777777" w:rsidR="005E4C28" w:rsidRPr="00F97B96" w:rsidRDefault="005E4C28"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 xml:space="preserve">Across the seven texts, care is affirmed at the level of theoretical declaration while remaining absent from the operational apparatus of the theory. Blustein (2006) explicitly designates caregiving as a legitimate form of </w:t>
      </w:r>
      <w:proofErr w:type="gramStart"/>
      <w:r w:rsidRPr="00F97B96">
        <w:rPr>
          <w:rFonts w:ascii="Calibri" w:eastAsia="游明朝" w:hAnsi="Calibri" w:cs="Calibri"/>
          <w:snapToGrid w:val="0"/>
          <w:kern w:val="16"/>
          <w:sz w:val="22"/>
          <w:lang w:eastAsia="ja-JP"/>
        </w:rPr>
        <w:t>working</w:t>
      </w:r>
      <w:proofErr w:type="gramEnd"/>
      <w:r w:rsidRPr="00F97B96">
        <w:rPr>
          <w:rFonts w:ascii="Calibri" w:eastAsia="游明朝" w:hAnsi="Calibri" w:cs="Calibri"/>
          <w:snapToGrid w:val="0"/>
          <w:kern w:val="16"/>
          <w:sz w:val="22"/>
          <w:lang w:eastAsia="ja-JP"/>
        </w:rPr>
        <w:t xml:space="preserve">, arguing that it enhances social connection and possesses the potential to foster self-determination and enhance power—though he acknowledges the lack of economic power conferred by caregiving in Western contexts. However, the book's functional analysis and clinical vignettes predominantly center on market-based labor and survival. The structural vulnerability inherent in caregiving—the burdensome labor dimension identified by </w:t>
      </w:r>
      <w:proofErr w:type="spellStart"/>
      <w:r w:rsidRPr="00F97B96">
        <w:rPr>
          <w:rFonts w:ascii="Calibri" w:eastAsia="游明朝" w:hAnsi="Calibri" w:cs="Calibri"/>
          <w:snapToGrid w:val="0"/>
          <w:kern w:val="16"/>
          <w:sz w:val="22"/>
          <w:lang w:eastAsia="ja-JP"/>
        </w:rPr>
        <w:t>Ungerson</w:t>
      </w:r>
      <w:proofErr w:type="spellEnd"/>
      <w:r w:rsidRPr="00F97B96">
        <w:rPr>
          <w:rFonts w:ascii="Calibri" w:eastAsia="游明朝" w:hAnsi="Calibri" w:cs="Calibri"/>
          <w:snapToGrid w:val="0"/>
          <w:kern w:val="16"/>
          <w:sz w:val="22"/>
          <w:lang w:eastAsia="ja-JP"/>
        </w:rPr>
        <w:t>—is acknowledged as a gender inequity but remains untheorized as an internal mechanism of work itself. In Blustein et al. (2008), care appears only once substantively, as biographical background in a clinical case (p. 302).</w:t>
      </w:r>
    </w:p>
    <w:p w14:paraId="7411B2F1" w14:textId="3334FD24" w:rsidR="005E4C28" w:rsidRPr="00F97B96" w:rsidRDefault="00AF58A3"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 xml:space="preserve">Meanwhile, </w:t>
      </w:r>
      <w:proofErr w:type="spellStart"/>
      <w:r w:rsidR="005E4C28" w:rsidRPr="00F97B96">
        <w:rPr>
          <w:rFonts w:ascii="Calibri" w:eastAsia="游明朝" w:hAnsi="Calibri" w:cs="Calibri"/>
          <w:snapToGrid w:val="0"/>
          <w:kern w:val="16"/>
          <w:sz w:val="22"/>
          <w:lang w:eastAsia="ja-JP"/>
        </w:rPr>
        <w:t>chardson</w:t>
      </w:r>
      <w:proofErr w:type="spellEnd"/>
      <w:r w:rsidR="005E4C28" w:rsidRPr="00F97B96">
        <w:rPr>
          <w:rFonts w:ascii="Calibri" w:eastAsia="游明朝" w:hAnsi="Calibri" w:cs="Calibri"/>
          <w:snapToGrid w:val="0"/>
          <w:kern w:val="16"/>
          <w:sz w:val="22"/>
          <w:lang w:eastAsia="ja-JP"/>
        </w:rPr>
        <w:t xml:space="preserve"> (2012) represents a decisive departure, proposing "personal care work" as one of four major social contexts and subjecting care's discursive marginalization to sustained analysis—the only text in the corpus to do so. However, her account focuses on the structural injustice done to care work rather than on the internal dynamics by which moral obligation simultaneously generates fulfillment and vulnerability. The remaining texts exhibit a consistent pattern: caregiving is affirmed as falling within the scope of work, yet no theoretical model contains a construct corresponding to care. Duffy et al. (2024), reviewing approximately 100 quantitative PWT studies, identifies no study incorporating care work as a model variable. The theoretical marginalization of care persists without exception across the derivative empirical corpus.</w:t>
      </w:r>
    </w:p>
    <w:p w14:paraId="54389A7B" w14:textId="77777777" w:rsidR="006B3EC5" w:rsidRPr="00F97B96" w:rsidRDefault="006B3EC5" w:rsidP="000D68CD">
      <w:pPr>
        <w:wordWrap/>
        <w:spacing w:after="0" w:line="360" w:lineRule="auto"/>
        <w:rPr>
          <w:rFonts w:ascii="Calibri" w:eastAsia="游明朝" w:hAnsi="Calibri" w:cs="Calibri"/>
          <w:snapToGrid w:val="0"/>
          <w:kern w:val="16"/>
          <w:sz w:val="22"/>
          <w:lang w:eastAsia="ja-JP"/>
        </w:rPr>
      </w:pPr>
    </w:p>
    <w:p w14:paraId="65EE5798" w14:textId="091E23E4" w:rsidR="005B1027" w:rsidRPr="00F97B96" w:rsidRDefault="005B1027"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 xml:space="preserve">(2) Who Provides </w:t>
      </w:r>
      <w:proofErr w:type="gramStart"/>
      <w:r w:rsidRPr="00F97B96">
        <w:rPr>
          <w:rFonts w:ascii="Calibri" w:eastAsia="游明朝" w:hAnsi="Calibri" w:cs="Calibri"/>
          <w:snapToGrid w:val="0"/>
          <w:kern w:val="16"/>
          <w:sz w:val="22"/>
          <w:lang w:eastAsia="ja-JP"/>
        </w:rPr>
        <w:t>Care?</w:t>
      </w:r>
      <w:r w:rsidR="00B9277D" w:rsidRPr="00F97B96">
        <w:rPr>
          <w:rFonts w:ascii="Calibri" w:eastAsia="游明朝" w:hAnsi="Calibri" w:cs="Calibri"/>
          <w:snapToGrid w:val="0"/>
          <w:kern w:val="16"/>
          <w:sz w:val="22"/>
          <w:lang w:eastAsia="ja-JP"/>
        </w:rPr>
        <w:t>:</w:t>
      </w:r>
      <w:proofErr w:type="gramEnd"/>
      <w:r w:rsidR="00B9277D" w:rsidRPr="00F97B96">
        <w:rPr>
          <w:rFonts w:ascii="Calibri" w:eastAsia="游明朝" w:hAnsi="Calibri" w:cs="Calibri"/>
          <w:snapToGrid w:val="0"/>
          <w:kern w:val="16"/>
          <w:sz w:val="22"/>
          <w:lang w:eastAsia="ja-JP"/>
        </w:rPr>
        <w:t xml:space="preserve"> </w:t>
      </w:r>
      <w:r w:rsidRPr="00F97B96">
        <w:rPr>
          <w:rFonts w:ascii="Calibri" w:eastAsia="游明朝" w:hAnsi="Calibri" w:cs="Calibri"/>
          <w:snapToGrid w:val="0"/>
          <w:kern w:val="16"/>
          <w:sz w:val="22"/>
          <w:lang w:eastAsia="ja-JP"/>
        </w:rPr>
        <w:t>An Absent Subject Position</w:t>
      </w:r>
    </w:p>
    <w:p w14:paraId="62B4F77F" w14:textId="77777777" w:rsidR="00BA3914" w:rsidRPr="00F97B96" w:rsidRDefault="00BA3914"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The seven texts construct an implicit normative subject defined by attribute-based marginalization categories—race, gender, class, disability, sexual orientation—identifying subjects by what they are. The care provider, by contrast, is constituted not by a demographic attribute but by a relational position: an ongoing engagement with a dependent other from which withdrawal entails moral remainder. This structural difference means the care provider cannot be assimilated into the existing typology without a category shift the paradigm has not undertaken. Blustein (2006) addresses caregiving primarily through the lens of gender inequality, ultimately subsuming the caregiver under the demographic category of gender rather than conceptualizing a distinct subject position defined by the relational bond of dependency.</w:t>
      </w:r>
    </w:p>
    <w:p w14:paraId="53879B8D" w14:textId="77777777" w:rsidR="00BA3914" w:rsidRPr="00F97B96" w:rsidRDefault="00BA3914"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Richardson (2012) provides the closest approximation, explicitly naming the care provider as a subject of discursive injustice. Nevertheless, her care provider is theorized as a subject whose work has been rendered invisible by prevailing discourse, not as a subject whose ongoing engagement with care produces ambivalence arising from the relational bond itself. In the Blustein and Duffy lineages, the care provider does not appear even in this attenuated form. Without a subject position to which ambivalence can be attributed, the paradigm lacks the theoretical locus to register that care simultaneously generates fulfillment and structural vulnerability for the same person.</w:t>
      </w:r>
    </w:p>
    <w:p w14:paraId="20F84F85" w14:textId="77777777" w:rsidR="006B3EC5" w:rsidRPr="00F97B96" w:rsidRDefault="006B3EC5" w:rsidP="000D68CD">
      <w:pPr>
        <w:wordWrap/>
        <w:spacing w:after="0" w:line="360" w:lineRule="auto"/>
        <w:rPr>
          <w:rFonts w:ascii="Calibri" w:eastAsia="游明朝" w:hAnsi="Calibri" w:cs="Calibri"/>
          <w:snapToGrid w:val="0"/>
          <w:kern w:val="16"/>
          <w:sz w:val="22"/>
          <w:lang w:eastAsia="ja-JP"/>
        </w:rPr>
      </w:pPr>
    </w:p>
    <w:p w14:paraId="3E37A12E" w14:textId="5CE3CFB0" w:rsidR="005B1027" w:rsidRPr="00F97B96" w:rsidRDefault="005B1027"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 xml:space="preserve">(3) Why Do Individuals Take </w:t>
      </w:r>
      <w:proofErr w:type="gramStart"/>
      <w:r w:rsidRPr="00F97B96">
        <w:rPr>
          <w:rFonts w:ascii="Calibri" w:eastAsia="游明朝" w:hAnsi="Calibri" w:cs="Calibri"/>
          <w:snapToGrid w:val="0"/>
          <w:kern w:val="16"/>
          <w:sz w:val="22"/>
          <w:lang w:eastAsia="ja-JP"/>
        </w:rPr>
        <w:t>On</w:t>
      </w:r>
      <w:proofErr w:type="gramEnd"/>
      <w:r w:rsidRPr="00F97B96">
        <w:rPr>
          <w:rFonts w:ascii="Calibri" w:eastAsia="游明朝" w:hAnsi="Calibri" w:cs="Calibri"/>
          <w:snapToGrid w:val="0"/>
          <w:kern w:val="16"/>
          <w:sz w:val="22"/>
          <w:lang w:eastAsia="ja-JP"/>
        </w:rPr>
        <w:t xml:space="preserve"> </w:t>
      </w:r>
      <w:proofErr w:type="gramStart"/>
      <w:r w:rsidRPr="00F97B96">
        <w:rPr>
          <w:rFonts w:ascii="Calibri" w:eastAsia="游明朝" w:hAnsi="Calibri" w:cs="Calibri"/>
          <w:snapToGrid w:val="0"/>
          <w:kern w:val="16"/>
          <w:sz w:val="22"/>
          <w:lang w:eastAsia="ja-JP"/>
        </w:rPr>
        <w:t>Care?</w:t>
      </w:r>
      <w:r w:rsidR="00B9277D" w:rsidRPr="00F97B96">
        <w:rPr>
          <w:rFonts w:ascii="Calibri" w:eastAsia="游明朝" w:hAnsi="Calibri" w:cs="Calibri"/>
          <w:snapToGrid w:val="0"/>
          <w:kern w:val="16"/>
          <w:sz w:val="22"/>
          <w:lang w:eastAsia="ja-JP"/>
        </w:rPr>
        <w:t>:</w:t>
      </w:r>
      <w:proofErr w:type="gramEnd"/>
      <w:r w:rsidR="00B9277D" w:rsidRPr="00F97B96">
        <w:rPr>
          <w:rFonts w:ascii="Calibri" w:eastAsia="游明朝" w:hAnsi="Calibri" w:cs="Calibri"/>
          <w:snapToGrid w:val="0"/>
          <w:kern w:val="16"/>
          <w:sz w:val="22"/>
          <w:lang w:eastAsia="ja-JP"/>
        </w:rPr>
        <w:t xml:space="preserve"> </w:t>
      </w:r>
      <w:r w:rsidRPr="00F97B96">
        <w:rPr>
          <w:rFonts w:ascii="Calibri" w:eastAsia="游明朝" w:hAnsi="Calibri" w:cs="Calibri"/>
          <w:snapToGrid w:val="0"/>
          <w:kern w:val="16"/>
          <w:sz w:val="22"/>
          <w:lang w:eastAsia="ja-JP"/>
        </w:rPr>
        <w:t>A Constitutive Absence</w:t>
      </w:r>
    </w:p>
    <w:p w14:paraId="764F5A39" w14:textId="50BFE5C1" w:rsidR="00BA3914" w:rsidRPr="00F97B96" w:rsidRDefault="00BA3914"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 xml:space="preserve">The most consequential finding is the complete absence of any account of why individuals </w:t>
      </w:r>
      <w:proofErr w:type="gramStart"/>
      <w:r w:rsidRPr="00F97B96">
        <w:rPr>
          <w:rFonts w:ascii="Calibri" w:eastAsia="游明朝" w:hAnsi="Calibri" w:cs="Calibri"/>
          <w:snapToGrid w:val="0"/>
          <w:kern w:val="16"/>
          <w:sz w:val="22"/>
          <w:lang w:eastAsia="ja-JP"/>
        </w:rPr>
        <w:t>take on</w:t>
      </w:r>
      <w:proofErr w:type="gramEnd"/>
      <w:r w:rsidRPr="00F97B96">
        <w:rPr>
          <w:rFonts w:ascii="Calibri" w:eastAsia="游明朝" w:hAnsi="Calibri" w:cs="Calibri"/>
          <w:snapToGrid w:val="0"/>
          <w:kern w:val="16"/>
          <w:sz w:val="22"/>
          <w:lang w:eastAsia="ja-JP"/>
        </w:rPr>
        <w:t xml:space="preserve"> care as a question requiring theoretical treatment. The motivational architecture of PWF/PWT is supplied primarily by self-determination theory (SDT). While other relational theories are occasionally referenced, no alternative motivational framework is formally adopted. Blustein (2006) established this reliance by positioning SDT as the central motivational architecture, framing caregiving as an activity that can foster self-determination because it provides an important expression related to one's inherent motivations and dreams (Blustein, 2006). This locks caregiving motivation into a paradigm of need-satisfaction and autonomous self-regulation. Notably, Blustein himself acknowledged that the impact of caregiving in relation to survival, relational connection, and self-determination "needs to be explored" (2006)—a gap never addressed in subsequent formalizations. This reliance is codified in Blustein and Duffy (2021), where caregiving is defined as activity performed to meet needs for "survival as well as higher-order needs such as social contribution, interpersonal connection, and self-determination." The relational bond from which care obligation arises has no corresponding concept. </w:t>
      </w:r>
      <w:r w:rsidR="00B9277D" w:rsidRPr="00F97B96">
        <w:rPr>
          <w:rFonts w:ascii="Calibri" w:eastAsia="游明朝" w:hAnsi="Calibri" w:cs="Calibri"/>
          <w:snapToGrid w:val="0"/>
          <w:kern w:val="16"/>
          <w:sz w:val="22"/>
          <w:lang w:eastAsia="ja-JP"/>
        </w:rPr>
        <w:t>This absence is not incidental but constitutive</w:t>
      </w:r>
      <w:r w:rsidRPr="00F97B96">
        <w:rPr>
          <w:rFonts w:ascii="Calibri" w:eastAsia="游明朝" w:hAnsi="Calibri" w:cs="Calibri"/>
          <w:snapToGrid w:val="0"/>
          <w:kern w:val="16"/>
          <w:sz w:val="22"/>
          <w:lang w:eastAsia="ja-JP"/>
        </w:rPr>
        <w:t>.</w:t>
      </w:r>
    </w:p>
    <w:p w14:paraId="5D452874" w14:textId="77777777" w:rsidR="00BA3914" w:rsidRPr="00F97B96" w:rsidRDefault="00BA3914"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 xml:space="preserve">This absence is irreducible to existing PWT constructs. First, SDT's need for relatedness presupposes a subject seeking reciprocal connection; even when construed broadly, it remains a need whose satisfaction the subject pursues. Care obligation, by contrast, arises from asymmetrical, inescapable dependency that precedes voluntary connection (Kittay, 1999). The parent of a seriously ill child cannot exit the obligation without moral remainder. Relatedness operates within autonomous self-regulation with no mechanism for registering obligations the subject cannot </w:t>
      </w:r>
      <w:proofErr w:type="gramStart"/>
      <w:r w:rsidRPr="00F97B96">
        <w:rPr>
          <w:rFonts w:ascii="Calibri" w:eastAsia="游明朝" w:hAnsi="Calibri" w:cs="Calibri"/>
          <w:snapToGrid w:val="0"/>
          <w:kern w:val="16"/>
          <w:sz w:val="22"/>
          <w:lang w:eastAsia="ja-JP"/>
        </w:rPr>
        <w:t>relinquish</w:t>
      </w:r>
      <w:proofErr w:type="gramEnd"/>
      <w:r w:rsidRPr="00F97B96">
        <w:rPr>
          <w:rFonts w:ascii="Calibri" w:eastAsia="游明朝" w:hAnsi="Calibri" w:cs="Calibri"/>
          <w:snapToGrid w:val="0"/>
          <w:kern w:val="16"/>
          <w:sz w:val="22"/>
          <w:lang w:eastAsia="ja-JP"/>
        </w:rPr>
        <w:t>. Second, SDT's continuum of internalization—including introjected and integrated regulation—</w:t>
      </w:r>
      <w:r w:rsidRPr="00F97B96">
        <w:rPr>
          <w:rFonts w:ascii="Calibri" w:eastAsia="游明朝" w:hAnsi="Calibri" w:cs="Calibri"/>
          <w:snapToGrid w:val="0"/>
          <w:kern w:val="16"/>
          <w:sz w:val="22"/>
          <w:lang w:eastAsia="ja-JP"/>
        </w:rPr>
        <w:lastRenderedPageBreak/>
        <w:t xml:space="preserve">remains within a normative trajectory toward autonomous self-regulation. Care ethics identifies an obligation prior to and independent of internalization, one that does not presuppose that the subject could have </w:t>
      </w:r>
      <w:proofErr w:type="gramStart"/>
      <w:r w:rsidRPr="00F97B96">
        <w:rPr>
          <w:rFonts w:ascii="Calibri" w:eastAsia="游明朝" w:hAnsi="Calibri" w:cs="Calibri"/>
          <w:snapToGrid w:val="0"/>
          <w:kern w:val="16"/>
          <w:sz w:val="22"/>
          <w:lang w:eastAsia="ja-JP"/>
        </w:rPr>
        <w:t>chosen</w:t>
      </w:r>
      <w:proofErr w:type="gramEnd"/>
      <w:r w:rsidRPr="00F97B96">
        <w:rPr>
          <w:rFonts w:ascii="Calibri" w:eastAsia="游明朝" w:hAnsi="Calibri" w:cs="Calibri"/>
          <w:snapToGrid w:val="0"/>
          <w:kern w:val="16"/>
          <w:sz w:val="22"/>
          <w:lang w:eastAsia="ja-JP"/>
        </w:rPr>
        <w:t xml:space="preserve"> otherwise. Even introjected regulation, which captures felt obligation, is positioned within SDT as a suboptimal motivational state to be transcended through fuller internalization, thereby treating the obligatory character of care as a deficiency to be overcome rather than as a constitutive feature to be theorized. Third, PWT's social contribution construct is theorized as an agentic act fulfilling a need, whereas personal care obligation is distinguished by its non-substitutability and non-voluntariness.</w:t>
      </w:r>
    </w:p>
    <w:p w14:paraId="412DCBC6" w14:textId="77777777" w:rsidR="00BA3914" w:rsidRPr="00F97B96" w:rsidRDefault="00BA3914"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These constructs share the presupposition that care's motivational structure can be described within a framework of autonomous subjects satisfying needs or internalizing values. The ethics of care challenges this at its root, and the PWF/PWT paradigm remains architecturally incapable of theorizing care's ambivalence.</w:t>
      </w:r>
    </w:p>
    <w:p w14:paraId="00B04CE3" w14:textId="77777777" w:rsidR="006B3EC5" w:rsidRPr="00F97B96" w:rsidRDefault="006B3EC5" w:rsidP="000D68CD">
      <w:pPr>
        <w:wordWrap/>
        <w:spacing w:after="0" w:line="360" w:lineRule="auto"/>
        <w:rPr>
          <w:rFonts w:ascii="Calibri" w:eastAsia="游明朝" w:hAnsi="Calibri" w:cs="Calibri"/>
          <w:snapToGrid w:val="0"/>
          <w:kern w:val="16"/>
          <w:sz w:val="22"/>
          <w:lang w:eastAsia="ja-JP"/>
        </w:rPr>
      </w:pPr>
    </w:p>
    <w:p w14:paraId="24A04031" w14:textId="29A905D9" w:rsidR="003C7F60" w:rsidRPr="00F97B96" w:rsidRDefault="00CC4367" w:rsidP="000D68CD">
      <w:pPr>
        <w:wordWrap/>
        <w:spacing w:after="0" w:line="360" w:lineRule="auto"/>
        <w:rPr>
          <w:rFonts w:ascii="Calibri" w:eastAsia="游明朝" w:hAnsi="Calibri" w:cs="Calibri"/>
          <w:snapToGrid w:val="0"/>
          <w:kern w:val="16"/>
          <w:sz w:val="22"/>
          <w:lang w:eastAsia="ja-JP"/>
        </w:rPr>
      </w:pPr>
      <w:r w:rsidRPr="00F97B96">
        <w:rPr>
          <w:rFonts w:ascii="Calibri" w:hAnsi="Calibri" w:cs="Calibri"/>
          <w:snapToGrid w:val="0"/>
          <w:kern w:val="16"/>
          <w:sz w:val="22"/>
        </w:rPr>
        <w:t>-</w:t>
      </w:r>
      <w:r w:rsidR="003C7F60" w:rsidRPr="00F97B96">
        <w:rPr>
          <w:rFonts w:ascii="Calibri" w:hAnsi="Calibri" w:cs="Calibri"/>
          <w:snapToGrid w:val="0"/>
          <w:kern w:val="16"/>
          <w:sz w:val="22"/>
        </w:rPr>
        <w:t>Conclusion</w:t>
      </w:r>
    </w:p>
    <w:p w14:paraId="4E31DBA3" w14:textId="77777777" w:rsidR="00B9277D" w:rsidRPr="00F97B96" w:rsidRDefault="00B9277D"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The analysis reveals a consistent structural pattern: although Richardson (2012) provided a sustained account of care's discursive marginalization, the paradigm's subsequent development did not build on this contribution. Care has been repeatedly affirmed at the level of declaration while remaining absent from the theory's operational apparatus, and its motivational architecture has remained unchanged. This is not an empirical gap; it is a structural blind spot produced by the presupposition of a subject whose relationship to work is governed entirely by need satisfaction, volition, and agentic choice.</w:t>
      </w:r>
    </w:p>
    <w:p w14:paraId="69C3D334" w14:textId="77777777" w:rsidR="00B9277D" w:rsidRPr="00F97B96" w:rsidRDefault="00B9277D"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 xml:space="preserve">The implications of this blind spot become concrete when we consider the empirical realities documented by Haan et al. (2021). Under PWT, the daughter's responsiveness to her father—despite the presence of professional night care—would register as a contextual barrier to optimal functioning, and intervention would be directed toward restoring work volition. Yet what compels her is not constrained </w:t>
      </w:r>
      <w:proofErr w:type="gramStart"/>
      <w:r w:rsidRPr="00F97B96">
        <w:rPr>
          <w:rFonts w:ascii="Calibri" w:eastAsia="游明朝" w:hAnsi="Calibri" w:cs="Calibri"/>
          <w:snapToGrid w:val="0"/>
          <w:kern w:val="16"/>
          <w:sz w:val="22"/>
          <w:lang w:eastAsia="ja-JP"/>
        </w:rPr>
        <w:t>volition</w:t>
      </w:r>
      <w:proofErr w:type="gramEnd"/>
      <w:r w:rsidRPr="00F97B96">
        <w:rPr>
          <w:rFonts w:ascii="Calibri" w:eastAsia="游明朝" w:hAnsi="Calibri" w:cs="Calibri"/>
          <w:snapToGrid w:val="0"/>
          <w:kern w:val="16"/>
          <w:sz w:val="22"/>
          <w:lang w:eastAsia="ja-JP"/>
        </w:rPr>
        <w:t xml:space="preserve"> but a moral obligation activated by the relational bond itself. Should such obligation lead to reduced labor market participation over time, as is common in family caregiving trajectories, PWT would process this as an escalating volition problem, directing intervention toward empowerment and adaptability. The ambivalence does not resolve: the fulfillment derived from responding to her father's call coexists with accumulating structural vulnerability, and this co-generation—rooted in the relational bond rather than in contextual barriers—has no conceptual home within the theory. Interventions premised on the misidentification of this dynamic as a volition problem risk addressing the wrong problem entirely.</w:t>
      </w:r>
    </w:p>
    <w:p w14:paraId="188A6DAD" w14:textId="77777777" w:rsidR="00B9277D" w:rsidRPr="00F97B96" w:rsidRDefault="00B9277D"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 xml:space="preserve">These findings converge on a structural diagnosis that extends beyond the treatment of care itself. The paradigm's inability to theorize care's ambivalence is not a localized omission but a consequence of its organizing logic: the centrality of occupational participation as the axis around which the theory is constructed. Within this logic, care can appear only in relation to employment—as a barrier to labor market participation, as a gendered inequity in the division of labor, or as an activity subsumed under a general definition of work—but never as an activity possessing its own theoretical standing. It is this occupational centrality that renders care's labor dimension invisible at the operational level, that prevents the care provider from occupying a subject position irreducible to demographic categories, and that confines motivational explanation to the autonomous pursuit of need satisfaction. </w:t>
      </w:r>
      <w:r w:rsidRPr="00F97B96">
        <w:rPr>
          <w:rFonts w:ascii="Calibri" w:eastAsia="游明朝" w:hAnsi="Calibri" w:cs="Calibri"/>
          <w:snapToGrid w:val="0"/>
          <w:kern w:val="16"/>
          <w:sz w:val="22"/>
          <w:lang w:eastAsia="ja-JP"/>
        </w:rPr>
        <w:lastRenderedPageBreak/>
        <w:t xml:space="preserve">What the present analysis therefore points toward is a paradigm shift in which occupational participation is decentered as the organizing principle of career theory. Within </w:t>
      </w:r>
      <w:proofErr w:type="gramStart"/>
      <w:r w:rsidRPr="00F97B96">
        <w:rPr>
          <w:rFonts w:ascii="Calibri" w:eastAsia="游明朝" w:hAnsi="Calibri" w:cs="Calibri"/>
          <w:snapToGrid w:val="0"/>
          <w:kern w:val="16"/>
          <w:sz w:val="22"/>
          <w:lang w:eastAsia="ja-JP"/>
        </w:rPr>
        <w:t>such a</w:t>
      </w:r>
      <w:proofErr w:type="gramEnd"/>
      <w:r w:rsidRPr="00F97B96">
        <w:rPr>
          <w:rFonts w:ascii="Calibri" w:eastAsia="游明朝" w:hAnsi="Calibri" w:cs="Calibri"/>
          <w:snapToGrid w:val="0"/>
          <w:kern w:val="16"/>
          <w:sz w:val="22"/>
          <w:lang w:eastAsia="ja-JP"/>
        </w:rPr>
        <w:t xml:space="preserve"> reorientation, care could be repositioned—not as an activity peripheral to employment, but as a domain of human life that generates its own forms of obligation, fulfillment, and vulnerability, and that demands </w:t>
      </w:r>
      <w:proofErr w:type="gramStart"/>
      <w:r w:rsidRPr="00F97B96">
        <w:rPr>
          <w:rFonts w:ascii="Calibri" w:eastAsia="游明朝" w:hAnsi="Calibri" w:cs="Calibri"/>
          <w:snapToGrid w:val="0"/>
          <w:kern w:val="16"/>
          <w:sz w:val="22"/>
          <w:lang w:eastAsia="ja-JP"/>
        </w:rPr>
        <w:t>theorization in its own right</w:t>
      </w:r>
      <w:proofErr w:type="gramEnd"/>
      <w:r w:rsidRPr="00F97B96">
        <w:rPr>
          <w:rFonts w:ascii="Calibri" w:eastAsia="游明朝" w:hAnsi="Calibri" w:cs="Calibri"/>
          <w:snapToGrid w:val="0"/>
          <w:kern w:val="16"/>
          <w:sz w:val="22"/>
          <w:lang w:eastAsia="ja-JP"/>
        </w:rPr>
        <w:t>.</w:t>
      </w:r>
    </w:p>
    <w:p w14:paraId="6B2FC53A" w14:textId="119E3C06" w:rsidR="00672039" w:rsidRPr="00F97B96" w:rsidRDefault="00B9277D" w:rsidP="000D68CD">
      <w:pPr>
        <w:wordWrap/>
        <w:spacing w:after="0" w:line="360" w:lineRule="auto"/>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This study is limited to seven canonical theoretical texts, and whether practitioners encounter care's ambivalence in applied settings remains an open empirical question. The analytical lens adopted here carries its own cultural situatedness, and its application across non-Western and collectivist contexts warrants careful future consideration.</w:t>
      </w:r>
    </w:p>
    <w:p w14:paraId="6135BA1B" w14:textId="77777777" w:rsidR="00B9277D" w:rsidRPr="00F97B96" w:rsidRDefault="00B9277D" w:rsidP="000D68CD">
      <w:pPr>
        <w:wordWrap/>
        <w:spacing w:after="0" w:line="360" w:lineRule="auto"/>
        <w:rPr>
          <w:rFonts w:ascii="Calibri" w:eastAsia="游明朝" w:hAnsi="Calibri" w:cs="Calibri"/>
          <w:snapToGrid w:val="0"/>
          <w:kern w:val="16"/>
          <w:sz w:val="22"/>
          <w:lang w:eastAsia="ja-JP"/>
        </w:rPr>
      </w:pPr>
    </w:p>
    <w:p w14:paraId="105CBBF2" w14:textId="668B0428" w:rsidR="00294031" w:rsidRPr="00F97B96" w:rsidRDefault="00EA0760" w:rsidP="000D68CD">
      <w:pPr>
        <w:wordWrap/>
        <w:spacing w:after="0" w:line="360" w:lineRule="auto"/>
        <w:rPr>
          <w:rFonts w:ascii="Calibri" w:hAnsi="Calibri" w:cs="Calibri"/>
          <w:snapToGrid w:val="0"/>
          <w:kern w:val="16"/>
          <w:sz w:val="22"/>
        </w:rPr>
      </w:pPr>
      <w:r w:rsidRPr="00F97B96">
        <w:rPr>
          <w:rFonts w:ascii="Calibri" w:hAnsi="Calibri" w:cs="Calibri"/>
          <w:snapToGrid w:val="0"/>
          <w:kern w:val="16"/>
          <w:sz w:val="22"/>
        </w:rPr>
        <w:t>-</w:t>
      </w:r>
      <w:r w:rsidR="00005297" w:rsidRPr="00F97B96">
        <w:rPr>
          <w:rFonts w:ascii="Calibri" w:hAnsi="Calibri" w:cs="Calibri"/>
          <w:snapToGrid w:val="0"/>
          <w:kern w:val="16"/>
          <w:sz w:val="22"/>
        </w:rPr>
        <w:t>Bibliographical reference</w:t>
      </w:r>
      <w:r w:rsidR="003C7F60" w:rsidRPr="00F97B96">
        <w:rPr>
          <w:rFonts w:ascii="Calibri" w:hAnsi="Calibri" w:cs="Calibri"/>
          <w:snapToGrid w:val="0"/>
          <w:kern w:val="16"/>
          <w:sz w:val="22"/>
        </w:rPr>
        <w:t>s</w:t>
      </w:r>
    </w:p>
    <w:p w14:paraId="37DDDCB1" w14:textId="77777777" w:rsidR="009A2B26" w:rsidRPr="00F97B96" w:rsidRDefault="009A2B26" w:rsidP="000D68CD">
      <w:pPr>
        <w:wordWrap/>
        <w:spacing w:after="0" w:line="360" w:lineRule="auto"/>
        <w:contextualSpacing/>
        <w:jc w:val="left"/>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 xml:space="preserve">Blustein, D. L. (2006). </w:t>
      </w:r>
      <w:r w:rsidRPr="00F97B96">
        <w:rPr>
          <w:rFonts w:ascii="Calibri" w:eastAsia="游明朝" w:hAnsi="Calibri" w:cs="Calibri"/>
          <w:i/>
          <w:iCs/>
          <w:snapToGrid w:val="0"/>
          <w:kern w:val="16"/>
          <w:sz w:val="22"/>
          <w:lang w:eastAsia="ja-JP"/>
        </w:rPr>
        <w:t>The psychology of working: A new perspective for career development, counseling, and public policy</w:t>
      </w:r>
      <w:r w:rsidRPr="00F97B96">
        <w:rPr>
          <w:rFonts w:ascii="Calibri" w:eastAsia="游明朝" w:hAnsi="Calibri" w:cs="Calibri"/>
          <w:snapToGrid w:val="0"/>
          <w:kern w:val="16"/>
          <w:sz w:val="22"/>
          <w:lang w:eastAsia="ja-JP"/>
        </w:rPr>
        <w:t>. Lawrence Erlbaum.</w:t>
      </w:r>
    </w:p>
    <w:p w14:paraId="0E26FA41" w14:textId="5CC691EF" w:rsidR="00420191" w:rsidRPr="00F97B96" w:rsidRDefault="00420191" w:rsidP="000D68CD">
      <w:pPr>
        <w:wordWrap/>
        <w:spacing w:after="0" w:line="360" w:lineRule="auto"/>
        <w:contextualSpacing/>
        <w:jc w:val="left"/>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 xml:space="preserve">Blustein, D. L. (2019). </w:t>
      </w:r>
      <w:r w:rsidR="00774FCB" w:rsidRPr="00F97B96">
        <w:rPr>
          <w:rFonts w:ascii="Calibri" w:eastAsia="游明朝" w:hAnsi="Calibri" w:cs="Calibri"/>
          <w:i/>
          <w:iCs/>
          <w:snapToGrid w:val="0"/>
          <w:kern w:val="16"/>
          <w:sz w:val="22"/>
          <w:lang w:eastAsia="ja-JP"/>
        </w:rPr>
        <w:t xml:space="preserve">The importance of </w:t>
      </w:r>
      <w:r w:rsidR="005B2E28" w:rsidRPr="00F97B96">
        <w:rPr>
          <w:rFonts w:ascii="Calibri" w:eastAsia="游明朝" w:hAnsi="Calibri" w:cs="Calibri"/>
          <w:i/>
          <w:iCs/>
          <w:snapToGrid w:val="0"/>
          <w:kern w:val="16"/>
          <w:sz w:val="22"/>
          <w:lang w:eastAsia="ja-JP"/>
        </w:rPr>
        <w:t>w</w:t>
      </w:r>
      <w:r w:rsidR="003B784C" w:rsidRPr="00F97B96">
        <w:rPr>
          <w:rFonts w:ascii="Calibri" w:eastAsia="游明朝" w:hAnsi="Calibri" w:cs="Calibri"/>
          <w:i/>
          <w:iCs/>
          <w:snapToGrid w:val="0"/>
          <w:kern w:val="16"/>
          <w:sz w:val="22"/>
          <w:lang w:eastAsia="ja-JP"/>
        </w:rPr>
        <w:t>o</w:t>
      </w:r>
      <w:r w:rsidR="00774FCB" w:rsidRPr="00F97B96">
        <w:rPr>
          <w:rFonts w:ascii="Calibri" w:eastAsia="游明朝" w:hAnsi="Calibri" w:cs="Calibri"/>
          <w:i/>
          <w:iCs/>
          <w:snapToGrid w:val="0"/>
          <w:kern w:val="16"/>
          <w:sz w:val="22"/>
          <w:lang w:eastAsia="ja-JP"/>
        </w:rPr>
        <w:t xml:space="preserve">rk in an age of uncertainty: The eroding work experience in America. </w:t>
      </w:r>
      <w:r w:rsidR="00774FCB" w:rsidRPr="00F97B96">
        <w:rPr>
          <w:rFonts w:ascii="Calibri" w:eastAsia="游明朝" w:hAnsi="Calibri" w:cs="Calibri"/>
          <w:snapToGrid w:val="0"/>
          <w:kern w:val="16"/>
          <w:sz w:val="22"/>
          <w:lang w:eastAsia="ja-JP"/>
        </w:rPr>
        <w:t>Oxford University Press</w:t>
      </w:r>
      <w:r w:rsidR="00774FCB" w:rsidRPr="00F97B96">
        <w:rPr>
          <w:rFonts w:ascii="Calibri" w:eastAsia="游明朝" w:hAnsi="Calibri" w:cs="Calibri"/>
          <w:i/>
          <w:iCs/>
          <w:snapToGrid w:val="0"/>
          <w:kern w:val="16"/>
          <w:sz w:val="22"/>
          <w:lang w:eastAsia="ja-JP"/>
        </w:rPr>
        <w:t>.</w:t>
      </w:r>
    </w:p>
    <w:p w14:paraId="55684432" w14:textId="56A64438" w:rsidR="009A2B26" w:rsidRPr="00F97B96" w:rsidRDefault="009A2B26" w:rsidP="000D68CD">
      <w:pPr>
        <w:wordWrap/>
        <w:spacing w:after="0" w:line="360" w:lineRule="auto"/>
        <w:contextualSpacing/>
        <w:jc w:val="left"/>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 xml:space="preserve">Blustein, D. L., &amp; Duffy, R. D. (2021). Psychology of </w:t>
      </w:r>
      <w:r w:rsidR="00420191" w:rsidRPr="00F97B96">
        <w:rPr>
          <w:rFonts w:ascii="Calibri" w:eastAsia="游明朝" w:hAnsi="Calibri" w:cs="Calibri"/>
          <w:snapToGrid w:val="0"/>
          <w:kern w:val="16"/>
          <w:sz w:val="22"/>
          <w:lang w:eastAsia="ja-JP"/>
        </w:rPr>
        <w:t>W</w:t>
      </w:r>
      <w:r w:rsidRPr="00F97B96">
        <w:rPr>
          <w:rFonts w:ascii="Calibri" w:eastAsia="游明朝" w:hAnsi="Calibri" w:cs="Calibri"/>
          <w:snapToGrid w:val="0"/>
          <w:kern w:val="16"/>
          <w:sz w:val="22"/>
          <w:lang w:eastAsia="ja-JP"/>
        </w:rPr>
        <w:t xml:space="preserve">orking </w:t>
      </w:r>
      <w:r w:rsidR="00420191" w:rsidRPr="00F97B96">
        <w:rPr>
          <w:rFonts w:ascii="Calibri" w:eastAsia="游明朝" w:hAnsi="Calibri" w:cs="Calibri"/>
          <w:snapToGrid w:val="0"/>
          <w:kern w:val="16"/>
          <w:sz w:val="22"/>
          <w:lang w:eastAsia="ja-JP"/>
        </w:rPr>
        <w:t>T</w:t>
      </w:r>
      <w:r w:rsidRPr="00F97B96">
        <w:rPr>
          <w:rFonts w:ascii="Calibri" w:eastAsia="游明朝" w:hAnsi="Calibri" w:cs="Calibri"/>
          <w:snapToGrid w:val="0"/>
          <w:kern w:val="16"/>
          <w:sz w:val="22"/>
          <w:lang w:eastAsia="ja-JP"/>
        </w:rPr>
        <w:t xml:space="preserve">heory. In S. D. Brown &amp; R. W. Lent (Eds.), </w:t>
      </w:r>
      <w:r w:rsidRPr="00F97B96">
        <w:rPr>
          <w:rFonts w:ascii="Calibri" w:eastAsia="游明朝" w:hAnsi="Calibri" w:cs="Calibri"/>
          <w:i/>
          <w:iCs/>
          <w:snapToGrid w:val="0"/>
          <w:kern w:val="16"/>
          <w:sz w:val="22"/>
          <w:lang w:eastAsia="ja-JP"/>
        </w:rPr>
        <w:t>Career development and counseling: Putting theory and research to work</w:t>
      </w:r>
      <w:r w:rsidRPr="00F97B96">
        <w:rPr>
          <w:rFonts w:ascii="Calibri" w:eastAsia="游明朝" w:hAnsi="Calibri" w:cs="Calibri"/>
          <w:snapToGrid w:val="0"/>
          <w:kern w:val="16"/>
          <w:sz w:val="22"/>
          <w:lang w:eastAsia="ja-JP"/>
        </w:rPr>
        <w:t xml:space="preserve"> (3rd ed., pp. 201–235). Wiley. </w:t>
      </w:r>
    </w:p>
    <w:p w14:paraId="1C0D2076" w14:textId="77777777" w:rsidR="009A2B26" w:rsidRPr="00F97B96" w:rsidRDefault="009A2B26" w:rsidP="000D68CD">
      <w:pPr>
        <w:wordWrap/>
        <w:spacing w:after="0" w:line="360" w:lineRule="auto"/>
        <w:contextualSpacing/>
        <w:jc w:val="left"/>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 xml:space="preserve">Blustein, D. L., Kenna, A. C., Gill, N., &amp; </w:t>
      </w:r>
      <w:proofErr w:type="spellStart"/>
      <w:r w:rsidRPr="00F97B96">
        <w:rPr>
          <w:rFonts w:ascii="Calibri" w:eastAsia="游明朝" w:hAnsi="Calibri" w:cs="Calibri"/>
          <w:snapToGrid w:val="0"/>
          <w:kern w:val="16"/>
          <w:sz w:val="22"/>
          <w:lang w:eastAsia="ja-JP"/>
        </w:rPr>
        <w:t>DeVoy</w:t>
      </w:r>
      <w:proofErr w:type="spellEnd"/>
      <w:r w:rsidRPr="00F97B96">
        <w:rPr>
          <w:rFonts w:ascii="Calibri" w:eastAsia="游明朝" w:hAnsi="Calibri" w:cs="Calibri"/>
          <w:snapToGrid w:val="0"/>
          <w:kern w:val="16"/>
          <w:sz w:val="22"/>
          <w:lang w:eastAsia="ja-JP"/>
        </w:rPr>
        <w:t xml:space="preserve">, J. E. (2008). The psychology of working: A new framework for counseling practice and public policy. </w:t>
      </w:r>
      <w:r w:rsidRPr="00F97B96">
        <w:rPr>
          <w:rFonts w:ascii="Calibri" w:eastAsia="游明朝" w:hAnsi="Calibri" w:cs="Calibri"/>
          <w:i/>
          <w:iCs/>
          <w:snapToGrid w:val="0"/>
          <w:kern w:val="16"/>
          <w:sz w:val="22"/>
          <w:lang w:eastAsia="ja-JP"/>
        </w:rPr>
        <w:t>The Career Development Quarterly, 56</w:t>
      </w:r>
      <w:r w:rsidRPr="00F97B96">
        <w:rPr>
          <w:rFonts w:ascii="Calibri" w:eastAsia="游明朝" w:hAnsi="Calibri" w:cs="Calibri"/>
          <w:snapToGrid w:val="0"/>
          <w:kern w:val="16"/>
          <w:sz w:val="22"/>
          <w:lang w:eastAsia="ja-JP"/>
        </w:rPr>
        <w:t xml:space="preserve">(4), 294–308. </w:t>
      </w:r>
      <w:hyperlink r:id="rId9" w:history="1">
        <w:r w:rsidRPr="00F97B96">
          <w:rPr>
            <w:rStyle w:val="a8"/>
            <w:rFonts w:ascii="Calibri" w:eastAsia="游明朝" w:hAnsi="Calibri" w:cs="Calibri"/>
            <w:snapToGrid w:val="0"/>
            <w:kern w:val="16"/>
            <w:sz w:val="22"/>
            <w:lang w:eastAsia="ja-JP"/>
          </w:rPr>
          <w:t>https://doi.org/10.1002/j.2161-0045.2008.tb00095.x</w:t>
        </w:r>
      </w:hyperlink>
    </w:p>
    <w:p w14:paraId="10C5A2D0" w14:textId="77777777" w:rsidR="009A2B26" w:rsidRPr="00F97B96" w:rsidRDefault="009A2B26" w:rsidP="000D68CD">
      <w:pPr>
        <w:wordWrap/>
        <w:spacing w:after="0" w:line="360" w:lineRule="auto"/>
        <w:contextualSpacing/>
        <w:jc w:val="left"/>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 xml:space="preserve">Duffy, R. D., Blustein, D. L., Diemer, M. A., &amp; Autin, K. L. (2016). The psychology of working theory. </w:t>
      </w:r>
      <w:r w:rsidRPr="00F97B96">
        <w:rPr>
          <w:rFonts w:ascii="Calibri" w:eastAsia="游明朝" w:hAnsi="Calibri" w:cs="Calibri"/>
          <w:i/>
          <w:iCs/>
          <w:snapToGrid w:val="0"/>
          <w:kern w:val="16"/>
          <w:sz w:val="22"/>
          <w:lang w:eastAsia="ja-JP"/>
        </w:rPr>
        <w:t>Journal of Counseling Psychology, 63</w:t>
      </w:r>
      <w:r w:rsidRPr="00F97B96">
        <w:rPr>
          <w:rFonts w:ascii="Calibri" w:eastAsia="游明朝" w:hAnsi="Calibri" w:cs="Calibri"/>
          <w:snapToGrid w:val="0"/>
          <w:kern w:val="16"/>
          <w:sz w:val="22"/>
          <w:lang w:eastAsia="ja-JP"/>
        </w:rPr>
        <w:t xml:space="preserve">(2), 127–148. </w:t>
      </w:r>
      <w:hyperlink r:id="rId10" w:history="1">
        <w:r w:rsidRPr="00F97B96">
          <w:rPr>
            <w:rStyle w:val="a8"/>
            <w:rFonts w:ascii="Calibri" w:eastAsia="游明朝" w:hAnsi="Calibri" w:cs="Calibri"/>
            <w:snapToGrid w:val="0"/>
            <w:kern w:val="16"/>
            <w:sz w:val="22"/>
            <w:lang w:eastAsia="ja-JP"/>
          </w:rPr>
          <w:t>https://doi.org/10.1037/cou0000140</w:t>
        </w:r>
      </w:hyperlink>
    </w:p>
    <w:p w14:paraId="0903C6FB" w14:textId="77777777" w:rsidR="009A2B26" w:rsidRPr="00F97B96" w:rsidRDefault="009A2B26" w:rsidP="000D68CD">
      <w:pPr>
        <w:wordWrap/>
        <w:spacing w:after="0" w:line="360" w:lineRule="auto"/>
        <w:contextualSpacing/>
        <w:jc w:val="left"/>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 xml:space="preserve">Duffy, R. D., Choi, Y., Kim, H. J., &amp; Park, J. (2024). Recommendations for conceptualizing and measuring </w:t>
      </w:r>
      <w:proofErr w:type="gramStart"/>
      <w:r w:rsidRPr="00F97B96">
        <w:rPr>
          <w:rFonts w:ascii="Calibri" w:eastAsia="游明朝" w:hAnsi="Calibri" w:cs="Calibri"/>
          <w:snapToGrid w:val="0"/>
          <w:kern w:val="16"/>
          <w:sz w:val="22"/>
          <w:lang w:eastAsia="ja-JP"/>
        </w:rPr>
        <w:t>constructs</w:t>
      </w:r>
      <w:proofErr w:type="gramEnd"/>
      <w:r w:rsidRPr="00F97B96">
        <w:rPr>
          <w:rFonts w:ascii="Calibri" w:eastAsia="游明朝" w:hAnsi="Calibri" w:cs="Calibri"/>
          <w:snapToGrid w:val="0"/>
          <w:kern w:val="16"/>
          <w:sz w:val="22"/>
          <w:lang w:eastAsia="ja-JP"/>
        </w:rPr>
        <w:t xml:space="preserve"> within psychology of working theory. </w:t>
      </w:r>
      <w:r w:rsidRPr="00F97B96">
        <w:rPr>
          <w:rFonts w:ascii="Calibri" w:eastAsia="游明朝" w:hAnsi="Calibri" w:cs="Calibri"/>
          <w:i/>
          <w:iCs/>
          <w:snapToGrid w:val="0"/>
          <w:kern w:val="16"/>
          <w:sz w:val="22"/>
          <w:lang w:eastAsia="ja-JP"/>
        </w:rPr>
        <w:t>Journal of Career Assessment, 32</w:t>
      </w:r>
      <w:r w:rsidRPr="00F97B96">
        <w:rPr>
          <w:rFonts w:ascii="Calibri" w:eastAsia="游明朝" w:hAnsi="Calibri" w:cs="Calibri"/>
          <w:snapToGrid w:val="0"/>
          <w:kern w:val="16"/>
          <w:sz w:val="22"/>
          <w:lang w:eastAsia="ja-JP"/>
        </w:rPr>
        <w:t xml:space="preserve">(1), 48–62. </w:t>
      </w:r>
      <w:hyperlink r:id="rId11" w:history="1">
        <w:r w:rsidRPr="00F97B96">
          <w:rPr>
            <w:rStyle w:val="a8"/>
            <w:rFonts w:ascii="Calibri" w:eastAsia="游明朝" w:hAnsi="Calibri" w:cs="Calibri"/>
            <w:snapToGrid w:val="0"/>
            <w:kern w:val="16"/>
            <w:sz w:val="22"/>
            <w:lang w:eastAsia="ja-JP"/>
          </w:rPr>
          <w:t>https://doi.org/10.1177/10690727231179196</w:t>
        </w:r>
      </w:hyperlink>
    </w:p>
    <w:p w14:paraId="4DF8D9EF" w14:textId="5DE54161" w:rsidR="00060F8C" w:rsidRPr="00F97B96" w:rsidRDefault="009A2B26" w:rsidP="000D68CD">
      <w:pPr>
        <w:wordWrap/>
        <w:spacing w:after="0" w:line="360" w:lineRule="auto"/>
        <w:contextualSpacing/>
        <w:jc w:val="left"/>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 xml:space="preserve">Haan, M. M., </w:t>
      </w:r>
      <w:proofErr w:type="spellStart"/>
      <w:r w:rsidRPr="00F97B96">
        <w:rPr>
          <w:rFonts w:ascii="Calibri" w:eastAsia="游明朝" w:hAnsi="Calibri" w:cs="Calibri"/>
          <w:snapToGrid w:val="0"/>
          <w:kern w:val="16"/>
          <w:sz w:val="22"/>
          <w:lang w:eastAsia="ja-JP"/>
        </w:rPr>
        <w:t>Olthuis</w:t>
      </w:r>
      <w:proofErr w:type="spellEnd"/>
      <w:r w:rsidRPr="00F97B96">
        <w:rPr>
          <w:rFonts w:ascii="Calibri" w:eastAsia="游明朝" w:hAnsi="Calibri" w:cs="Calibri"/>
          <w:snapToGrid w:val="0"/>
          <w:kern w:val="16"/>
          <w:sz w:val="22"/>
          <w:lang w:eastAsia="ja-JP"/>
        </w:rPr>
        <w:t xml:space="preserve">, G., &amp; van </w:t>
      </w:r>
      <w:proofErr w:type="spellStart"/>
      <w:r w:rsidRPr="00F97B96">
        <w:rPr>
          <w:rFonts w:ascii="Calibri" w:eastAsia="游明朝" w:hAnsi="Calibri" w:cs="Calibri"/>
          <w:snapToGrid w:val="0"/>
          <w:kern w:val="16"/>
          <w:sz w:val="22"/>
          <w:lang w:eastAsia="ja-JP"/>
        </w:rPr>
        <w:t>Gurp</w:t>
      </w:r>
      <w:proofErr w:type="spellEnd"/>
      <w:r w:rsidRPr="00F97B96">
        <w:rPr>
          <w:rFonts w:ascii="Calibri" w:eastAsia="游明朝" w:hAnsi="Calibri" w:cs="Calibri"/>
          <w:snapToGrid w:val="0"/>
          <w:kern w:val="16"/>
          <w:sz w:val="22"/>
          <w:lang w:eastAsia="ja-JP"/>
        </w:rPr>
        <w:t xml:space="preserve">, J. L. P. (2021). Feeling called to care: A qualitative interview study on normativity in family caregivers' experiences in Dutch home settings in a palliative care context. </w:t>
      </w:r>
      <w:r w:rsidRPr="00F97B96">
        <w:rPr>
          <w:rFonts w:ascii="Calibri" w:eastAsia="游明朝" w:hAnsi="Calibri" w:cs="Calibri"/>
          <w:i/>
          <w:iCs/>
          <w:snapToGrid w:val="0"/>
          <w:kern w:val="16"/>
          <w:sz w:val="22"/>
          <w:lang w:eastAsia="ja-JP"/>
        </w:rPr>
        <w:t>BMC Palliative Care, 20</w:t>
      </w:r>
      <w:r w:rsidRPr="00F97B96">
        <w:rPr>
          <w:rFonts w:ascii="Calibri" w:eastAsia="游明朝" w:hAnsi="Calibri" w:cs="Calibri"/>
          <w:snapToGrid w:val="0"/>
          <w:kern w:val="16"/>
          <w:sz w:val="22"/>
          <w:lang w:eastAsia="ja-JP"/>
        </w:rPr>
        <w:t>, 183.</w:t>
      </w:r>
      <w:r w:rsidR="00060F8C" w:rsidRPr="00F97B96">
        <w:rPr>
          <w:rFonts w:ascii="Calibri" w:hAnsi="Calibri" w:cs="Calibri"/>
          <w:color w:val="222222"/>
          <w:sz w:val="22"/>
          <w:shd w:val="clear" w:color="auto" w:fill="FFFFFF"/>
        </w:rPr>
        <w:t xml:space="preserve"> </w:t>
      </w:r>
      <w:hyperlink r:id="rId12" w:history="1">
        <w:r w:rsidR="00060F8C" w:rsidRPr="00F97B96">
          <w:rPr>
            <w:rStyle w:val="a8"/>
            <w:rFonts w:ascii="Calibri" w:eastAsia="游明朝" w:hAnsi="Calibri" w:cs="Calibri"/>
            <w:snapToGrid w:val="0"/>
            <w:kern w:val="16"/>
            <w:sz w:val="22"/>
            <w:lang w:eastAsia="ja-JP"/>
          </w:rPr>
          <w:t>https://doi.org/10.1186/s12904-021-00868-2</w:t>
        </w:r>
      </w:hyperlink>
    </w:p>
    <w:p w14:paraId="08FC2764" w14:textId="77777777" w:rsidR="009A2B26" w:rsidRPr="00F97B96" w:rsidRDefault="009A2B26" w:rsidP="000D68CD">
      <w:pPr>
        <w:wordWrap/>
        <w:spacing w:after="0" w:line="360" w:lineRule="auto"/>
        <w:contextualSpacing/>
        <w:jc w:val="left"/>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 xml:space="preserve">Kittay, E. F. (1999). </w:t>
      </w:r>
      <w:r w:rsidRPr="00F97B96">
        <w:rPr>
          <w:rFonts w:ascii="Calibri" w:eastAsia="游明朝" w:hAnsi="Calibri" w:cs="Calibri"/>
          <w:i/>
          <w:iCs/>
          <w:snapToGrid w:val="0"/>
          <w:kern w:val="16"/>
          <w:sz w:val="22"/>
          <w:lang w:eastAsia="ja-JP"/>
        </w:rPr>
        <w:t>Love's labor: Essays on women, equality, and dependency</w:t>
      </w:r>
      <w:r w:rsidRPr="00F97B96">
        <w:rPr>
          <w:rFonts w:ascii="Calibri" w:eastAsia="游明朝" w:hAnsi="Calibri" w:cs="Calibri"/>
          <w:snapToGrid w:val="0"/>
          <w:kern w:val="16"/>
          <w:sz w:val="22"/>
          <w:lang w:eastAsia="ja-JP"/>
        </w:rPr>
        <w:t>. Routledge.</w:t>
      </w:r>
    </w:p>
    <w:p w14:paraId="4C7FEE96" w14:textId="77777777" w:rsidR="009A2B26" w:rsidRPr="00F97B96" w:rsidRDefault="009A2B26" w:rsidP="000D68CD">
      <w:pPr>
        <w:wordWrap/>
        <w:spacing w:after="0" w:line="360" w:lineRule="auto"/>
        <w:contextualSpacing/>
        <w:jc w:val="left"/>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 xml:space="preserve">Richardson, M. S. (1993). Work in people's lives: A location for counseling psychologists. </w:t>
      </w:r>
      <w:r w:rsidRPr="00F97B96">
        <w:rPr>
          <w:rFonts w:ascii="Calibri" w:eastAsia="游明朝" w:hAnsi="Calibri" w:cs="Calibri"/>
          <w:i/>
          <w:iCs/>
          <w:snapToGrid w:val="0"/>
          <w:kern w:val="16"/>
          <w:sz w:val="22"/>
          <w:lang w:eastAsia="ja-JP"/>
        </w:rPr>
        <w:t>Journal of Counseling Psychology, 40</w:t>
      </w:r>
      <w:r w:rsidRPr="00F97B96">
        <w:rPr>
          <w:rFonts w:ascii="Calibri" w:eastAsia="游明朝" w:hAnsi="Calibri" w:cs="Calibri"/>
          <w:snapToGrid w:val="0"/>
          <w:kern w:val="16"/>
          <w:sz w:val="22"/>
          <w:lang w:eastAsia="ja-JP"/>
        </w:rPr>
        <w:t xml:space="preserve">(4), 425–433. </w:t>
      </w:r>
      <w:hyperlink r:id="rId13" w:history="1">
        <w:r w:rsidRPr="00F97B96">
          <w:rPr>
            <w:rStyle w:val="a8"/>
            <w:rFonts w:ascii="Calibri" w:eastAsia="游明朝" w:hAnsi="Calibri" w:cs="Calibri"/>
            <w:snapToGrid w:val="0"/>
            <w:kern w:val="16"/>
            <w:sz w:val="22"/>
            <w:lang w:eastAsia="ja-JP"/>
          </w:rPr>
          <w:t>https://doi.org/10.1037/0022-0167.40.4.425</w:t>
        </w:r>
      </w:hyperlink>
    </w:p>
    <w:p w14:paraId="62F0C05D" w14:textId="77777777" w:rsidR="009A2B26" w:rsidRPr="00F97B96" w:rsidRDefault="009A2B26" w:rsidP="000D68CD">
      <w:pPr>
        <w:wordWrap/>
        <w:spacing w:after="0" w:line="360" w:lineRule="auto"/>
        <w:contextualSpacing/>
        <w:jc w:val="left"/>
        <w:rPr>
          <w:rFonts w:ascii="Calibri" w:eastAsia="游明朝" w:hAnsi="Calibri" w:cs="Calibri"/>
          <w:snapToGrid w:val="0"/>
          <w:kern w:val="16"/>
          <w:sz w:val="22"/>
          <w:lang w:eastAsia="ja-JP"/>
        </w:rPr>
      </w:pPr>
      <w:r w:rsidRPr="00F97B96">
        <w:rPr>
          <w:rFonts w:ascii="Calibri" w:eastAsia="游明朝" w:hAnsi="Calibri" w:cs="Calibri"/>
          <w:snapToGrid w:val="0"/>
          <w:kern w:val="16"/>
          <w:sz w:val="22"/>
          <w:lang w:eastAsia="ja-JP"/>
        </w:rPr>
        <w:t xml:space="preserve">Richardson, M. S. (2012). Counseling for work and relationship. </w:t>
      </w:r>
      <w:r w:rsidRPr="00F97B96">
        <w:rPr>
          <w:rFonts w:ascii="Calibri" w:eastAsia="游明朝" w:hAnsi="Calibri" w:cs="Calibri"/>
          <w:i/>
          <w:iCs/>
          <w:snapToGrid w:val="0"/>
          <w:kern w:val="16"/>
          <w:sz w:val="22"/>
          <w:lang w:eastAsia="ja-JP"/>
        </w:rPr>
        <w:t>The Counseling Psychologist, 40</w:t>
      </w:r>
      <w:r w:rsidRPr="00F97B96">
        <w:rPr>
          <w:rFonts w:ascii="Calibri" w:eastAsia="游明朝" w:hAnsi="Calibri" w:cs="Calibri"/>
          <w:snapToGrid w:val="0"/>
          <w:kern w:val="16"/>
          <w:sz w:val="22"/>
          <w:lang w:eastAsia="ja-JP"/>
        </w:rPr>
        <w:t xml:space="preserve">(2), 190–242. </w:t>
      </w:r>
      <w:hyperlink r:id="rId14" w:history="1">
        <w:r w:rsidRPr="00F97B96">
          <w:rPr>
            <w:rStyle w:val="a8"/>
            <w:rFonts w:ascii="Calibri" w:eastAsia="游明朝" w:hAnsi="Calibri" w:cs="Calibri"/>
            <w:snapToGrid w:val="0"/>
            <w:kern w:val="16"/>
            <w:sz w:val="22"/>
            <w:lang w:eastAsia="ja-JP"/>
          </w:rPr>
          <w:t>https://doi.org/10.1177/0011000011406452</w:t>
        </w:r>
      </w:hyperlink>
    </w:p>
    <w:p w14:paraId="4910A1C0" w14:textId="77777777" w:rsidR="009A2B26" w:rsidRPr="00F97B96" w:rsidRDefault="009A2B26" w:rsidP="000D68CD">
      <w:pPr>
        <w:wordWrap/>
        <w:spacing w:after="0" w:line="360" w:lineRule="auto"/>
        <w:contextualSpacing/>
        <w:jc w:val="left"/>
        <w:rPr>
          <w:rFonts w:ascii="Calibri" w:eastAsia="游明朝" w:hAnsi="Calibri" w:cs="Calibri"/>
          <w:snapToGrid w:val="0"/>
          <w:kern w:val="16"/>
          <w:sz w:val="22"/>
          <w:lang w:eastAsia="ja-JP"/>
        </w:rPr>
      </w:pPr>
      <w:proofErr w:type="spellStart"/>
      <w:r w:rsidRPr="00F97B96">
        <w:rPr>
          <w:rFonts w:ascii="Calibri" w:eastAsia="游明朝" w:hAnsi="Calibri" w:cs="Calibri"/>
          <w:snapToGrid w:val="0"/>
          <w:kern w:val="16"/>
          <w:sz w:val="22"/>
          <w:lang w:eastAsia="ja-JP"/>
        </w:rPr>
        <w:t>Ungerson</w:t>
      </w:r>
      <w:proofErr w:type="spellEnd"/>
      <w:r w:rsidRPr="00F97B96">
        <w:rPr>
          <w:rFonts w:ascii="Calibri" w:eastAsia="游明朝" w:hAnsi="Calibri" w:cs="Calibri"/>
          <w:snapToGrid w:val="0"/>
          <w:kern w:val="16"/>
          <w:sz w:val="22"/>
          <w:lang w:eastAsia="ja-JP"/>
        </w:rPr>
        <w:t xml:space="preserve">, C. (1983). Why do women care? In J. Finch &amp; D. Groves (Eds.), </w:t>
      </w:r>
      <w:r w:rsidRPr="00F97B96">
        <w:rPr>
          <w:rFonts w:ascii="Calibri" w:eastAsia="游明朝" w:hAnsi="Calibri" w:cs="Calibri"/>
          <w:i/>
          <w:iCs/>
          <w:snapToGrid w:val="0"/>
          <w:kern w:val="16"/>
          <w:sz w:val="22"/>
          <w:lang w:eastAsia="ja-JP"/>
        </w:rPr>
        <w:t xml:space="preserve">A </w:t>
      </w:r>
      <w:proofErr w:type="spellStart"/>
      <w:r w:rsidRPr="00F97B96">
        <w:rPr>
          <w:rFonts w:ascii="Calibri" w:eastAsia="游明朝" w:hAnsi="Calibri" w:cs="Calibri"/>
          <w:i/>
          <w:iCs/>
          <w:snapToGrid w:val="0"/>
          <w:kern w:val="16"/>
          <w:sz w:val="22"/>
          <w:lang w:eastAsia="ja-JP"/>
        </w:rPr>
        <w:t>labour</w:t>
      </w:r>
      <w:proofErr w:type="spellEnd"/>
      <w:r w:rsidRPr="00F97B96">
        <w:rPr>
          <w:rFonts w:ascii="Calibri" w:eastAsia="游明朝" w:hAnsi="Calibri" w:cs="Calibri"/>
          <w:i/>
          <w:iCs/>
          <w:snapToGrid w:val="0"/>
          <w:kern w:val="16"/>
          <w:sz w:val="22"/>
          <w:lang w:eastAsia="ja-JP"/>
        </w:rPr>
        <w:t xml:space="preserve"> of love: Women, work and caring</w:t>
      </w:r>
      <w:r w:rsidRPr="00F97B96">
        <w:rPr>
          <w:rFonts w:ascii="Calibri" w:eastAsia="游明朝" w:hAnsi="Calibri" w:cs="Calibri"/>
          <w:snapToGrid w:val="0"/>
          <w:kern w:val="16"/>
          <w:sz w:val="22"/>
          <w:lang w:eastAsia="ja-JP"/>
        </w:rPr>
        <w:t xml:space="preserve"> (pp. 31–49). Routledge &amp; Kegan Paul.</w:t>
      </w:r>
    </w:p>
    <w:p w14:paraId="227B9E5D" w14:textId="796BCE7F" w:rsidR="00CD2A60" w:rsidRPr="00F97B96" w:rsidRDefault="00CD2A60" w:rsidP="000D68CD">
      <w:pPr>
        <w:wordWrap/>
        <w:spacing w:after="0" w:line="360" w:lineRule="auto"/>
        <w:contextualSpacing/>
        <w:jc w:val="left"/>
        <w:rPr>
          <w:rFonts w:ascii="Calibri" w:eastAsia="游明朝" w:hAnsi="Calibri" w:cs="Calibri"/>
          <w:snapToGrid w:val="0"/>
          <w:kern w:val="16"/>
          <w:sz w:val="22"/>
          <w:lang w:eastAsia="ja-JP"/>
        </w:rPr>
      </w:pPr>
    </w:p>
    <w:sectPr w:rsidR="00CD2A60" w:rsidRPr="00F97B96" w:rsidSect="00B053CB">
      <w:footerReference w:type="default" r:id="rId15"/>
      <w:pgSz w:w="11906" w:h="16838" w:code="9"/>
      <w:pgMar w:top="851" w:right="851" w:bottom="851" w:left="85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58F37" w14:textId="77777777" w:rsidR="006259EA" w:rsidRDefault="006259EA" w:rsidP="00381BF7">
      <w:pPr>
        <w:spacing w:after="0" w:line="240" w:lineRule="auto"/>
      </w:pPr>
      <w:r>
        <w:separator/>
      </w:r>
    </w:p>
  </w:endnote>
  <w:endnote w:type="continuationSeparator" w:id="0">
    <w:p w14:paraId="176A9E33" w14:textId="77777777" w:rsidR="006259EA" w:rsidRDefault="006259EA" w:rsidP="00381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6029" w14:textId="3FBA57B3" w:rsidR="00EC6A97" w:rsidRPr="00EC6A97" w:rsidRDefault="00EC6A97" w:rsidP="00EC6A97">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9663E" w14:textId="77777777" w:rsidR="006259EA" w:rsidRDefault="006259EA" w:rsidP="00381BF7">
      <w:pPr>
        <w:spacing w:after="0" w:line="240" w:lineRule="auto"/>
      </w:pPr>
      <w:r>
        <w:separator/>
      </w:r>
    </w:p>
  </w:footnote>
  <w:footnote w:type="continuationSeparator" w:id="0">
    <w:p w14:paraId="6F6A0B95" w14:textId="77777777" w:rsidR="006259EA" w:rsidRDefault="006259EA" w:rsidP="00381B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34FF8"/>
    <w:multiLevelType w:val="hybridMultilevel"/>
    <w:tmpl w:val="61487092"/>
    <w:lvl w:ilvl="0" w:tplc="04090003">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16cid:durableId="380829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101"/>
    <w:rsid w:val="00005297"/>
    <w:rsid w:val="00012037"/>
    <w:rsid w:val="00020412"/>
    <w:rsid w:val="00024207"/>
    <w:rsid w:val="0003099D"/>
    <w:rsid w:val="00036BD3"/>
    <w:rsid w:val="00044E5D"/>
    <w:rsid w:val="0005254A"/>
    <w:rsid w:val="00060F8C"/>
    <w:rsid w:val="00087C73"/>
    <w:rsid w:val="000A61FF"/>
    <w:rsid w:val="000A71BB"/>
    <w:rsid w:val="000C426B"/>
    <w:rsid w:val="000D68CD"/>
    <w:rsid w:val="000F57DD"/>
    <w:rsid w:val="00117B92"/>
    <w:rsid w:val="00130DF0"/>
    <w:rsid w:val="00171F60"/>
    <w:rsid w:val="00181CBA"/>
    <w:rsid w:val="00181D71"/>
    <w:rsid w:val="001920BE"/>
    <w:rsid w:val="001A24A2"/>
    <w:rsid w:val="001C1243"/>
    <w:rsid w:val="001D45E6"/>
    <w:rsid w:val="001E06D1"/>
    <w:rsid w:val="001F0C0A"/>
    <w:rsid w:val="001F762C"/>
    <w:rsid w:val="00212897"/>
    <w:rsid w:val="00221EB7"/>
    <w:rsid w:val="00234AB8"/>
    <w:rsid w:val="0026186F"/>
    <w:rsid w:val="00272E66"/>
    <w:rsid w:val="00286782"/>
    <w:rsid w:val="00294031"/>
    <w:rsid w:val="002B1116"/>
    <w:rsid w:val="002D58D1"/>
    <w:rsid w:val="002E227A"/>
    <w:rsid w:val="00350C2F"/>
    <w:rsid w:val="00381BF7"/>
    <w:rsid w:val="003A2F2D"/>
    <w:rsid w:val="003B784C"/>
    <w:rsid w:val="003C204D"/>
    <w:rsid w:val="003C7F60"/>
    <w:rsid w:val="003E4E21"/>
    <w:rsid w:val="003F4BF9"/>
    <w:rsid w:val="00410872"/>
    <w:rsid w:val="00420191"/>
    <w:rsid w:val="00446CD2"/>
    <w:rsid w:val="00480FB2"/>
    <w:rsid w:val="004865FA"/>
    <w:rsid w:val="00490FDA"/>
    <w:rsid w:val="004A1DAC"/>
    <w:rsid w:val="004F692E"/>
    <w:rsid w:val="0054383C"/>
    <w:rsid w:val="00556108"/>
    <w:rsid w:val="00567A52"/>
    <w:rsid w:val="00576455"/>
    <w:rsid w:val="00580790"/>
    <w:rsid w:val="005A29A1"/>
    <w:rsid w:val="005B1027"/>
    <w:rsid w:val="005B2E28"/>
    <w:rsid w:val="005D7795"/>
    <w:rsid w:val="005E4C28"/>
    <w:rsid w:val="00606A84"/>
    <w:rsid w:val="006242F7"/>
    <w:rsid w:val="006259EA"/>
    <w:rsid w:val="0063603B"/>
    <w:rsid w:val="00637915"/>
    <w:rsid w:val="00637B47"/>
    <w:rsid w:val="00660ED1"/>
    <w:rsid w:val="00663A93"/>
    <w:rsid w:val="00672039"/>
    <w:rsid w:val="00680AFF"/>
    <w:rsid w:val="00682E81"/>
    <w:rsid w:val="006B3EC5"/>
    <w:rsid w:val="006C5320"/>
    <w:rsid w:val="006C64FD"/>
    <w:rsid w:val="00703383"/>
    <w:rsid w:val="00710033"/>
    <w:rsid w:val="007260AB"/>
    <w:rsid w:val="007468AB"/>
    <w:rsid w:val="00750A99"/>
    <w:rsid w:val="007626A8"/>
    <w:rsid w:val="00773175"/>
    <w:rsid w:val="00774FCB"/>
    <w:rsid w:val="0078250A"/>
    <w:rsid w:val="0079580D"/>
    <w:rsid w:val="007D5355"/>
    <w:rsid w:val="007E3194"/>
    <w:rsid w:val="008157FD"/>
    <w:rsid w:val="00832AAF"/>
    <w:rsid w:val="00833DAF"/>
    <w:rsid w:val="0083401E"/>
    <w:rsid w:val="00836C08"/>
    <w:rsid w:val="00841B8F"/>
    <w:rsid w:val="00846D2D"/>
    <w:rsid w:val="008B11A5"/>
    <w:rsid w:val="008B17CB"/>
    <w:rsid w:val="008B249D"/>
    <w:rsid w:val="008B3557"/>
    <w:rsid w:val="008C4154"/>
    <w:rsid w:val="00921FC8"/>
    <w:rsid w:val="009266E5"/>
    <w:rsid w:val="00927B91"/>
    <w:rsid w:val="00931410"/>
    <w:rsid w:val="00931C68"/>
    <w:rsid w:val="0096013B"/>
    <w:rsid w:val="0097606A"/>
    <w:rsid w:val="00977A07"/>
    <w:rsid w:val="00977FAA"/>
    <w:rsid w:val="0098508B"/>
    <w:rsid w:val="0099674D"/>
    <w:rsid w:val="009A2B26"/>
    <w:rsid w:val="009A4442"/>
    <w:rsid w:val="009B03F5"/>
    <w:rsid w:val="009B57D5"/>
    <w:rsid w:val="009B7DF6"/>
    <w:rsid w:val="009C7D88"/>
    <w:rsid w:val="009D3787"/>
    <w:rsid w:val="009F46FF"/>
    <w:rsid w:val="009F7692"/>
    <w:rsid w:val="00A014AD"/>
    <w:rsid w:val="00A23002"/>
    <w:rsid w:val="00A26BF6"/>
    <w:rsid w:val="00A27373"/>
    <w:rsid w:val="00A304B0"/>
    <w:rsid w:val="00A34C5F"/>
    <w:rsid w:val="00A50CD1"/>
    <w:rsid w:val="00A649F5"/>
    <w:rsid w:val="00A70CC6"/>
    <w:rsid w:val="00A802DD"/>
    <w:rsid w:val="00A968F0"/>
    <w:rsid w:val="00AA32EE"/>
    <w:rsid w:val="00AB250F"/>
    <w:rsid w:val="00AD2B85"/>
    <w:rsid w:val="00AE69F7"/>
    <w:rsid w:val="00AF58A3"/>
    <w:rsid w:val="00AF7A2A"/>
    <w:rsid w:val="00AF7B47"/>
    <w:rsid w:val="00B053CB"/>
    <w:rsid w:val="00B112B4"/>
    <w:rsid w:val="00B55CD8"/>
    <w:rsid w:val="00B86A4D"/>
    <w:rsid w:val="00B9277D"/>
    <w:rsid w:val="00BA1527"/>
    <w:rsid w:val="00BA1663"/>
    <w:rsid w:val="00BA3914"/>
    <w:rsid w:val="00BC1915"/>
    <w:rsid w:val="00BF728D"/>
    <w:rsid w:val="00C006D4"/>
    <w:rsid w:val="00C13A98"/>
    <w:rsid w:val="00C4389D"/>
    <w:rsid w:val="00C71F94"/>
    <w:rsid w:val="00C747BB"/>
    <w:rsid w:val="00C834DF"/>
    <w:rsid w:val="00CC4367"/>
    <w:rsid w:val="00CD2A60"/>
    <w:rsid w:val="00CE5B2D"/>
    <w:rsid w:val="00CF15B6"/>
    <w:rsid w:val="00D26835"/>
    <w:rsid w:val="00D3540E"/>
    <w:rsid w:val="00D47C33"/>
    <w:rsid w:val="00D5231F"/>
    <w:rsid w:val="00D60AB6"/>
    <w:rsid w:val="00D64854"/>
    <w:rsid w:val="00D72A85"/>
    <w:rsid w:val="00DA52D7"/>
    <w:rsid w:val="00DB0887"/>
    <w:rsid w:val="00E17AB6"/>
    <w:rsid w:val="00E53154"/>
    <w:rsid w:val="00E62E25"/>
    <w:rsid w:val="00E84F46"/>
    <w:rsid w:val="00EA0760"/>
    <w:rsid w:val="00EC6A97"/>
    <w:rsid w:val="00EE2CE0"/>
    <w:rsid w:val="00EE4923"/>
    <w:rsid w:val="00F144AC"/>
    <w:rsid w:val="00F239D4"/>
    <w:rsid w:val="00F41782"/>
    <w:rsid w:val="00F47C9B"/>
    <w:rsid w:val="00F61454"/>
    <w:rsid w:val="00F63101"/>
    <w:rsid w:val="00F9576C"/>
    <w:rsid w:val="00F95B5C"/>
    <w:rsid w:val="00F97B9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7C6536"/>
  <w15:chartTrackingRefBased/>
  <w15:docId w15:val="{C203BA22-698C-4CE5-AD62-42585C5F6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0760"/>
    <w:pPr>
      <w:ind w:leftChars="400" w:left="800"/>
    </w:pPr>
  </w:style>
  <w:style w:type="paragraph" w:styleId="a4">
    <w:name w:val="header"/>
    <w:basedOn w:val="a"/>
    <w:link w:val="a5"/>
    <w:uiPriority w:val="99"/>
    <w:unhideWhenUsed/>
    <w:rsid w:val="00381BF7"/>
    <w:pPr>
      <w:tabs>
        <w:tab w:val="center" w:pos="4252"/>
        <w:tab w:val="right" w:pos="8504"/>
      </w:tabs>
      <w:snapToGrid w:val="0"/>
    </w:pPr>
  </w:style>
  <w:style w:type="character" w:customStyle="1" w:styleId="a5">
    <w:name w:val="ヘッダー (文字)"/>
    <w:basedOn w:val="a0"/>
    <w:link w:val="a4"/>
    <w:uiPriority w:val="99"/>
    <w:rsid w:val="00381BF7"/>
  </w:style>
  <w:style w:type="paragraph" w:styleId="a6">
    <w:name w:val="footer"/>
    <w:basedOn w:val="a"/>
    <w:link w:val="a7"/>
    <w:uiPriority w:val="99"/>
    <w:unhideWhenUsed/>
    <w:rsid w:val="00381BF7"/>
    <w:pPr>
      <w:tabs>
        <w:tab w:val="center" w:pos="4252"/>
        <w:tab w:val="right" w:pos="8504"/>
      </w:tabs>
      <w:snapToGrid w:val="0"/>
    </w:pPr>
  </w:style>
  <w:style w:type="character" w:customStyle="1" w:styleId="a7">
    <w:name w:val="フッター (文字)"/>
    <w:basedOn w:val="a0"/>
    <w:link w:val="a6"/>
    <w:uiPriority w:val="99"/>
    <w:rsid w:val="00381BF7"/>
  </w:style>
  <w:style w:type="character" w:styleId="a8">
    <w:name w:val="Hyperlink"/>
    <w:basedOn w:val="a0"/>
    <w:uiPriority w:val="99"/>
    <w:unhideWhenUsed/>
    <w:rsid w:val="00921FC8"/>
    <w:rPr>
      <w:color w:val="0563C1" w:themeColor="hyperlink"/>
      <w:u w:val="single"/>
    </w:rPr>
  </w:style>
  <w:style w:type="character" w:styleId="a9">
    <w:name w:val="Unresolved Mention"/>
    <w:basedOn w:val="a0"/>
    <w:uiPriority w:val="99"/>
    <w:semiHidden/>
    <w:unhideWhenUsed/>
    <w:rsid w:val="00921FC8"/>
    <w:rPr>
      <w:color w:val="605E5C"/>
      <w:shd w:val="clear" w:color="auto" w:fill="E1DFDD"/>
    </w:rPr>
  </w:style>
  <w:style w:type="character" w:styleId="aa">
    <w:name w:val="FollowedHyperlink"/>
    <w:basedOn w:val="a0"/>
    <w:uiPriority w:val="99"/>
    <w:semiHidden/>
    <w:unhideWhenUsed/>
    <w:rsid w:val="004201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911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2530352@u.tsukuba.ac.jp" TargetMode="External"/><Relationship Id="rId13" Type="http://schemas.openxmlformats.org/officeDocument/2006/relationships/hyperlink" Target="https://doi.org/10.1037/0022-0167.40.4.42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86/s12904-021-00868-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77/10690727231179196"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i.org/10.1037/cou0000140" TargetMode="External"/><Relationship Id="rId4" Type="http://schemas.openxmlformats.org/officeDocument/2006/relationships/settings" Target="settings.xml"/><Relationship Id="rId9" Type="http://schemas.openxmlformats.org/officeDocument/2006/relationships/hyperlink" Target="https://doi.org/10.1002/j.2161-0045.2008.tb00095.x" TargetMode="External"/><Relationship Id="rId14" Type="http://schemas.openxmlformats.org/officeDocument/2006/relationships/hyperlink" Target="https://doi.org/10.1177/0011000011406452"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A220C-4178-4B4C-841A-F16B3D895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8</Pages>
  <Words>12432</Words>
  <Characters>13054</Characters>
  <Application>Microsoft Office Word</Application>
  <DocSecurity>0</DocSecurity>
  <Lines>407</Lines>
  <Paragraphs>190</Paragraphs>
  <ScaleCrop>false</ScaleCrop>
  <HeadingPairs>
    <vt:vector size="4" baseType="variant">
      <vt:variant>
        <vt:lpstr>タイトル</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25296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권소연</dc:creator>
  <cp:keywords/>
  <dc:description/>
  <cp:lastModifiedBy>出原　幹大</cp:lastModifiedBy>
  <cp:revision>38</cp:revision>
  <cp:lastPrinted>2026-04-07T06:30:00Z</cp:lastPrinted>
  <dcterms:created xsi:type="dcterms:W3CDTF">2026-04-14T05:22:00Z</dcterms:created>
  <dcterms:modified xsi:type="dcterms:W3CDTF">2026-04-15T08:11:00Z</dcterms:modified>
</cp:coreProperties>
</file>