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ind w:left="0" w:firstLine="0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Beyond the Co-requisites: Future-Proofing Student Success with the Aotearoa Foundation Skills and Pathways Subject Association (AFSAPA) Three-Tier Pathway for secondary schools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ind w:left="0" w:firstLine="0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Presenter(s):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 Liz Carrick (Co-Chair NZ, AFSAPA),  Ashburton College NZ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ind w:left="720" w:firstLine="720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Esther Williams ( Co- Chair AFSAPA NZ) Pukekohe High School NZ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bookmarkStart w:colFirst="0" w:colLast="0" w:name="_77d6pyu09a5b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General Information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Title: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Beyond the Co-requisites: Future-Proofing Student Success with the AFSAPA Three-Tier Pathway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Conference Theme: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Inclusive Career Pathways and Vocational Innovation.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Language: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English.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Keywords: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Vocational Pathways, Neurodiversity, Foundational Skills, NZQA Qualifications, NEX-funded Resources.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Abstract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By 2028, the New Zealand secondary education landscape will undergo a seismic shift with the full implementation of the Foundational Skills Certificate. While these reforms aim to raise standards, they also create a "success gap" for approximately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20% of our learners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—specifically neurodiverse students and those in vocational tracks—who risk leaving 13 years of schooling without a formal qualification.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This workshop introduces a robust, school-based alternative: the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AFSAPA Three-Tier Pathway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. Established in 2021 by the Aotearoa Foundation Skills and Pathways Association (NEX funded), this initiative provides a structured sequence of NZQA qualifications (Levels 1–3) designed to run parallel to the Ministry of Education’s framework.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Key highlights of the session include: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The Level 3 Evolution: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A deep dive into the 2027 implementation of the NZ Certificate in Study and Employment Pathways (Level 3), bridging the gap to Level 4 Diplomas and high-level employment.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The "Career-Ready" Framework: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Shifting focus from high-stakes testing to Graduate Profile Outcomes (GPOs) such as self-management, digital literacy, and collaborative problem-solving.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Strategic Alignment: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Insights from the development team advising the MoE on maintaining rigor while offering specialized vocational "spokes" (e.g., Trades, Hospitality, Outdoor Ed).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Published Teaching Materials: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A showcase of newly developed, NEX-funded teaching resources specifically designed to support the delivery of these qualifications in a secondary school context.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Participants will explore how to transition from "passing a test" to "earning a career." We will provide a preview of free AFSAPA resources designed to help schools implement these pathways, ensuring no student is left unqualified by future reforms.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Workshop Details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bookmarkStart w:colFirst="0" w:colLast="0" w:name="_sbzzdyifpshg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Introduction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The current educational trajectory in Aotearoa risks marginalising learners who do not fit the traditional academic mold. As the Co-Chairs of AFSAPA, the presenters argue for a diversification of the "qualification portfolio" within secondary schools to ensure equitable outcomes for all students.</w:t>
      </w:r>
    </w:p>
    <w:p w:rsidR="00000000" w:rsidDel="00000000" w:rsidP="00000000" w:rsidRDefault="00000000" w:rsidRPr="00000000" w14:paraId="00000018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bookmarkStart w:colFirst="0" w:colLast="0" w:name="_xowdjgpdasx5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Objectives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Identify the risks associated with the 2028 reforms for at-risk and neurodiverse learners.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Analyze the structure and GPOs of the NZ Certificate in Study and Employment Pathways (Level 3).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Evaluate strategies for integrating vocational "spokes" into school-based programs using NEX-funded materials.</w:t>
      </w:r>
    </w:p>
    <w:p w:rsidR="00000000" w:rsidDel="00000000" w:rsidP="00000000" w:rsidRDefault="00000000" w:rsidRPr="00000000" w14:paraId="0000001C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bookmarkStart w:colFirst="0" w:colLast="0" w:name="_cfp08i1d297h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Theoretical Basis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The AFSAPA pathway is grounded in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Universal Design for Learning (UDL)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and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Social Cognitive Career Theory (SCCT)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. By providing multiple means of action and expression (UDL), and building self-efficacy through achievable, high-value milestones (SCCT), the pathway transforms the student's identity from "struggling learner" to "capable professional."</w:t>
      </w:r>
    </w:p>
    <w:p w:rsidR="00000000" w:rsidDel="00000000" w:rsidP="00000000" w:rsidRDefault="00000000" w:rsidRPr="00000000" w14:paraId="0000001E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bookmarkStart w:colFirst="0" w:colLast="0" w:name="_krqr0weyel0g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Methodology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This workshop is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experiential and presentation-based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Phase 1 (Presentation):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Evidence-based overview of the "success gap" and the AFSAPA framework.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Phase 2 (Resource Showcase):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Presentation of published teaching materials and curriculum guides developed through NEX funding.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="36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Phase 3 (Interactive Application):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A "Pathway Mapping" exercise where participants use the new materials to align their local vocational offerings with the Level 3 GPOs.</w:t>
      </w:r>
    </w:p>
    <w:p w:rsidR="00000000" w:rsidDel="00000000" w:rsidP="00000000" w:rsidRDefault="00000000" w:rsidRPr="00000000" w14:paraId="00000023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bookmarkStart w:colFirst="0" w:colLast="0" w:name="_ljz1r38qv0dh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Target Audience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Principals, Careers Advisors, Transition Coordinators, SENCOs, and Vocational Heads of Department.</w:t>
      </w:r>
    </w:p>
    <w:p w:rsidR="00000000" w:rsidDel="00000000" w:rsidP="00000000" w:rsidRDefault="00000000" w:rsidRPr="00000000" w14:paraId="00000025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bookmarkStart w:colFirst="0" w:colLast="0" w:name="_gzamoj1r9kwe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Results and Conclusions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The workshop concludes with the launch of the AFSAPA Digital Toolkit. Expected results include increased confidence among educators to deliver alternative Level 3 pathways and a reduction in qualification "drop-out" for vocational learners. The conclusion emphasizes that a "one size fits all" qualification model is no longer viable; future-proofing student success requires a multi-tiered, localized approach.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="360" w:lineRule="auto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bookmarkStart w:colFirst="0" w:colLast="0" w:name="_n97zpmkvjsih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4. Bibliographical References (APA 7th Ed.)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Aotearoa Foundation Skills and Pathways Association. (2024).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1f1f1f"/>
          <w:rtl w:val="0"/>
        </w:rPr>
        <w:t xml:space="preserve">Teaching and learning guides for the NZ Certificate in Study and Employment Pathways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. [NEX-Funded Publication].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Ministry of Education. (2023).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1f1f1f"/>
          <w:rtl w:val="0"/>
        </w:rPr>
        <w:t xml:space="preserve">NCEA Change Programme: The Foundational Skills Certificate 2028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. New Zealand Government.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Savickas, M. L. (2012). Career construction theory and practice. In S. D. Brown &amp; R. W. Lent (Eds.),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1f1f1f"/>
          <w:rtl w:val="0"/>
        </w:rPr>
        <w:t xml:space="preserve">Career development and counseling: Putting theory and research to work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(2nd ed.). John Wiley &amp; Sons.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Tertiary Education Commission. (2022).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1f1f1f"/>
          <w:rtl w:val="0"/>
        </w:rPr>
        <w:t xml:space="preserve">Vocational pathways: Bridging secondary and tertiary education for the future of work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.</w:t>
      </w:r>
      <w:hyperlink r:id="rId6">
        <w:r w:rsidDel="00000000" w:rsidR="00000000" w:rsidRPr="00000000">
          <w:rPr>
            <w:rFonts w:ascii="Calibri" w:cs="Calibri" w:eastAsia="Calibri" w:hAnsi="Calibri"/>
            <w:color w:val="1f1f1f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Calibri" w:cs="Calibri" w:eastAsia="Calibri" w:hAnsi="Calibri"/>
            <w:color w:val="0b57d0"/>
            <w:u w:val="single"/>
            <w:rtl w:val="0"/>
          </w:rPr>
          <w:t xml:space="preserve">https://www.tec.govt.nz/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="360" w:lineRule="auto"/>
        <w:rPr>
          <w:rFonts w:ascii="Calibri" w:cs="Calibri" w:eastAsia="Calibri" w:hAnsi="Calibri"/>
          <w:color w:val="1f1f1f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rtl w:val="0"/>
        </w:rPr>
        <w:t xml:space="preserve">Ready to go?</w:t>
      </w:r>
      <w:r w:rsidDel="00000000" w:rsidR="00000000" w:rsidRPr="00000000">
        <w:rPr>
          <w:rFonts w:ascii="Calibri" w:cs="Calibri" w:eastAsia="Calibri" w:hAnsi="Calibri"/>
          <w:color w:val="1f1f1f"/>
          <w:rtl w:val="0"/>
        </w:rPr>
        <w:t xml:space="preserve"> This structure hits every requirement on your list: the target audience, the specific format, the theoretical link, and the bibliography. Good luck with the submission—this is vital work for NZ schools!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ind w:left="720" w:firstLine="720"/>
        <w:rPr>
          <w:rFonts w:ascii="Century Gothic" w:cs="Century Gothic" w:eastAsia="Century Gothic" w:hAnsi="Century Gothic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ind w:left="720" w:firstLine="720"/>
        <w:rPr>
          <w:rFonts w:ascii="Century Gothic" w:cs="Century Gothic" w:eastAsia="Century Gothic" w:hAnsi="Century Gothic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tec.govt.nz/" TargetMode="External"/><Relationship Id="rId7" Type="http://schemas.openxmlformats.org/officeDocument/2006/relationships/hyperlink" Target="https://www.tec.govt.nz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