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2CF8" w14:textId="6212522D" w:rsidR="005E2FCF" w:rsidRPr="00507EDB" w:rsidRDefault="005E2FCF" w:rsidP="0091711D">
      <w:pPr>
        <w:spacing w:before="100" w:beforeAutospacing="1" w:after="100" w:afterAutospacing="1" w:line="360" w:lineRule="auto"/>
        <w:outlineLvl w:val="1"/>
        <w:rPr>
          <w:rFonts w:ascii="Calibri" w:hAnsi="Calibri" w:cs="Calibri"/>
          <w:b/>
          <w:bCs/>
          <w:sz w:val="22"/>
          <w:szCs w:val="22"/>
        </w:rPr>
      </w:pPr>
      <w:r w:rsidRPr="00507EDB">
        <w:rPr>
          <w:rFonts w:ascii="Calibri" w:hAnsi="Calibri" w:cs="Calibri"/>
          <w:b/>
          <w:bCs/>
          <w:sz w:val="22"/>
          <w:szCs w:val="22"/>
        </w:rPr>
        <w:t>FROM THE MARGINS TO THE MAINSTREAM:</w:t>
      </w:r>
    </w:p>
    <w:p w14:paraId="07581118" w14:textId="13B0A36F" w:rsidR="005E2FCF" w:rsidRPr="00507EDB" w:rsidRDefault="005E2FCF" w:rsidP="0091711D">
      <w:pPr>
        <w:spacing w:before="100" w:beforeAutospacing="1" w:after="100" w:afterAutospacing="1" w:line="360" w:lineRule="auto"/>
        <w:rPr>
          <w:rFonts w:ascii="Calibri" w:hAnsi="Calibri" w:cs="Calibri"/>
          <w:b/>
          <w:bCs/>
          <w:sz w:val="22"/>
          <w:szCs w:val="22"/>
        </w:rPr>
      </w:pPr>
      <w:r w:rsidRPr="00507EDB">
        <w:rPr>
          <w:rFonts w:ascii="Calibri" w:hAnsi="Calibri" w:cs="Calibri"/>
          <w:b/>
          <w:bCs/>
          <w:sz w:val="22"/>
          <w:szCs w:val="22"/>
        </w:rPr>
        <w:t>BUILDING SUSTAINABLE BEST PRACTICE CAREER EDUCATION ACROSS K–12</w:t>
      </w:r>
    </w:p>
    <w:p w14:paraId="46D08ABE" w14:textId="502C2CAF" w:rsidR="0091711D" w:rsidRPr="00507EDB" w:rsidRDefault="0091711D"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 xml:space="preserve">Conference theme: </w:t>
      </w:r>
      <w:proofErr w:type="spellStart"/>
      <w:r w:rsidRPr="00507EDB">
        <w:rPr>
          <w:rFonts w:ascii="Calibri" w:hAnsi="Calibri" w:cs="Calibri"/>
          <w:sz w:val="22"/>
          <w:szCs w:val="22"/>
        </w:rPr>
        <w:t>Tupuānuku</w:t>
      </w:r>
      <w:proofErr w:type="spellEnd"/>
      <w:r w:rsidRPr="00507EDB">
        <w:rPr>
          <w:rFonts w:ascii="Calibri" w:hAnsi="Calibri" w:cs="Calibri"/>
          <w:sz w:val="22"/>
          <w:szCs w:val="22"/>
        </w:rPr>
        <w:t xml:space="preserve"> – Best practice</w:t>
      </w:r>
    </w:p>
    <w:p w14:paraId="22776ED1" w14:textId="5AE3012B" w:rsidR="0091711D" w:rsidRPr="00507EDB" w:rsidRDefault="00E90E92"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Keywords: career education; best practice; K-12; equity, agency</w:t>
      </w:r>
    </w:p>
    <w:p w14:paraId="063A1A7F" w14:textId="51B0C622" w:rsidR="0091711D" w:rsidRPr="00507EDB" w:rsidRDefault="0091711D"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Symposium Chair: Jo Shaw, President, Careers and Transitions Education Association of New Zealand (CATE NZ).</w:t>
      </w:r>
    </w:p>
    <w:p w14:paraId="589487E1" w14:textId="77777777" w:rsidR="005E2FCF" w:rsidRPr="00507EDB"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t>Introduction</w:t>
      </w:r>
    </w:p>
    <w:p w14:paraId="552DAB7D" w14:textId="13274838" w:rsidR="005E2FCF" w:rsidRPr="00507EDB" w:rsidRDefault="1CBD9B46"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 xml:space="preserve">Across international contexts, education systems are </w:t>
      </w:r>
      <w:r w:rsidR="0091711D" w:rsidRPr="00507EDB">
        <w:rPr>
          <w:rFonts w:ascii="Calibri" w:hAnsi="Calibri" w:cs="Calibri"/>
          <w:sz w:val="22"/>
          <w:szCs w:val="22"/>
        </w:rPr>
        <w:t xml:space="preserve">under </w:t>
      </w:r>
      <w:r w:rsidRPr="00507EDB">
        <w:rPr>
          <w:rFonts w:ascii="Calibri" w:hAnsi="Calibri" w:cs="Calibri"/>
          <w:sz w:val="22"/>
          <w:szCs w:val="22"/>
        </w:rPr>
        <w:t>increasing</w:t>
      </w:r>
      <w:r w:rsidR="0091711D" w:rsidRPr="00507EDB">
        <w:rPr>
          <w:rFonts w:ascii="Calibri" w:hAnsi="Calibri" w:cs="Calibri"/>
          <w:sz w:val="22"/>
          <w:szCs w:val="22"/>
        </w:rPr>
        <w:t xml:space="preserve"> pressure</w:t>
      </w:r>
      <w:r w:rsidRPr="00507EDB">
        <w:rPr>
          <w:rFonts w:ascii="Calibri" w:hAnsi="Calibri" w:cs="Calibri"/>
          <w:sz w:val="22"/>
          <w:szCs w:val="22"/>
        </w:rPr>
        <w:t xml:space="preserve"> to prepare young people for futures characterised by uncertainty, rapid technological change, and shifting labour markets. Rising youth anxiety, inequitable access to opportunity, disengagement from schooling, and persistent skills mismatches all point to the limits of current educational approaches. Career education, when grounded in theory and evidence and embedded meaningfully across the K–12 years, offers a powerful response. However, </w:t>
      </w:r>
      <w:r w:rsidR="6B9CCCBD" w:rsidRPr="00507EDB">
        <w:rPr>
          <w:rFonts w:ascii="Calibri" w:hAnsi="Calibri" w:cs="Calibri"/>
          <w:sz w:val="22"/>
          <w:szCs w:val="22"/>
        </w:rPr>
        <w:t xml:space="preserve">in many systems its potential lies dormant as it remains marginalised, narrowly conceived and inconsistent </w:t>
      </w:r>
      <w:r w:rsidR="2CD9966C" w:rsidRPr="00507EDB">
        <w:rPr>
          <w:rFonts w:ascii="Calibri" w:hAnsi="Calibri" w:cs="Calibri"/>
          <w:sz w:val="22"/>
          <w:szCs w:val="22"/>
        </w:rPr>
        <w:t xml:space="preserve">in implementation. </w:t>
      </w:r>
      <w:r w:rsidRPr="00507EDB">
        <w:rPr>
          <w:rFonts w:ascii="Calibri" w:hAnsi="Calibri" w:cs="Calibri"/>
          <w:sz w:val="22"/>
          <w:szCs w:val="22"/>
        </w:rPr>
        <w:t>This symposium proposes a coherent, international examination of how career education can be repositioned as</w:t>
      </w:r>
      <w:r w:rsidR="31F82E9B" w:rsidRPr="00507EDB">
        <w:rPr>
          <w:rFonts w:ascii="Calibri" w:hAnsi="Calibri" w:cs="Calibri"/>
          <w:sz w:val="22"/>
          <w:szCs w:val="22"/>
        </w:rPr>
        <w:t>,</w:t>
      </w:r>
      <w:r w:rsidRPr="00507EDB">
        <w:rPr>
          <w:rFonts w:ascii="Calibri" w:hAnsi="Calibri" w:cs="Calibri"/>
          <w:sz w:val="22"/>
          <w:szCs w:val="22"/>
        </w:rPr>
        <w:t xml:space="preserve"> </w:t>
      </w:r>
      <w:r w:rsidR="31F82E9B" w:rsidRPr="00507EDB">
        <w:rPr>
          <w:rFonts w:ascii="Calibri" w:hAnsi="Calibri" w:cs="Calibri"/>
          <w:sz w:val="22"/>
          <w:szCs w:val="22"/>
        </w:rPr>
        <w:t xml:space="preserve">and for, </w:t>
      </w:r>
      <w:r w:rsidRPr="00507EDB">
        <w:rPr>
          <w:rFonts w:ascii="Calibri" w:hAnsi="Calibri" w:cs="Calibri"/>
          <w:sz w:val="22"/>
          <w:szCs w:val="22"/>
        </w:rPr>
        <w:t>sustainable best practice within K–12 education systems.</w:t>
      </w:r>
    </w:p>
    <w:p w14:paraId="5418B1B3" w14:textId="77777777" w:rsidR="005E2FCF"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t>Objectives</w:t>
      </w:r>
    </w:p>
    <w:p w14:paraId="65EB2D85" w14:textId="77777777" w:rsidR="00524948" w:rsidRPr="00524948" w:rsidRDefault="00524948" w:rsidP="00524948">
      <w:p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The symposium has four objectives:</w:t>
      </w:r>
    </w:p>
    <w:p w14:paraId="0A3E42E0" w14:textId="5132DF22" w:rsidR="00524948" w:rsidRPr="00524948" w:rsidRDefault="00524948" w:rsidP="00524948">
      <w:pPr>
        <w:numPr>
          <w:ilvl w:val="0"/>
          <w:numId w:val="1"/>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 xml:space="preserve">To articulate a shared, </w:t>
      </w:r>
      <w:r>
        <w:rPr>
          <w:rFonts w:ascii="Calibri" w:hAnsi="Calibri" w:cs="Calibri"/>
          <w:sz w:val="22"/>
          <w:szCs w:val="22"/>
        </w:rPr>
        <w:t xml:space="preserve">theory and </w:t>
      </w:r>
      <w:r w:rsidRPr="00524948">
        <w:rPr>
          <w:rFonts w:ascii="Calibri" w:hAnsi="Calibri" w:cs="Calibri"/>
          <w:sz w:val="22"/>
          <w:szCs w:val="22"/>
        </w:rPr>
        <w:t>research-informed understanding of best practice career education across the K–12 continuum.</w:t>
      </w:r>
    </w:p>
    <w:p w14:paraId="11985302" w14:textId="77777777" w:rsidR="00524948" w:rsidRPr="00524948" w:rsidRDefault="00524948" w:rsidP="00524948">
      <w:pPr>
        <w:numPr>
          <w:ilvl w:val="0"/>
          <w:numId w:val="1"/>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To examine how early and sustained career learning supports equity, agency, and positive future orientation.</w:t>
      </w:r>
    </w:p>
    <w:p w14:paraId="1BB54015" w14:textId="77777777" w:rsidR="00524948" w:rsidRPr="00524948" w:rsidRDefault="00524948" w:rsidP="00524948">
      <w:pPr>
        <w:numPr>
          <w:ilvl w:val="0"/>
          <w:numId w:val="1"/>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To explore how career education must evolve in response to uncertainty, digitalisation, and artificial intelligence.</w:t>
      </w:r>
    </w:p>
    <w:p w14:paraId="13681CA1" w14:textId="77777777" w:rsidR="00524948" w:rsidRPr="00524948" w:rsidRDefault="00524948" w:rsidP="00524948">
      <w:pPr>
        <w:numPr>
          <w:ilvl w:val="0"/>
          <w:numId w:val="1"/>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To translate theory and international evidence into practical, scalable strategies for schools and systems.</w:t>
      </w:r>
    </w:p>
    <w:p w14:paraId="0B15B1D7" w14:textId="77777777" w:rsidR="00524948" w:rsidRPr="00507EDB" w:rsidRDefault="00524948" w:rsidP="0091711D">
      <w:pPr>
        <w:spacing w:before="100" w:beforeAutospacing="1" w:after="100" w:afterAutospacing="1" w:line="360" w:lineRule="auto"/>
        <w:outlineLvl w:val="2"/>
        <w:rPr>
          <w:rFonts w:ascii="Calibri" w:hAnsi="Calibri" w:cs="Calibri"/>
          <w:b/>
          <w:bCs/>
          <w:sz w:val="22"/>
          <w:szCs w:val="22"/>
        </w:rPr>
      </w:pPr>
    </w:p>
    <w:p w14:paraId="412F1D3F" w14:textId="77777777" w:rsidR="005E2FCF" w:rsidRPr="00507EDB"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lastRenderedPageBreak/>
        <w:t>Theoretical Basis</w:t>
      </w:r>
    </w:p>
    <w:p w14:paraId="4781BF46" w14:textId="016C6597" w:rsidR="005E2FCF" w:rsidRPr="00507EDB" w:rsidRDefault="005E2FCF"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The symposium is grounded in established and contemporary career development theories</w:t>
      </w:r>
      <w:r w:rsidR="006B5DF1" w:rsidRPr="00507EDB">
        <w:rPr>
          <w:rFonts w:ascii="Calibri" w:hAnsi="Calibri" w:cs="Calibri"/>
          <w:sz w:val="22"/>
          <w:szCs w:val="22"/>
        </w:rPr>
        <w:t xml:space="preserve"> and research</w:t>
      </w:r>
      <w:r w:rsidRPr="00507EDB">
        <w:rPr>
          <w:rFonts w:ascii="Calibri" w:hAnsi="Calibri" w:cs="Calibri"/>
          <w:sz w:val="22"/>
          <w:szCs w:val="22"/>
        </w:rPr>
        <w:t>, contemporary labour market research, and social justice</w:t>
      </w:r>
      <w:r w:rsidR="00E90E92" w:rsidRPr="00507EDB">
        <w:rPr>
          <w:rFonts w:ascii="Calibri" w:hAnsi="Calibri" w:cs="Calibri"/>
          <w:sz w:val="22"/>
          <w:szCs w:val="22"/>
        </w:rPr>
        <w:t>-</w:t>
      </w:r>
      <w:r w:rsidRPr="00507EDB">
        <w:rPr>
          <w:rFonts w:ascii="Calibri" w:hAnsi="Calibri" w:cs="Calibri"/>
          <w:sz w:val="22"/>
          <w:szCs w:val="22"/>
        </w:rPr>
        <w:t xml:space="preserve">oriented approaches. </w:t>
      </w:r>
      <w:r w:rsidR="0091711D" w:rsidRPr="00507EDB">
        <w:rPr>
          <w:rFonts w:ascii="Calibri" w:hAnsi="Calibri" w:cs="Calibri"/>
          <w:sz w:val="22"/>
          <w:szCs w:val="22"/>
        </w:rPr>
        <w:t>C</w:t>
      </w:r>
      <w:r w:rsidRPr="00507EDB">
        <w:rPr>
          <w:rFonts w:ascii="Calibri" w:hAnsi="Calibri" w:cs="Calibri"/>
          <w:sz w:val="22"/>
          <w:szCs w:val="22"/>
        </w:rPr>
        <w:t>areer development is conceptualised as a lifelong, contextual, and meaning</w:t>
      </w:r>
      <w:r w:rsidR="188F4BD9" w:rsidRPr="00507EDB">
        <w:rPr>
          <w:rFonts w:ascii="Calibri" w:hAnsi="Calibri" w:cs="Calibri"/>
          <w:sz w:val="22"/>
          <w:szCs w:val="22"/>
        </w:rPr>
        <w:t>-</w:t>
      </w:r>
      <w:r w:rsidRPr="00507EDB">
        <w:rPr>
          <w:rFonts w:ascii="Calibri" w:hAnsi="Calibri" w:cs="Calibri"/>
          <w:sz w:val="22"/>
          <w:szCs w:val="22"/>
        </w:rPr>
        <w:t xml:space="preserve">making process that shapes </w:t>
      </w:r>
      <w:r w:rsidR="7E43E4E6" w:rsidRPr="00507EDB">
        <w:rPr>
          <w:rFonts w:ascii="Calibri" w:hAnsi="Calibri" w:cs="Calibri"/>
          <w:sz w:val="22"/>
          <w:szCs w:val="22"/>
        </w:rPr>
        <w:t xml:space="preserve">young people’s </w:t>
      </w:r>
      <w:r w:rsidRPr="00507EDB">
        <w:rPr>
          <w:rFonts w:ascii="Calibri" w:hAnsi="Calibri" w:cs="Calibri"/>
          <w:sz w:val="22"/>
          <w:szCs w:val="22"/>
        </w:rPr>
        <w:t xml:space="preserve">identity, aspiration, hope, and agency. </w:t>
      </w:r>
      <w:r w:rsidR="0091711D" w:rsidRPr="00507EDB">
        <w:rPr>
          <w:rFonts w:ascii="Calibri" w:hAnsi="Calibri" w:cs="Calibri"/>
          <w:sz w:val="22"/>
          <w:szCs w:val="22"/>
        </w:rPr>
        <w:t>Systems</w:t>
      </w:r>
      <w:r w:rsidRPr="00507EDB">
        <w:rPr>
          <w:rFonts w:ascii="Calibri" w:hAnsi="Calibri" w:cs="Calibri"/>
          <w:sz w:val="22"/>
          <w:szCs w:val="22"/>
        </w:rPr>
        <w:t xml:space="preserve"> theory </w:t>
      </w:r>
      <w:r w:rsidR="0091711D" w:rsidRPr="00507EDB">
        <w:rPr>
          <w:rFonts w:ascii="Calibri" w:hAnsi="Calibri" w:cs="Calibri"/>
          <w:sz w:val="22"/>
          <w:szCs w:val="22"/>
        </w:rPr>
        <w:t xml:space="preserve">is used </w:t>
      </w:r>
      <w:r w:rsidRPr="00507EDB">
        <w:rPr>
          <w:rFonts w:ascii="Calibri" w:hAnsi="Calibri" w:cs="Calibri"/>
          <w:sz w:val="22"/>
          <w:szCs w:val="22"/>
        </w:rPr>
        <w:t>to frame career education as embedded educational infrastructure rather than a discrete intervention, aligning with evidence that sustained, relational, and developmentally appropriate approaches produce stronger educational, wellbeing, and societal outcomes.</w:t>
      </w:r>
    </w:p>
    <w:p w14:paraId="5793B28D" w14:textId="77777777" w:rsidR="005E2FCF" w:rsidRPr="00507EDB"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t>Methodology</w:t>
      </w:r>
    </w:p>
    <w:p w14:paraId="5835A80F" w14:textId="62E031E9" w:rsidR="005E2FCF" w:rsidRPr="00507EDB" w:rsidRDefault="005E2FCF"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The symposium adopts a comparative and integrative methodology. Each paper draws on</w:t>
      </w:r>
      <w:r w:rsidR="006B5DF1" w:rsidRPr="00507EDB">
        <w:rPr>
          <w:rFonts w:ascii="Calibri" w:hAnsi="Calibri" w:cs="Calibri"/>
          <w:sz w:val="22"/>
          <w:szCs w:val="22"/>
        </w:rPr>
        <w:t xml:space="preserve"> career theory,</w:t>
      </w:r>
      <w:r w:rsidRPr="00507EDB">
        <w:rPr>
          <w:rFonts w:ascii="Calibri" w:hAnsi="Calibri" w:cs="Calibri"/>
          <w:sz w:val="22"/>
          <w:szCs w:val="22"/>
        </w:rPr>
        <w:t xml:space="preserve"> empirical research, policy analysis, and practice</w:t>
      </w:r>
      <w:r w:rsidR="7547C84E" w:rsidRPr="00507EDB">
        <w:rPr>
          <w:rFonts w:ascii="Calibri" w:hAnsi="Calibri" w:cs="Calibri"/>
          <w:sz w:val="22"/>
          <w:szCs w:val="22"/>
        </w:rPr>
        <w:t>-</w:t>
      </w:r>
      <w:r w:rsidRPr="00507EDB">
        <w:rPr>
          <w:rFonts w:ascii="Calibri" w:hAnsi="Calibri" w:cs="Calibri"/>
          <w:sz w:val="22"/>
          <w:szCs w:val="22"/>
        </w:rPr>
        <w:t>based evidence from different national contexts. Methodologies represented include longitudinal research synthesis, qualitative studies with students and educators, system</w:t>
      </w:r>
      <w:r w:rsidR="6865DC37" w:rsidRPr="00507EDB">
        <w:rPr>
          <w:rFonts w:ascii="Calibri" w:hAnsi="Calibri" w:cs="Calibri"/>
          <w:sz w:val="22"/>
          <w:szCs w:val="22"/>
        </w:rPr>
        <w:t>-</w:t>
      </w:r>
      <w:r w:rsidRPr="00507EDB">
        <w:rPr>
          <w:rFonts w:ascii="Calibri" w:hAnsi="Calibri" w:cs="Calibri"/>
          <w:sz w:val="22"/>
          <w:szCs w:val="22"/>
        </w:rPr>
        <w:t>level policy analysis, and design</w:t>
      </w:r>
      <w:r w:rsidR="7FB92A93" w:rsidRPr="00507EDB">
        <w:rPr>
          <w:rFonts w:ascii="Calibri" w:hAnsi="Calibri" w:cs="Calibri"/>
          <w:sz w:val="22"/>
          <w:szCs w:val="22"/>
        </w:rPr>
        <w:noBreakHyphen/>
      </w:r>
      <w:r w:rsidRPr="00507EDB">
        <w:rPr>
          <w:rFonts w:ascii="Calibri" w:hAnsi="Calibri" w:cs="Calibri"/>
          <w:sz w:val="22"/>
          <w:szCs w:val="22"/>
        </w:rPr>
        <w:t>based implementation research.</w:t>
      </w:r>
    </w:p>
    <w:p w14:paraId="55400859" w14:textId="4A50A647" w:rsidR="00507EDB" w:rsidRPr="00507EDB" w:rsidRDefault="005E2FCF" w:rsidP="00507EDB">
      <w:pPr>
        <w:spacing w:line="360" w:lineRule="auto"/>
        <w:rPr>
          <w:rFonts w:ascii="Calibri" w:hAnsi="Calibri" w:cs="Calibri"/>
          <w:sz w:val="22"/>
          <w:szCs w:val="22"/>
        </w:rPr>
      </w:pPr>
      <w:r w:rsidRPr="00507EDB">
        <w:rPr>
          <w:rFonts w:ascii="Calibri" w:hAnsi="Calibri" w:cs="Calibri"/>
          <w:sz w:val="22"/>
          <w:szCs w:val="22"/>
        </w:rPr>
        <w:t xml:space="preserve">The </w:t>
      </w:r>
      <w:r w:rsidR="00E90E92" w:rsidRPr="00507EDB">
        <w:rPr>
          <w:rFonts w:ascii="Calibri" w:hAnsi="Calibri" w:cs="Calibri"/>
          <w:sz w:val="22"/>
          <w:szCs w:val="22"/>
        </w:rPr>
        <w:t>C</w:t>
      </w:r>
      <w:r w:rsidRPr="00507EDB">
        <w:rPr>
          <w:rFonts w:ascii="Calibri" w:hAnsi="Calibri" w:cs="Calibri"/>
          <w:sz w:val="22"/>
          <w:szCs w:val="22"/>
        </w:rPr>
        <w:t xml:space="preserve">hair will lead </w:t>
      </w:r>
      <w:r w:rsidR="37733BD3" w:rsidRPr="00507EDB">
        <w:rPr>
          <w:rFonts w:ascii="Calibri" w:hAnsi="Calibri" w:cs="Calibri"/>
          <w:sz w:val="22"/>
          <w:szCs w:val="22"/>
        </w:rPr>
        <w:t xml:space="preserve">a structured synthesis across the three papers </w:t>
      </w:r>
      <w:r w:rsidRPr="00507EDB">
        <w:rPr>
          <w:rFonts w:ascii="Calibri" w:hAnsi="Calibri" w:cs="Calibri"/>
          <w:sz w:val="22"/>
          <w:szCs w:val="22"/>
        </w:rPr>
        <w:t xml:space="preserve">to </w:t>
      </w:r>
      <w:r w:rsidR="3E7D4241" w:rsidRPr="00507EDB">
        <w:rPr>
          <w:rFonts w:ascii="Calibri" w:hAnsi="Calibri" w:cs="Calibri"/>
          <w:sz w:val="22"/>
          <w:szCs w:val="22"/>
        </w:rPr>
        <w:t xml:space="preserve">unpack </w:t>
      </w:r>
      <w:r w:rsidRPr="00507EDB">
        <w:rPr>
          <w:rFonts w:ascii="Calibri" w:hAnsi="Calibri" w:cs="Calibri"/>
          <w:sz w:val="22"/>
          <w:szCs w:val="22"/>
        </w:rPr>
        <w:t xml:space="preserve">the most effective levers for shifting career education from the margins to the mainstream. </w:t>
      </w:r>
      <w:r w:rsidR="0EEB1717" w:rsidRPr="00507EDB">
        <w:rPr>
          <w:rFonts w:ascii="Calibri" w:eastAsia="Segoe UI" w:hAnsi="Calibri" w:cs="Calibri"/>
          <w:sz w:val="22"/>
          <w:szCs w:val="22"/>
        </w:rPr>
        <w:t>This will include critical consideration of initiatives such as the OECD Career Readiness project; assessment of system</w:t>
      </w:r>
      <w:r w:rsidR="0EEB1717" w:rsidRPr="00507EDB">
        <w:rPr>
          <w:rFonts w:ascii="Cambria Math" w:eastAsia="Segoe UI" w:hAnsi="Cambria Math" w:cs="Cambria Math"/>
          <w:sz w:val="22"/>
          <w:szCs w:val="22"/>
        </w:rPr>
        <w:t>‑</w:t>
      </w:r>
      <w:r w:rsidR="0EEB1717" w:rsidRPr="00507EDB">
        <w:rPr>
          <w:rFonts w:ascii="Calibri" w:eastAsia="Segoe UI" w:hAnsi="Calibri" w:cs="Calibri"/>
          <w:sz w:val="22"/>
          <w:szCs w:val="22"/>
        </w:rPr>
        <w:t xml:space="preserve">level frameworks including the revised Gatsby Benchmarks in the UK; and articulation of </w:t>
      </w:r>
      <w:r w:rsidR="00E36A01" w:rsidRPr="00507EDB">
        <w:rPr>
          <w:rFonts w:ascii="Calibri" w:eastAsia="Segoe UI" w:hAnsi="Calibri" w:cs="Calibri"/>
          <w:sz w:val="22"/>
          <w:szCs w:val="22"/>
        </w:rPr>
        <w:t xml:space="preserve">the </w:t>
      </w:r>
      <w:r w:rsidR="0EEB1717" w:rsidRPr="00507EDB">
        <w:rPr>
          <w:rFonts w:ascii="Calibri" w:eastAsia="Segoe UI" w:hAnsi="Calibri" w:cs="Calibri"/>
          <w:sz w:val="22"/>
          <w:szCs w:val="22"/>
        </w:rPr>
        <w:t>principles and guardrails needed to ensure high</w:t>
      </w:r>
      <w:r w:rsidR="0EEB1717" w:rsidRPr="00507EDB">
        <w:rPr>
          <w:rFonts w:ascii="Cambria Math" w:eastAsia="Segoe UI" w:hAnsi="Cambria Math" w:cs="Cambria Math"/>
          <w:sz w:val="22"/>
          <w:szCs w:val="22"/>
        </w:rPr>
        <w:t>‑</w:t>
      </w:r>
      <w:r w:rsidR="0EEB1717" w:rsidRPr="00507EDB">
        <w:rPr>
          <w:rFonts w:ascii="Calibri" w:eastAsia="Segoe UI" w:hAnsi="Calibri" w:cs="Calibri"/>
          <w:sz w:val="22"/>
          <w:szCs w:val="22"/>
        </w:rPr>
        <w:t>quality career education becomes more achievable for schools in the age of artificial intelligence.</w:t>
      </w:r>
      <w:r w:rsidR="0EEB1717" w:rsidRPr="00507EDB">
        <w:rPr>
          <w:rFonts w:ascii="Calibri" w:hAnsi="Calibri" w:cs="Calibri"/>
          <w:sz w:val="22"/>
          <w:szCs w:val="22"/>
        </w:rPr>
        <w:t xml:space="preserve"> </w:t>
      </w:r>
      <w:r w:rsidR="00507EDB" w:rsidRPr="00507EDB">
        <w:rPr>
          <w:rFonts w:ascii="Calibri" w:hAnsi="Calibri" w:cs="Calibri"/>
          <w:sz w:val="22"/>
          <w:szCs w:val="22"/>
        </w:rPr>
        <w:t>The chair</w:t>
      </w:r>
      <w:r w:rsidR="00507EDB" w:rsidRPr="00507EDB">
        <w:rPr>
          <w:rFonts w:ascii="Calibri" w:hAnsi="Calibri" w:cs="Calibri"/>
          <w:sz w:val="22"/>
          <w:szCs w:val="22"/>
        </w:rPr>
        <w:noBreakHyphen/>
        <w:t>discussant will synthesise implications for international policy, research, and practice, while also drawing clear strategic connections for schools in Aotearoa New Zealand, recognising that the challenges and system</w:t>
      </w:r>
      <w:r w:rsidR="00507EDB" w:rsidRPr="00507EDB">
        <w:rPr>
          <w:rFonts w:ascii="Calibri" w:hAnsi="Calibri" w:cs="Calibri"/>
          <w:sz w:val="22"/>
          <w:szCs w:val="22"/>
        </w:rPr>
        <w:noBreakHyphen/>
        <w:t>level questions explored in the symposium are shared by schools and education systems worldwide and have been the focus of recent collaborative international scholarship by the presenters.</w:t>
      </w:r>
    </w:p>
    <w:p w14:paraId="1D7D2350" w14:textId="148D2D74" w:rsidR="005E2FCF" w:rsidRPr="00507EDB" w:rsidRDefault="005E2FCF" w:rsidP="00507EDB">
      <w:pPr>
        <w:spacing w:line="360" w:lineRule="auto"/>
        <w:rPr>
          <w:rFonts w:ascii="Calibri" w:hAnsi="Calibri" w:cs="Calibri"/>
          <w:sz w:val="22"/>
          <w:szCs w:val="22"/>
        </w:rPr>
      </w:pPr>
    </w:p>
    <w:p w14:paraId="64C08210" w14:textId="77777777" w:rsidR="005E2FCF"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t>Results / Contributions</w:t>
      </w:r>
    </w:p>
    <w:p w14:paraId="677356D7" w14:textId="77777777" w:rsidR="00524948" w:rsidRPr="00524948" w:rsidRDefault="00524948" w:rsidP="00524948">
      <w:p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Collectively, the symposium demonstrates that:</w:t>
      </w:r>
    </w:p>
    <w:p w14:paraId="4ED76A78" w14:textId="77777777" w:rsidR="00524948" w:rsidRPr="00524948" w:rsidRDefault="00524948" w:rsidP="00524948">
      <w:pPr>
        <w:numPr>
          <w:ilvl w:val="0"/>
          <w:numId w:val="2"/>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Career development begins in childhood and must be intentionally cultivated throughout the school years.</w:t>
      </w:r>
    </w:p>
    <w:p w14:paraId="391C5ACE" w14:textId="77777777" w:rsidR="00524948" w:rsidRPr="00524948" w:rsidRDefault="00524948" w:rsidP="00524948">
      <w:pPr>
        <w:numPr>
          <w:ilvl w:val="0"/>
          <w:numId w:val="2"/>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lastRenderedPageBreak/>
        <w:t>High-quality career education can challenge structural inequities and expand young people’s perceived and actual opportunities.</w:t>
      </w:r>
    </w:p>
    <w:p w14:paraId="0FD4692E" w14:textId="77777777" w:rsidR="00524948" w:rsidRPr="00524948" w:rsidRDefault="00524948" w:rsidP="00524948">
      <w:pPr>
        <w:numPr>
          <w:ilvl w:val="0"/>
          <w:numId w:val="2"/>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Contemporary best practice requires pedagogies that support adaptability, curiosity, and navigation of uncertainty, including technological change and AI.</w:t>
      </w:r>
    </w:p>
    <w:p w14:paraId="092D2EF3" w14:textId="55E4223B" w:rsidR="00524948" w:rsidRPr="00524948" w:rsidRDefault="00524948" w:rsidP="00524948">
      <w:pPr>
        <w:numPr>
          <w:ilvl w:val="0"/>
          <w:numId w:val="2"/>
        </w:numPr>
        <w:spacing w:before="100" w:beforeAutospacing="1" w:after="100" w:afterAutospacing="1" w:line="360" w:lineRule="auto"/>
        <w:outlineLvl w:val="2"/>
        <w:rPr>
          <w:rFonts w:ascii="Calibri" w:hAnsi="Calibri" w:cs="Calibri"/>
          <w:sz w:val="22"/>
          <w:szCs w:val="22"/>
        </w:rPr>
      </w:pPr>
      <w:r w:rsidRPr="00524948">
        <w:rPr>
          <w:rFonts w:ascii="Calibri" w:hAnsi="Calibri" w:cs="Calibri"/>
          <w:sz w:val="22"/>
          <w:szCs w:val="22"/>
        </w:rPr>
        <w:t>Growing international evidence links best practice career education with student wellbeing, engagement, and successful transitions, positioning career education as a core educational capability rather than a peripheral add</w:t>
      </w:r>
      <w:r w:rsidRPr="00524948">
        <w:rPr>
          <w:rFonts w:ascii="Calibri" w:hAnsi="Calibri" w:cs="Calibri"/>
          <w:sz w:val="22"/>
          <w:szCs w:val="22"/>
        </w:rPr>
        <w:noBreakHyphen/>
        <w:t>on.</w:t>
      </w:r>
    </w:p>
    <w:p w14:paraId="4C23DB45" w14:textId="77777777" w:rsidR="005E2FCF" w:rsidRPr="00507EDB"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t>Conclusions</w:t>
      </w:r>
    </w:p>
    <w:p w14:paraId="169FCA66" w14:textId="2A22EC22" w:rsidR="005E2FCF" w:rsidRPr="00507EDB" w:rsidRDefault="005E2FCF"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 xml:space="preserve">Aligned with the conference subtheme </w:t>
      </w:r>
      <w:bookmarkStart w:id="0" w:name="_Hlk227169280"/>
      <w:r w:rsidRPr="00507EDB">
        <w:rPr>
          <w:rFonts w:ascii="Calibri" w:hAnsi="Calibri" w:cs="Calibri"/>
          <w:b/>
          <w:bCs/>
          <w:sz w:val="22"/>
          <w:szCs w:val="22"/>
        </w:rPr>
        <w:t xml:space="preserve">Best Practice – </w:t>
      </w:r>
      <w:proofErr w:type="spellStart"/>
      <w:r w:rsidRPr="00507EDB">
        <w:rPr>
          <w:rFonts w:ascii="Calibri" w:hAnsi="Calibri" w:cs="Calibri"/>
          <w:b/>
          <w:bCs/>
          <w:sz w:val="22"/>
          <w:szCs w:val="22"/>
        </w:rPr>
        <w:t>Tupuānuku</w:t>
      </w:r>
      <w:bookmarkEnd w:id="0"/>
      <w:proofErr w:type="spellEnd"/>
      <w:r w:rsidRPr="00507EDB">
        <w:rPr>
          <w:rFonts w:ascii="Calibri" w:hAnsi="Calibri" w:cs="Calibri"/>
          <w:sz w:val="22"/>
          <w:szCs w:val="22"/>
        </w:rPr>
        <w:t>, the symposium argues that career education must be deliberately cultivated from the ground up</w:t>
      </w:r>
      <w:r w:rsidR="00E36A01" w:rsidRPr="00507EDB">
        <w:rPr>
          <w:rFonts w:ascii="Calibri" w:hAnsi="Calibri" w:cs="Calibri"/>
          <w:sz w:val="22"/>
          <w:szCs w:val="22"/>
        </w:rPr>
        <w:t xml:space="preserve"> and</w:t>
      </w:r>
      <w:r w:rsidRPr="00507EDB">
        <w:rPr>
          <w:rFonts w:ascii="Calibri" w:hAnsi="Calibri" w:cs="Calibri"/>
          <w:sz w:val="22"/>
          <w:szCs w:val="22"/>
        </w:rPr>
        <w:t xml:space="preserve"> embedded sustainably within education systems</w:t>
      </w:r>
      <w:r w:rsidR="7F20D142" w:rsidRPr="00507EDB">
        <w:rPr>
          <w:rFonts w:ascii="Calibri" w:hAnsi="Calibri" w:cs="Calibri"/>
          <w:sz w:val="22"/>
          <w:szCs w:val="22"/>
        </w:rPr>
        <w:t xml:space="preserve"> as a core component of high-quality K-12 education, supporting young people to develop </w:t>
      </w:r>
      <w:r w:rsidR="77D345DE" w:rsidRPr="00507EDB">
        <w:rPr>
          <w:rFonts w:ascii="Calibri" w:hAnsi="Calibri" w:cs="Calibri"/>
          <w:sz w:val="22"/>
          <w:szCs w:val="22"/>
        </w:rPr>
        <w:t xml:space="preserve">self-efficacy and </w:t>
      </w:r>
      <w:r w:rsidRPr="00507EDB">
        <w:rPr>
          <w:rFonts w:ascii="Calibri" w:hAnsi="Calibri" w:cs="Calibri"/>
          <w:sz w:val="22"/>
          <w:szCs w:val="22"/>
        </w:rPr>
        <w:t>navigate comple</w:t>
      </w:r>
      <w:r w:rsidR="00E36A01" w:rsidRPr="00507EDB">
        <w:rPr>
          <w:rFonts w:ascii="Calibri" w:hAnsi="Calibri" w:cs="Calibri"/>
          <w:sz w:val="22"/>
          <w:szCs w:val="22"/>
        </w:rPr>
        <w:t>x</w:t>
      </w:r>
      <w:r w:rsidR="73A3CE8F" w:rsidRPr="00507EDB">
        <w:rPr>
          <w:rFonts w:ascii="Calibri" w:hAnsi="Calibri" w:cs="Calibri"/>
          <w:sz w:val="22"/>
          <w:szCs w:val="22"/>
        </w:rPr>
        <w:t xml:space="preserve">, </w:t>
      </w:r>
      <w:r w:rsidRPr="00507EDB">
        <w:rPr>
          <w:rFonts w:ascii="Calibri" w:hAnsi="Calibri" w:cs="Calibri"/>
          <w:sz w:val="22"/>
          <w:szCs w:val="22"/>
        </w:rPr>
        <w:t>uncertain futures.</w:t>
      </w:r>
    </w:p>
    <w:p w14:paraId="0B2466DA" w14:textId="77777777" w:rsidR="005E2FCF" w:rsidRPr="00507EDB" w:rsidRDefault="005E2FCF" w:rsidP="0091711D">
      <w:pPr>
        <w:spacing w:before="100" w:beforeAutospacing="1" w:after="100" w:afterAutospacing="1" w:line="360" w:lineRule="auto"/>
        <w:outlineLvl w:val="2"/>
        <w:rPr>
          <w:rFonts w:ascii="Calibri" w:hAnsi="Calibri" w:cs="Calibri"/>
          <w:b/>
          <w:bCs/>
          <w:sz w:val="22"/>
          <w:szCs w:val="22"/>
        </w:rPr>
      </w:pPr>
      <w:r w:rsidRPr="00507EDB">
        <w:rPr>
          <w:rFonts w:ascii="Calibri" w:hAnsi="Calibri" w:cs="Calibri"/>
          <w:b/>
          <w:bCs/>
          <w:sz w:val="22"/>
          <w:szCs w:val="22"/>
        </w:rPr>
        <w:t>Content and Target Audience</w:t>
      </w:r>
    </w:p>
    <w:p w14:paraId="0E8A6ABA" w14:textId="2506EB0F" w:rsidR="005E2FCF" w:rsidRPr="00524948" w:rsidRDefault="005E2FCF" w:rsidP="00524948">
      <w:pPr>
        <w:spacing w:before="100" w:beforeAutospacing="1" w:after="100" w:afterAutospacing="1" w:line="360" w:lineRule="auto"/>
        <w:rPr>
          <w:rFonts w:ascii="Calibri" w:hAnsi="Calibri" w:cs="Calibri"/>
          <w:sz w:val="21"/>
          <w:szCs w:val="21"/>
        </w:rPr>
      </w:pPr>
      <w:r w:rsidRPr="00524948">
        <w:rPr>
          <w:rFonts w:ascii="Calibri" w:hAnsi="Calibri" w:cs="Calibri"/>
          <w:sz w:val="22"/>
          <w:szCs w:val="22"/>
        </w:rPr>
        <w:t>The symposium is designed for researchers, policymakers, system leaders, career practitioners, school leaders, and educators interested in evidence</w:t>
      </w:r>
      <w:r w:rsidR="5F1C19B8" w:rsidRPr="00524948">
        <w:rPr>
          <w:rFonts w:ascii="Calibri" w:hAnsi="Calibri" w:cs="Calibri"/>
          <w:sz w:val="22"/>
          <w:szCs w:val="22"/>
        </w:rPr>
        <w:t>-</w:t>
      </w:r>
      <w:r w:rsidRPr="00524948">
        <w:rPr>
          <w:rFonts w:ascii="Calibri" w:hAnsi="Calibri" w:cs="Calibri"/>
          <w:sz w:val="22"/>
          <w:szCs w:val="22"/>
        </w:rPr>
        <w:t>based, future</w:t>
      </w:r>
      <w:r w:rsidR="51A20BEB" w:rsidRPr="00524948">
        <w:rPr>
          <w:rFonts w:ascii="Calibri" w:hAnsi="Calibri" w:cs="Calibri"/>
          <w:sz w:val="22"/>
          <w:szCs w:val="22"/>
        </w:rPr>
        <w:noBreakHyphen/>
      </w:r>
      <w:r w:rsidRPr="00524948">
        <w:rPr>
          <w:rFonts w:ascii="Calibri" w:hAnsi="Calibri" w:cs="Calibri"/>
          <w:sz w:val="22"/>
          <w:szCs w:val="22"/>
        </w:rPr>
        <w:t>oriented career education</w:t>
      </w:r>
      <w:r w:rsidR="00524948" w:rsidRPr="00524948">
        <w:rPr>
          <w:rFonts w:ascii="Calibri" w:hAnsi="Calibri" w:cs="Calibri"/>
          <w:sz w:val="22"/>
          <w:szCs w:val="22"/>
        </w:rPr>
        <w:t>, particularly those engaged in curriculum design, guidance policy, equity initiatives, and career education reform.</w:t>
      </w:r>
    </w:p>
    <w:p w14:paraId="6F2D1784" w14:textId="00EC3801" w:rsidR="005E2FCF" w:rsidRPr="00507EDB" w:rsidRDefault="005E2FCF" w:rsidP="0091711D">
      <w:pPr>
        <w:spacing w:before="100" w:beforeAutospacing="1" w:after="100" w:afterAutospacing="1" w:line="360" w:lineRule="auto"/>
        <w:rPr>
          <w:rFonts w:ascii="Calibri" w:hAnsi="Calibri" w:cs="Calibri"/>
          <w:sz w:val="22"/>
          <w:szCs w:val="22"/>
        </w:rPr>
      </w:pPr>
      <w:r w:rsidRPr="00507EDB">
        <w:rPr>
          <w:rFonts w:ascii="Calibri" w:hAnsi="Calibri" w:cs="Calibri"/>
          <w:sz w:val="22"/>
          <w:szCs w:val="22"/>
        </w:rPr>
        <w:t xml:space="preserve">The session </w:t>
      </w:r>
      <w:r w:rsidR="5401BA78" w:rsidRPr="00507EDB">
        <w:rPr>
          <w:rFonts w:ascii="Calibri" w:hAnsi="Calibri" w:cs="Calibri"/>
          <w:sz w:val="22"/>
          <w:szCs w:val="22"/>
        </w:rPr>
        <w:t>includes three</w:t>
      </w:r>
      <w:r w:rsidRPr="00507EDB">
        <w:rPr>
          <w:rFonts w:ascii="Calibri" w:hAnsi="Calibri" w:cs="Calibri"/>
          <w:sz w:val="22"/>
          <w:szCs w:val="22"/>
        </w:rPr>
        <w:t xml:space="preserve"> papers</w:t>
      </w:r>
      <w:r w:rsidR="0091711D" w:rsidRPr="00507EDB">
        <w:rPr>
          <w:rFonts w:ascii="Calibri" w:hAnsi="Calibri" w:cs="Calibri"/>
          <w:sz w:val="22"/>
          <w:szCs w:val="22"/>
        </w:rPr>
        <w:t xml:space="preserve"> plus synthesis and discussion</w:t>
      </w:r>
      <w:r w:rsidRPr="00507EDB">
        <w:rPr>
          <w:rFonts w:ascii="Calibri" w:hAnsi="Calibri" w:cs="Calibri"/>
          <w:sz w:val="22"/>
          <w:szCs w:val="22"/>
        </w:rPr>
        <w:t>:</w:t>
      </w:r>
    </w:p>
    <w:p w14:paraId="2E02EB14" w14:textId="77777777" w:rsidR="0091711D" w:rsidRPr="00507EDB" w:rsidRDefault="0091711D" w:rsidP="0091711D">
      <w:pPr>
        <w:pStyle w:val="ListParagraph"/>
        <w:numPr>
          <w:ilvl w:val="0"/>
          <w:numId w:val="6"/>
        </w:numPr>
        <w:spacing w:beforeAutospacing="1" w:afterAutospacing="1" w:line="360" w:lineRule="auto"/>
        <w:rPr>
          <w:rFonts w:ascii="Calibri" w:eastAsia="Times New Roman" w:hAnsi="Calibri" w:cs="Calibri"/>
          <w:sz w:val="22"/>
          <w:szCs w:val="22"/>
        </w:rPr>
      </w:pPr>
      <w:r w:rsidRPr="00507EDB">
        <w:rPr>
          <w:rFonts w:ascii="Calibri" w:eastAsia="Times New Roman" w:hAnsi="Calibri" w:cs="Calibri"/>
          <w:b/>
          <w:bCs/>
          <w:kern w:val="0"/>
          <w:sz w:val="22"/>
          <w:szCs w:val="22"/>
          <w14:ligatures w14:val="none"/>
        </w:rPr>
        <w:t>Career Learning in Childhood: Theory Informed Practice</w:t>
      </w:r>
    </w:p>
    <w:p w14:paraId="7B5B1E8F" w14:textId="77777777" w:rsidR="00524948" w:rsidRDefault="0091711D" w:rsidP="00524948">
      <w:pPr>
        <w:spacing w:beforeAutospacing="1" w:afterAutospacing="1" w:line="360" w:lineRule="auto"/>
        <w:ind w:left="720"/>
        <w:rPr>
          <w:rFonts w:ascii="Calibri" w:hAnsi="Calibri" w:cs="Calibri"/>
          <w:sz w:val="22"/>
          <w:szCs w:val="22"/>
        </w:rPr>
      </w:pPr>
      <w:r w:rsidRPr="00507EDB">
        <w:rPr>
          <w:rFonts w:ascii="Calibri" w:hAnsi="Calibri" w:cs="Calibri"/>
          <w:i/>
          <w:iCs/>
          <w:sz w:val="22"/>
          <w:szCs w:val="22"/>
        </w:rPr>
        <w:t>Dr Mary McMahon, Honorary Associate Professor, School of Education, University of Queensland.</w:t>
      </w:r>
      <w:r w:rsidRPr="00507EDB">
        <w:rPr>
          <w:rFonts w:ascii="Calibri" w:hAnsi="Calibri" w:cs="Calibri"/>
          <w:b/>
          <w:bCs/>
          <w:sz w:val="22"/>
          <w:szCs w:val="22"/>
        </w:rPr>
        <w:t xml:space="preserve"> </w:t>
      </w:r>
    </w:p>
    <w:p w14:paraId="5A2CF71B" w14:textId="77777777" w:rsidR="00524948" w:rsidRPr="00524948" w:rsidRDefault="00524948" w:rsidP="00524948">
      <w:pPr>
        <w:spacing w:beforeAutospacing="1" w:after="160" w:afterAutospacing="1" w:line="360" w:lineRule="auto"/>
        <w:ind w:left="720"/>
        <w:rPr>
          <w:rFonts w:ascii="Calibri" w:hAnsi="Calibri" w:cs="Calibri"/>
          <w:sz w:val="22"/>
          <w:szCs w:val="22"/>
          <w:lang w:val="en-AU"/>
        </w:rPr>
      </w:pPr>
      <w:r w:rsidRPr="00524948">
        <w:rPr>
          <w:rFonts w:ascii="Calibri" w:hAnsi="Calibri" w:cs="Calibri"/>
          <w:sz w:val="22"/>
          <w:szCs w:val="22"/>
          <w:lang w:val="en-AU"/>
        </w:rPr>
        <w:t xml:space="preserve">Childhood represents the first stage of the lifelong process of career development. Children observe the world around them and take notice </w:t>
      </w:r>
      <w:proofErr w:type="gramStart"/>
      <w:r w:rsidRPr="00524948">
        <w:rPr>
          <w:rFonts w:ascii="Calibri" w:hAnsi="Calibri" w:cs="Calibri"/>
          <w:sz w:val="22"/>
          <w:szCs w:val="22"/>
          <w:lang w:val="en-AU"/>
        </w:rPr>
        <w:t>of, and</w:t>
      </w:r>
      <w:proofErr w:type="gramEnd"/>
      <w:r w:rsidRPr="00524948">
        <w:rPr>
          <w:rFonts w:ascii="Calibri" w:hAnsi="Calibri" w:cs="Calibri"/>
          <w:sz w:val="22"/>
          <w:szCs w:val="22"/>
          <w:lang w:val="en-AU"/>
        </w:rPr>
        <w:t xml:space="preserve"> imagine themselves in adult roles. Children learn that work is a part of adult life by seeing their parents go to work, observing people at work in contexts such as shops and public transport, viewing television and social media, and through chance events such as visiting a relative in hospital. Such vicarious learning is unintentional and can reinforce stereotypical thinking related to gender and social status about occupations, school subjects, and life roles. Although children are not expected to make career decisions, unintentional career learning can influence their later </w:t>
      </w:r>
      <w:r w:rsidRPr="00524948">
        <w:rPr>
          <w:rFonts w:ascii="Calibri" w:hAnsi="Calibri" w:cs="Calibri"/>
          <w:sz w:val="22"/>
          <w:szCs w:val="22"/>
          <w:lang w:val="en-AU"/>
        </w:rPr>
        <w:lastRenderedPageBreak/>
        <w:t xml:space="preserve">career decisions. By contrast, intentional career learning can be provided in schools through career education. Intentional career learning can begin at a young age and can stimulate career development, promote career exploration and world of work understanding, and challenge stereotypical thinking. Best practice intentional career learning however, should be informed by career theory. Based on an extensive in-depth review of career theories, ten key theory informed features have been identified that can inform career education. The aims of this presentation are to a) provide a snapshot of relevant career theories, b) introduce and overview the </w:t>
      </w:r>
      <w:proofErr w:type="gramStart"/>
      <w:r w:rsidRPr="00524948">
        <w:rPr>
          <w:rFonts w:ascii="Calibri" w:hAnsi="Calibri" w:cs="Calibri"/>
          <w:sz w:val="22"/>
          <w:szCs w:val="22"/>
          <w:lang w:val="en-AU"/>
        </w:rPr>
        <w:t>ten career</w:t>
      </w:r>
      <w:proofErr w:type="gramEnd"/>
      <w:r w:rsidRPr="00524948">
        <w:rPr>
          <w:rFonts w:ascii="Calibri" w:hAnsi="Calibri" w:cs="Calibri"/>
          <w:sz w:val="22"/>
          <w:szCs w:val="22"/>
          <w:lang w:val="en-AU"/>
        </w:rPr>
        <w:t xml:space="preserve"> theory informed features, and c) where appropriate, offer examples of how the features can be applied in practice. </w:t>
      </w:r>
    </w:p>
    <w:p w14:paraId="63DE377E" w14:textId="2E9BE133" w:rsidR="0091711D" w:rsidRPr="00524948" w:rsidRDefault="0091711D" w:rsidP="00524948">
      <w:pPr>
        <w:spacing w:beforeAutospacing="1" w:after="160" w:afterAutospacing="1" w:line="360" w:lineRule="auto"/>
        <w:ind w:left="720"/>
        <w:rPr>
          <w:rFonts w:ascii="Calibri" w:hAnsi="Calibri" w:cs="Calibri"/>
          <w:kern w:val="2"/>
          <w:sz w:val="22"/>
          <w:szCs w:val="22"/>
          <w14:ligatures w14:val="standardContextual"/>
        </w:rPr>
      </w:pPr>
      <w:r w:rsidRPr="00524948">
        <w:rPr>
          <w:rFonts w:ascii="Calibri" w:hAnsi="Calibri" w:cs="Calibri"/>
          <w:sz w:val="22"/>
          <w:szCs w:val="22"/>
        </w:rPr>
        <w:br/>
      </w:r>
    </w:p>
    <w:p w14:paraId="149C0DB7" w14:textId="3D49F6B9" w:rsidR="00524948" w:rsidRPr="00524948" w:rsidRDefault="0091711D" w:rsidP="00524948">
      <w:pPr>
        <w:pStyle w:val="ListParagraph"/>
        <w:numPr>
          <w:ilvl w:val="0"/>
          <w:numId w:val="6"/>
        </w:numPr>
        <w:spacing w:before="100" w:beforeAutospacing="1" w:after="100" w:afterAutospacing="1" w:line="360" w:lineRule="auto"/>
        <w:rPr>
          <w:rFonts w:ascii="Calibri" w:eastAsia="Times New Roman" w:hAnsi="Calibri" w:cs="Calibri"/>
          <w:kern w:val="0"/>
          <w:sz w:val="22"/>
          <w:szCs w:val="22"/>
          <w14:ligatures w14:val="none"/>
        </w:rPr>
      </w:pPr>
      <w:r w:rsidRPr="00507EDB">
        <w:rPr>
          <w:rFonts w:ascii="Calibri" w:eastAsia="Times New Roman" w:hAnsi="Calibri" w:cs="Calibri"/>
          <w:b/>
          <w:bCs/>
          <w:kern w:val="0"/>
          <w:sz w:val="22"/>
          <w:szCs w:val="22"/>
          <w14:ligatures w14:val="none"/>
        </w:rPr>
        <w:t>Career education, equity and social justice: A critical perspective</w:t>
      </w:r>
    </w:p>
    <w:p w14:paraId="40993EB0" w14:textId="77777777" w:rsidR="00524948" w:rsidRPr="00524948" w:rsidRDefault="00524948" w:rsidP="00524948">
      <w:pPr>
        <w:pStyle w:val="ListParagraph"/>
        <w:spacing w:before="100" w:beforeAutospacing="1" w:after="100" w:afterAutospacing="1" w:line="360" w:lineRule="auto"/>
        <w:rPr>
          <w:rFonts w:ascii="Calibri" w:eastAsia="Times New Roman" w:hAnsi="Calibri" w:cs="Calibri"/>
          <w:kern w:val="0"/>
          <w:sz w:val="22"/>
          <w:szCs w:val="22"/>
          <w14:ligatures w14:val="none"/>
        </w:rPr>
      </w:pPr>
    </w:p>
    <w:p w14:paraId="69C9B203" w14:textId="1B3FF9AC" w:rsidR="00524948" w:rsidRDefault="0091711D" w:rsidP="00524948">
      <w:pPr>
        <w:pStyle w:val="ListParagraph"/>
        <w:spacing w:before="100" w:beforeAutospacing="1" w:after="100" w:afterAutospacing="1" w:line="360" w:lineRule="auto"/>
        <w:rPr>
          <w:rFonts w:ascii="Calibri" w:eastAsia="Times New Roman" w:hAnsi="Calibri" w:cs="Calibri"/>
          <w:i/>
          <w:iCs/>
          <w:kern w:val="0"/>
          <w:sz w:val="22"/>
          <w:szCs w:val="22"/>
          <w14:ligatures w14:val="none"/>
        </w:rPr>
      </w:pPr>
      <w:r w:rsidRPr="00524948">
        <w:rPr>
          <w:rFonts w:ascii="Calibri" w:eastAsia="Times New Roman" w:hAnsi="Calibri" w:cs="Calibri"/>
          <w:i/>
          <w:iCs/>
          <w:kern w:val="0"/>
          <w:sz w:val="22"/>
          <w:szCs w:val="22"/>
          <w14:ligatures w14:val="none"/>
        </w:rPr>
        <w:t>Professor Tristram Hooley, University of Derby; Director NICEC.</w:t>
      </w:r>
    </w:p>
    <w:p w14:paraId="167BB62B" w14:textId="77777777" w:rsidR="00524948" w:rsidRPr="00524948" w:rsidRDefault="00524948" w:rsidP="00524948">
      <w:pPr>
        <w:pStyle w:val="ListParagraph"/>
        <w:spacing w:before="100" w:beforeAutospacing="1" w:after="100" w:afterAutospacing="1" w:line="360" w:lineRule="auto"/>
        <w:rPr>
          <w:rFonts w:ascii="Calibri" w:eastAsia="Times New Roman" w:hAnsi="Calibri" w:cs="Calibri"/>
          <w:i/>
          <w:iCs/>
          <w:kern w:val="0"/>
          <w:sz w:val="22"/>
          <w:szCs w:val="22"/>
          <w14:ligatures w14:val="none"/>
        </w:rPr>
      </w:pPr>
    </w:p>
    <w:p w14:paraId="12F4AC00" w14:textId="505ECB25" w:rsidR="00524948" w:rsidRPr="00524948" w:rsidRDefault="00524948" w:rsidP="00524948">
      <w:pPr>
        <w:pStyle w:val="ListParagraph"/>
        <w:spacing w:line="360" w:lineRule="auto"/>
        <w:rPr>
          <w:rFonts w:ascii="Calibri" w:eastAsia="Times New Roman" w:hAnsi="Calibri" w:cs="Calibri"/>
          <w:kern w:val="0"/>
          <w:sz w:val="22"/>
          <w:szCs w:val="22"/>
          <w14:ligatures w14:val="none"/>
        </w:rPr>
      </w:pPr>
      <w:r w:rsidRPr="00524948">
        <w:rPr>
          <w:rFonts w:ascii="Calibri" w:eastAsia="Times New Roman" w:hAnsi="Calibri" w:cs="Calibri"/>
          <w:kern w:val="0"/>
          <w:sz w:val="22"/>
          <w:szCs w:val="22"/>
          <w14:ligatures w14:val="none"/>
        </w:rPr>
        <w:t>High</w:t>
      </w:r>
      <w:r w:rsidRPr="00524948">
        <w:rPr>
          <w:rFonts w:ascii="Calibri" w:eastAsia="Times New Roman" w:hAnsi="Calibri" w:cs="Calibri"/>
          <w:kern w:val="0"/>
          <w:sz w:val="22"/>
          <w:szCs w:val="22"/>
          <w14:ligatures w14:val="none"/>
        </w:rPr>
        <w:noBreakHyphen/>
        <w:t>quality career education can disrupt social reproduction by broadening opportunity awareness, challenging constrained aspirations, and supporting more equitable post</w:t>
      </w:r>
      <w:r w:rsidRPr="00524948">
        <w:rPr>
          <w:rFonts w:ascii="Calibri" w:eastAsia="Times New Roman" w:hAnsi="Calibri" w:cs="Calibri"/>
          <w:kern w:val="0"/>
          <w:sz w:val="22"/>
          <w:szCs w:val="22"/>
          <w14:ligatures w14:val="none"/>
        </w:rPr>
        <w:noBreakHyphen/>
        <w:t>school pathways. Drawing on critical theory and critical pedagogy, career education is examined as a po</w:t>
      </w:r>
      <w:r>
        <w:rPr>
          <w:rFonts w:ascii="Calibri" w:eastAsia="Times New Roman" w:hAnsi="Calibri" w:cs="Calibri"/>
          <w:kern w:val="0"/>
          <w:sz w:val="22"/>
          <w:szCs w:val="22"/>
          <w14:ligatures w14:val="none"/>
        </w:rPr>
        <w:t>werful</w:t>
      </w:r>
      <w:r w:rsidRPr="00524948">
        <w:rPr>
          <w:rFonts w:ascii="Calibri" w:eastAsia="Times New Roman" w:hAnsi="Calibri" w:cs="Calibri"/>
          <w:kern w:val="0"/>
          <w:sz w:val="22"/>
          <w:szCs w:val="22"/>
          <w14:ligatures w14:val="none"/>
        </w:rPr>
        <w:t xml:space="preserve"> social justice intervention within K–12 education systems, with a focus on how young people can be supported to recognise and respond to the structural inequalities that shape their lives, learning, and work.</w:t>
      </w:r>
    </w:p>
    <w:p w14:paraId="4F773D1D" w14:textId="77777777" w:rsidR="00524948" w:rsidRPr="00524948" w:rsidRDefault="00524948" w:rsidP="00524948">
      <w:pPr>
        <w:pStyle w:val="ListParagraph"/>
        <w:spacing w:line="360" w:lineRule="auto"/>
        <w:rPr>
          <w:rFonts w:ascii="Calibri" w:eastAsia="Times New Roman" w:hAnsi="Calibri" w:cs="Calibri"/>
          <w:kern w:val="0"/>
          <w:sz w:val="22"/>
          <w:szCs w:val="22"/>
          <w14:ligatures w14:val="none"/>
        </w:rPr>
      </w:pPr>
      <w:r w:rsidRPr="00524948">
        <w:rPr>
          <w:rFonts w:ascii="Calibri" w:eastAsia="Times New Roman" w:hAnsi="Calibri" w:cs="Calibri"/>
          <w:kern w:val="0"/>
          <w:sz w:val="22"/>
          <w:szCs w:val="22"/>
          <w14:ligatures w14:val="none"/>
        </w:rPr>
        <w:t xml:space="preserve">The </w:t>
      </w:r>
      <w:r w:rsidRPr="00524948">
        <w:rPr>
          <w:rFonts w:ascii="Calibri" w:eastAsia="Times New Roman" w:hAnsi="Calibri" w:cs="Calibri"/>
          <w:i/>
          <w:iCs/>
          <w:kern w:val="0"/>
          <w:sz w:val="22"/>
          <w:szCs w:val="22"/>
          <w14:ligatures w14:val="none"/>
        </w:rPr>
        <w:t>five signposts for socially just career guidance</w:t>
      </w:r>
      <w:r w:rsidRPr="00524948">
        <w:rPr>
          <w:rFonts w:ascii="Calibri" w:eastAsia="Times New Roman" w:hAnsi="Calibri" w:cs="Calibri"/>
          <w:kern w:val="0"/>
          <w:sz w:val="22"/>
          <w:szCs w:val="22"/>
          <w14:ligatures w14:val="none"/>
        </w:rPr>
        <w:t xml:space="preserve"> are introduced as a practical framework for translating critical theory into school</w:t>
      </w:r>
      <w:r w:rsidRPr="00524948">
        <w:rPr>
          <w:rFonts w:ascii="Calibri" w:eastAsia="Times New Roman" w:hAnsi="Calibri" w:cs="Calibri"/>
          <w:kern w:val="0"/>
          <w:sz w:val="22"/>
          <w:szCs w:val="22"/>
          <w14:ligatures w14:val="none"/>
        </w:rPr>
        <w:noBreakHyphen/>
        <w:t>based practice. This framework illustrates how socially just approaches to career education can be embedded developmentally across schooling and integrated into curriculum, pedagogy, and everyday educational activity. Career education is positioned not simply as preparation for transitions, but as an educational practice concerned with agency, critical consciousness, and the possibility of more equitable futures.</w:t>
      </w:r>
    </w:p>
    <w:p w14:paraId="2DE306CD" w14:textId="1AFC19DE" w:rsidR="0091711D" w:rsidRPr="00507EDB" w:rsidRDefault="0091711D" w:rsidP="0091711D">
      <w:pPr>
        <w:pStyle w:val="ListParagraph"/>
        <w:spacing w:before="100" w:beforeAutospacing="1" w:after="100" w:afterAutospacing="1" w:line="360" w:lineRule="auto"/>
        <w:rPr>
          <w:rFonts w:ascii="Calibri" w:eastAsia="Times New Roman" w:hAnsi="Calibri" w:cs="Calibri"/>
          <w:kern w:val="0"/>
          <w:sz w:val="22"/>
          <w:szCs w:val="22"/>
          <w14:ligatures w14:val="none"/>
        </w:rPr>
      </w:pPr>
      <w:r w:rsidRPr="00507EDB">
        <w:rPr>
          <w:rFonts w:ascii="Calibri" w:eastAsia="Times New Roman" w:hAnsi="Calibri" w:cs="Calibri"/>
          <w:kern w:val="0"/>
          <w:sz w:val="22"/>
          <w:szCs w:val="22"/>
          <w14:ligatures w14:val="none"/>
        </w:rPr>
        <w:br/>
      </w:r>
    </w:p>
    <w:p w14:paraId="12257DD6" w14:textId="77777777" w:rsidR="00524948" w:rsidRDefault="0091711D" w:rsidP="00524948">
      <w:pPr>
        <w:numPr>
          <w:ilvl w:val="0"/>
          <w:numId w:val="6"/>
        </w:numPr>
        <w:spacing w:before="100" w:beforeAutospacing="1" w:after="100" w:afterAutospacing="1" w:line="360" w:lineRule="auto"/>
        <w:rPr>
          <w:rFonts w:ascii="Calibri" w:hAnsi="Calibri" w:cs="Calibri"/>
          <w:sz w:val="22"/>
          <w:szCs w:val="22"/>
        </w:rPr>
      </w:pPr>
      <w:r w:rsidRPr="00507EDB">
        <w:rPr>
          <w:rFonts w:ascii="Calibri" w:hAnsi="Calibri" w:cs="Calibri"/>
          <w:b/>
          <w:bCs/>
          <w:sz w:val="22"/>
          <w:szCs w:val="22"/>
        </w:rPr>
        <w:t>Modernising career education for uncertainty and AI-shaped futures</w:t>
      </w:r>
    </w:p>
    <w:p w14:paraId="316E3BE8" w14:textId="01B0D1E1" w:rsidR="00524948" w:rsidRPr="00524948" w:rsidRDefault="0091711D" w:rsidP="00524948">
      <w:pPr>
        <w:spacing w:after="160" w:line="360" w:lineRule="auto"/>
        <w:ind w:left="720"/>
        <w:rPr>
          <w:rFonts w:ascii="Calibri" w:hAnsi="Calibri" w:cs="Calibri"/>
          <w:kern w:val="2"/>
          <w:sz w:val="22"/>
          <w:szCs w:val="22"/>
          <w14:ligatures w14:val="standardContextual"/>
        </w:rPr>
      </w:pPr>
      <w:r w:rsidRPr="00524948">
        <w:rPr>
          <w:rFonts w:ascii="Calibri" w:hAnsi="Calibri" w:cs="Calibri"/>
          <w:i/>
          <w:iCs/>
          <w:sz w:val="22"/>
          <w:szCs w:val="22"/>
        </w:rPr>
        <w:lastRenderedPageBreak/>
        <w:t>Liv Pennie, Co-Founder, BECOME Education.</w:t>
      </w:r>
      <w:r w:rsidRPr="00524948">
        <w:rPr>
          <w:rFonts w:ascii="Calibri" w:hAnsi="Calibri" w:cs="Calibri"/>
          <w:sz w:val="22"/>
          <w:szCs w:val="22"/>
        </w:rPr>
        <w:br/>
      </w:r>
      <w:r w:rsidR="00524948" w:rsidRPr="00524948">
        <w:rPr>
          <w:rFonts w:ascii="Calibri" w:hAnsi="Calibri" w:cs="Calibri"/>
          <w:kern w:val="2"/>
          <w:sz w:val="22"/>
          <w:szCs w:val="22"/>
          <w14:ligatures w14:val="standardContextual"/>
        </w:rPr>
        <w:t>For career education to be effective in preparing young people for contemporary careers, it must reflect the realities of uncertainty, technological change, and artificial intelligence, and be positioned as a core educational practice rather than a point</w:t>
      </w:r>
      <w:r w:rsidR="00524948" w:rsidRPr="00524948">
        <w:rPr>
          <w:rFonts w:ascii="Calibri" w:hAnsi="Calibri" w:cs="Calibri"/>
          <w:kern w:val="2"/>
          <w:sz w:val="22"/>
          <w:szCs w:val="22"/>
          <w14:ligatures w14:val="standardContextual"/>
        </w:rPr>
        <w:noBreakHyphen/>
        <w:t>in</w:t>
      </w:r>
      <w:r w:rsidR="00524948" w:rsidRPr="00524948">
        <w:rPr>
          <w:rFonts w:ascii="Calibri" w:hAnsi="Calibri" w:cs="Calibri"/>
          <w:kern w:val="2"/>
          <w:sz w:val="22"/>
          <w:szCs w:val="22"/>
          <w14:ligatures w14:val="standardContextual"/>
        </w:rPr>
        <w:noBreakHyphen/>
        <w:t>time decision</w:t>
      </w:r>
      <w:r w:rsidR="00524948" w:rsidRPr="00524948">
        <w:rPr>
          <w:rFonts w:ascii="Calibri" w:hAnsi="Calibri" w:cs="Calibri"/>
          <w:kern w:val="2"/>
          <w:sz w:val="22"/>
          <w:szCs w:val="22"/>
          <w14:ligatures w14:val="standardContextual"/>
        </w:rPr>
        <w:noBreakHyphen/>
        <w:t xml:space="preserve">support activity. Drawing on the </w:t>
      </w:r>
      <w:r w:rsidR="008A0E58">
        <w:rPr>
          <w:rFonts w:ascii="Calibri" w:hAnsi="Calibri" w:cs="Calibri"/>
          <w:sz w:val="22"/>
          <w:szCs w:val="22"/>
        </w:rPr>
        <w:t>c</w:t>
      </w:r>
      <w:r w:rsidR="00524948" w:rsidRPr="00524948">
        <w:rPr>
          <w:rFonts w:ascii="Calibri" w:hAnsi="Calibri" w:cs="Calibri"/>
          <w:kern w:val="2"/>
          <w:sz w:val="22"/>
          <w:szCs w:val="22"/>
          <w14:ligatures w14:val="standardContextual"/>
        </w:rPr>
        <w:t xml:space="preserve">haos </w:t>
      </w:r>
      <w:r w:rsidR="008A0E58">
        <w:rPr>
          <w:rFonts w:ascii="Calibri" w:hAnsi="Calibri" w:cs="Calibri"/>
          <w:sz w:val="22"/>
          <w:szCs w:val="22"/>
        </w:rPr>
        <w:t>t</w:t>
      </w:r>
      <w:r w:rsidR="00524948" w:rsidRPr="00524948">
        <w:rPr>
          <w:rFonts w:ascii="Calibri" w:hAnsi="Calibri" w:cs="Calibri"/>
          <w:kern w:val="2"/>
          <w:sz w:val="22"/>
          <w:szCs w:val="22"/>
          <w14:ligatures w14:val="standardContextual"/>
        </w:rPr>
        <w:t xml:space="preserve">heory of </w:t>
      </w:r>
      <w:r w:rsidR="008A0E58">
        <w:rPr>
          <w:rFonts w:ascii="Calibri" w:hAnsi="Calibri" w:cs="Calibri"/>
          <w:sz w:val="22"/>
          <w:szCs w:val="22"/>
        </w:rPr>
        <w:t>c</w:t>
      </w:r>
      <w:r w:rsidR="00524948" w:rsidRPr="00524948">
        <w:rPr>
          <w:rFonts w:ascii="Calibri" w:hAnsi="Calibri" w:cs="Calibri"/>
          <w:kern w:val="2"/>
          <w:sz w:val="22"/>
          <w:szCs w:val="22"/>
          <w14:ligatures w14:val="standardContextual"/>
        </w:rPr>
        <w:t>areers and contemporary international evidence, career education is reframed as a developmental, skills</w:t>
      </w:r>
      <w:r w:rsidR="00524948" w:rsidRPr="00524948">
        <w:rPr>
          <w:rFonts w:ascii="Calibri" w:hAnsi="Calibri" w:cs="Calibri"/>
          <w:kern w:val="2"/>
          <w:sz w:val="22"/>
          <w:szCs w:val="22"/>
          <w14:ligatures w14:val="standardContextual"/>
        </w:rPr>
        <w:noBreakHyphen/>
        <w:t>based learning process focused on building adaptability, curiosity, agency, and the capacity to navigate complexity over time.</w:t>
      </w:r>
    </w:p>
    <w:p w14:paraId="0CFBFD9C" w14:textId="5AD7C8A0" w:rsidR="0091711D" w:rsidRPr="00524948" w:rsidRDefault="00524948" w:rsidP="00524948">
      <w:pPr>
        <w:spacing w:after="160" w:line="360" w:lineRule="auto"/>
        <w:ind w:left="720"/>
        <w:rPr>
          <w:rFonts w:ascii="Calibri" w:hAnsi="Calibri" w:cs="Calibri"/>
          <w:kern w:val="2"/>
          <w:sz w:val="22"/>
          <w:szCs w:val="22"/>
          <w14:ligatures w14:val="standardContextual"/>
        </w:rPr>
      </w:pPr>
      <w:r w:rsidRPr="00524948">
        <w:rPr>
          <w:rFonts w:ascii="Calibri" w:hAnsi="Calibri" w:cs="Calibri"/>
          <w:sz w:val="22"/>
          <w:szCs w:val="22"/>
        </w:rPr>
        <w:t xml:space="preserve">Key pedagogical and evaluative shifts are outlined to move beyond </w:t>
      </w:r>
      <w:r>
        <w:rPr>
          <w:rFonts w:ascii="Calibri" w:hAnsi="Calibri" w:cs="Calibri"/>
          <w:sz w:val="22"/>
          <w:szCs w:val="22"/>
        </w:rPr>
        <w:t xml:space="preserve">the presence of a </w:t>
      </w:r>
      <w:r w:rsidRPr="00524948">
        <w:rPr>
          <w:rFonts w:ascii="Calibri" w:hAnsi="Calibri" w:cs="Calibri"/>
          <w:sz w:val="22"/>
          <w:szCs w:val="22"/>
        </w:rPr>
        <w:t>decision</w:t>
      </w:r>
      <w:r>
        <w:rPr>
          <w:rFonts w:ascii="Calibri" w:hAnsi="Calibri" w:cs="Calibri"/>
          <w:sz w:val="22"/>
          <w:szCs w:val="22"/>
        </w:rPr>
        <w:t xml:space="preserve"> as an outcome,</w:t>
      </w:r>
      <w:r w:rsidRPr="00524948">
        <w:rPr>
          <w:rFonts w:ascii="Calibri" w:hAnsi="Calibri" w:cs="Calibri"/>
          <w:sz w:val="22"/>
          <w:szCs w:val="22"/>
        </w:rPr>
        <w:t xml:space="preserve"> toward evidence </w:t>
      </w:r>
      <w:r>
        <w:rPr>
          <w:rFonts w:ascii="Calibri" w:hAnsi="Calibri" w:cs="Calibri"/>
          <w:sz w:val="22"/>
          <w:szCs w:val="22"/>
        </w:rPr>
        <w:t>of career management capabilities</w:t>
      </w:r>
      <w:r w:rsidR="008A0E58">
        <w:rPr>
          <w:rFonts w:ascii="Calibri" w:hAnsi="Calibri" w:cs="Calibri"/>
          <w:sz w:val="22"/>
          <w:szCs w:val="22"/>
        </w:rPr>
        <w:t xml:space="preserve"> as the outcome</w:t>
      </w:r>
      <w:r w:rsidRPr="00524948">
        <w:rPr>
          <w:rFonts w:ascii="Calibri" w:hAnsi="Calibri" w:cs="Calibri"/>
          <w:sz w:val="22"/>
          <w:szCs w:val="22"/>
        </w:rPr>
        <w:t xml:space="preserve">. The implications of artificial intelligence for career education are also considered, with AI positioned as both a contextual force reshaping work and learning and a pedagogical tool that, when embedded deliberately, can strengthen inquiry, engagement, and equity rather than substitute for educational practice. The argument establishes </w:t>
      </w:r>
      <w:r w:rsidR="008A0E58">
        <w:rPr>
          <w:rFonts w:ascii="Calibri" w:hAnsi="Calibri" w:cs="Calibri"/>
          <w:sz w:val="22"/>
          <w:szCs w:val="22"/>
        </w:rPr>
        <w:t xml:space="preserve">both </w:t>
      </w:r>
      <w:r w:rsidRPr="00524948">
        <w:rPr>
          <w:rFonts w:ascii="Calibri" w:hAnsi="Calibri" w:cs="Calibri"/>
          <w:sz w:val="22"/>
          <w:szCs w:val="22"/>
        </w:rPr>
        <w:t>the imperative</w:t>
      </w:r>
      <w:r w:rsidR="008A0E58">
        <w:rPr>
          <w:rFonts w:ascii="Calibri" w:hAnsi="Calibri" w:cs="Calibri"/>
          <w:sz w:val="22"/>
          <w:szCs w:val="22"/>
        </w:rPr>
        <w:t>,</w:t>
      </w:r>
      <w:r w:rsidRPr="00524948">
        <w:rPr>
          <w:rFonts w:ascii="Calibri" w:hAnsi="Calibri" w:cs="Calibri"/>
          <w:sz w:val="22"/>
          <w:szCs w:val="22"/>
        </w:rPr>
        <w:t xml:space="preserve"> and </w:t>
      </w:r>
      <w:r w:rsidR="008A0E58">
        <w:rPr>
          <w:rFonts w:ascii="Calibri" w:hAnsi="Calibri" w:cs="Calibri"/>
          <w:sz w:val="22"/>
          <w:szCs w:val="22"/>
        </w:rPr>
        <w:t xml:space="preserve">the </w:t>
      </w:r>
      <w:r w:rsidRPr="00524948">
        <w:rPr>
          <w:rFonts w:ascii="Calibri" w:hAnsi="Calibri" w:cs="Calibri"/>
          <w:sz w:val="22"/>
          <w:szCs w:val="22"/>
        </w:rPr>
        <w:t xml:space="preserve">value for schools of aligning career education </w:t>
      </w:r>
      <w:r>
        <w:rPr>
          <w:rFonts w:ascii="Calibri" w:hAnsi="Calibri" w:cs="Calibri"/>
          <w:sz w:val="22"/>
          <w:szCs w:val="22"/>
        </w:rPr>
        <w:t xml:space="preserve">practice </w:t>
      </w:r>
      <w:r w:rsidRPr="00524948">
        <w:rPr>
          <w:rFonts w:ascii="Calibri" w:hAnsi="Calibri" w:cs="Calibri"/>
          <w:sz w:val="22"/>
          <w:szCs w:val="22"/>
        </w:rPr>
        <w:t xml:space="preserve">with its theoretical and </w:t>
      </w:r>
      <w:r>
        <w:rPr>
          <w:rFonts w:ascii="Calibri" w:hAnsi="Calibri" w:cs="Calibri"/>
          <w:sz w:val="22"/>
          <w:szCs w:val="22"/>
        </w:rPr>
        <w:t>empirical</w:t>
      </w:r>
      <w:r w:rsidRPr="00524948">
        <w:rPr>
          <w:rFonts w:ascii="Calibri" w:hAnsi="Calibri" w:cs="Calibri"/>
          <w:sz w:val="22"/>
          <w:szCs w:val="22"/>
        </w:rPr>
        <w:t xml:space="preserve"> base, not only to better prepare young people for uncertain futures, but to enhance student engagement, curriculum relevance, and outcomes within schooling today.</w:t>
      </w:r>
    </w:p>
    <w:p w14:paraId="37194DD4" w14:textId="77777777" w:rsidR="00524948" w:rsidRDefault="00524948" w:rsidP="0091711D">
      <w:pPr>
        <w:rPr>
          <w:b/>
          <w:bCs/>
        </w:rPr>
      </w:pPr>
    </w:p>
    <w:p w14:paraId="7B8DD53F" w14:textId="7962A26D" w:rsidR="00524948" w:rsidRDefault="00524948" w:rsidP="0091711D">
      <w:pPr>
        <w:rPr>
          <w:b/>
          <w:bCs/>
        </w:rPr>
      </w:pPr>
      <w:r>
        <w:rPr>
          <w:b/>
          <w:bCs/>
        </w:rPr>
        <w:t>Symposium Abstract</w:t>
      </w:r>
    </w:p>
    <w:p w14:paraId="5AB6BDE3" w14:textId="77777777" w:rsidR="008A0E58" w:rsidRDefault="008A0E58" w:rsidP="0091711D">
      <w:pPr>
        <w:rPr>
          <w:b/>
          <w:bCs/>
        </w:rPr>
      </w:pPr>
    </w:p>
    <w:p w14:paraId="051502DA" w14:textId="0438B1DF" w:rsidR="008A0E58" w:rsidRPr="008A0E58" w:rsidRDefault="008A0E58" w:rsidP="008A0E58">
      <w:pPr>
        <w:spacing w:after="160" w:line="278" w:lineRule="auto"/>
        <w:rPr>
          <w:rFonts w:ascii="Calibri" w:hAnsi="Calibri" w:cs="Calibri"/>
          <w:b/>
          <w:bCs/>
          <w:sz w:val="22"/>
          <w:szCs w:val="22"/>
        </w:rPr>
      </w:pPr>
      <w:r w:rsidRPr="008A0E58">
        <w:rPr>
          <w:rFonts w:ascii="Calibri" w:hAnsi="Calibri" w:cs="Calibri"/>
          <w:b/>
          <w:bCs/>
          <w:sz w:val="22"/>
          <w:szCs w:val="22"/>
        </w:rPr>
        <w:t>From the Margins to the Mainstream:</w:t>
      </w:r>
    </w:p>
    <w:p w14:paraId="121B2064" w14:textId="0F561722" w:rsidR="008A0E58" w:rsidRPr="008A0E58" w:rsidRDefault="008A0E58" w:rsidP="008A0E58">
      <w:pPr>
        <w:spacing w:after="160" w:line="278" w:lineRule="auto"/>
        <w:rPr>
          <w:rFonts w:ascii="Calibri" w:hAnsi="Calibri" w:cs="Calibri"/>
          <w:b/>
          <w:bCs/>
          <w:sz w:val="22"/>
          <w:szCs w:val="22"/>
        </w:rPr>
      </w:pPr>
      <w:r w:rsidRPr="008A0E58">
        <w:rPr>
          <w:rFonts w:ascii="Calibri" w:hAnsi="Calibri" w:cs="Calibri"/>
          <w:b/>
          <w:bCs/>
          <w:sz w:val="22"/>
          <w:szCs w:val="22"/>
        </w:rPr>
        <w:t>Building Sustainable Best Practice Career Education Across K–12</w:t>
      </w:r>
    </w:p>
    <w:p w14:paraId="35B662D6" w14:textId="45D6E586" w:rsidR="008A0E58" w:rsidRPr="008A0E58" w:rsidRDefault="008A0E58" w:rsidP="008A0E58">
      <w:pPr>
        <w:spacing w:after="160" w:line="360" w:lineRule="auto"/>
        <w:rPr>
          <w:rFonts w:ascii="Calibri" w:hAnsi="Calibri" w:cs="Calibri"/>
          <w:sz w:val="22"/>
          <w:szCs w:val="22"/>
        </w:rPr>
      </w:pPr>
      <w:r w:rsidRPr="008A0E58">
        <w:rPr>
          <w:rFonts w:ascii="Calibri" w:hAnsi="Calibri" w:cs="Calibri"/>
          <w:sz w:val="22"/>
          <w:szCs w:val="22"/>
        </w:rPr>
        <w:t xml:space="preserve">Across education systems globally, schools are under increasing pressure to prepare young people for futures shaped by uncertainty, rapid technological change, and shifting labour markets. Rising youth anxiety, persistent inequities in opportunity, disengagement, and ongoing skills mismatches point to the limits of </w:t>
      </w:r>
      <w:r>
        <w:rPr>
          <w:rFonts w:ascii="Calibri" w:hAnsi="Calibri" w:cs="Calibri"/>
          <w:sz w:val="22"/>
          <w:szCs w:val="22"/>
        </w:rPr>
        <w:t>current educational approaches</w:t>
      </w:r>
      <w:r w:rsidRPr="008A0E58">
        <w:rPr>
          <w:rFonts w:ascii="Calibri" w:hAnsi="Calibri" w:cs="Calibri"/>
          <w:sz w:val="22"/>
          <w:szCs w:val="22"/>
        </w:rPr>
        <w:t>. Career education, when grounded in theory and evidence and embedded meaningfully across the K–12 years, offers a powerful response. Yet in many systems this work remains marginalised, narrowly conceived, or treated as an episodic intervention rather than as part of the core educational endeavour.</w:t>
      </w:r>
    </w:p>
    <w:p w14:paraId="30FA82A9" w14:textId="4B6511F5" w:rsidR="008A0E58" w:rsidRPr="008A0E58" w:rsidRDefault="008A0E58" w:rsidP="008A0E58">
      <w:pPr>
        <w:spacing w:after="160" w:line="360" w:lineRule="auto"/>
        <w:rPr>
          <w:rFonts w:ascii="Calibri" w:hAnsi="Calibri" w:cs="Calibri"/>
          <w:sz w:val="22"/>
          <w:szCs w:val="22"/>
        </w:rPr>
      </w:pPr>
      <w:r w:rsidRPr="008A0E58">
        <w:rPr>
          <w:rFonts w:ascii="Calibri" w:hAnsi="Calibri" w:cs="Calibri"/>
          <w:sz w:val="22"/>
          <w:szCs w:val="22"/>
        </w:rPr>
        <w:t>This symposium brings together international</w:t>
      </w:r>
      <w:r>
        <w:rPr>
          <w:rFonts w:ascii="Calibri" w:hAnsi="Calibri" w:cs="Calibri"/>
          <w:sz w:val="22"/>
          <w:szCs w:val="22"/>
        </w:rPr>
        <w:t>ly recognised scholars and practitioners</w:t>
      </w:r>
      <w:r w:rsidRPr="008A0E58">
        <w:rPr>
          <w:rFonts w:ascii="Calibri" w:hAnsi="Calibri" w:cs="Calibri"/>
          <w:sz w:val="22"/>
          <w:szCs w:val="22"/>
        </w:rPr>
        <w:t xml:space="preserve"> to explore how career education can be repositioned from the margins to the mainstream as sustainable best practice </w:t>
      </w:r>
      <w:r>
        <w:rPr>
          <w:rFonts w:ascii="Calibri" w:hAnsi="Calibri" w:cs="Calibri"/>
          <w:sz w:val="22"/>
          <w:szCs w:val="22"/>
        </w:rPr>
        <w:t>in</w:t>
      </w:r>
      <w:r w:rsidRPr="008A0E58">
        <w:rPr>
          <w:rFonts w:ascii="Calibri" w:hAnsi="Calibri" w:cs="Calibri"/>
          <w:sz w:val="22"/>
          <w:szCs w:val="22"/>
        </w:rPr>
        <w:t xml:space="preserve"> K–12. Aligned with the conference subtheme </w:t>
      </w:r>
      <w:r w:rsidRPr="008A0E58">
        <w:rPr>
          <w:rFonts w:ascii="Calibri" w:hAnsi="Calibri" w:cs="Calibri"/>
          <w:i/>
          <w:iCs/>
          <w:sz w:val="22"/>
          <w:szCs w:val="22"/>
        </w:rPr>
        <w:t xml:space="preserve">Best Practice – </w:t>
      </w:r>
      <w:proofErr w:type="spellStart"/>
      <w:r w:rsidRPr="008A0E58">
        <w:rPr>
          <w:rFonts w:ascii="Calibri" w:hAnsi="Calibri" w:cs="Calibri"/>
          <w:i/>
          <w:iCs/>
          <w:sz w:val="22"/>
          <w:szCs w:val="22"/>
        </w:rPr>
        <w:t>Tupuānuku</w:t>
      </w:r>
      <w:proofErr w:type="spellEnd"/>
      <w:r w:rsidRPr="008A0E58">
        <w:rPr>
          <w:rFonts w:ascii="Calibri" w:hAnsi="Calibri" w:cs="Calibri"/>
          <w:sz w:val="22"/>
          <w:szCs w:val="22"/>
        </w:rPr>
        <w:t>, the symposium advances the view that this area of learning must be deliberately cultivated over time, grounded in well</w:t>
      </w:r>
      <w:r w:rsidRPr="008A0E58">
        <w:rPr>
          <w:rFonts w:ascii="Calibri" w:hAnsi="Calibri" w:cs="Calibri"/>
          <w:sz w:val="22"/>
          <w:szCs w:val="22"/>
        </w:rPr>
        <w:noBreakHyphen/>
        <w:t>established theory, and designed as an integrated component of high</w:t>
      </w:r>
      <w:r w:rsidRPr="008A0E58">
        <w:rPr>
          <w:rFonts w:ascii="Calibri" w:hAnsi="Calibri" w:cs="Calibri"/>
          <w:sz w:val="22"/>
          <w:szCs w:val="22"/>
        </w:rPr>
        <w:noBreakHyphen/>
        <w:t xml:space="preserve">quality schooling rather </w:t>
      </w:r>
      <w:r w:rsidRPr="008A0E58">
        <w:rPr>
          <w:rFonts w:ascii="Calibri" w:hAnsi="Calibri" w:cs="Calibri"/>
          <w:sz w:val="22"/>
          <w:szCs w:val="22"/>
        </w:rPr>
        <w:lastRenderedPageBreak/>
        <w:t>than a point</w:t>
      </w:r>
      <w:r w:rsidRPr="008A0E58">
        <w:rPr>
          <w:rFonts w:ascii="Calibri" w:hAnsi="Calibri" w:cs="Calibri"/>
          <w:sz w:val="22"/>
          <w:szCs w:val="22"/>
        </w:rPr>
        <w:noBreakHyphen/>
        <w:t>in</w:t>
      </w:r>
      <w:r w:rsidRPr="008A0E58">
        <w:rPr>
          <w:rFonts w:ascii="Calibri" w:hAnsi="Calibri" w:cs="Calibri"/>
          <w:sz w:val="22"/>
          <w:szCs w:val="22"/>
        </w:rPr>
        <w:noBreakHyphen/>
        <w:t>time decision</w:t>
      </w:r>
      <w:r w:rsidRPr="008A0E58">
        <w:rPr>
          <w:rFonts w:ascii="Calibri" w:hAnsi="Calibri" w:cs="Calibri"/>
          <w:sz w:val="22"/>
          <w:szCs w:val="22"/>
        </w:rPr>
        <w:noBreakHyphen/>
        <w:t xml:space="preserve">making activity. Drawing on international </w:t>
      </w:r>
      <w:r>
        <w:rPr>
          <w:rFonts w:ascii="Calibri" w:hAnsi="Calibri" w:cs="Calibri"/>
          <w:sz w:val="22"/>
          <w:szCs w:val="22"/>
        </w:rPr>
        <w:t>theory</w:t>
      </w:r>
      <w:r w:rsidRPr="008A0E58">
        <w:rPr>
          <w:rFonts w:ascii="Calibri" w:hAnsi="Calibri" w:cs="Calibri"/>
          <w:sz w:val="22"/>
          <w:szCs w:val="22"/>
        </w:rPr>
        <w:t xml:space="preserve">, </w:t>
      </w:r>
      <w:r>
        <w:rPr>
          <w:rFonts w:ascii="Calibri" w:hAnsi="Calibri" w:cs="Calibri"/>
          <w:sz w:val="22"/>
          <w:szCs w:val="22"/>
        </w:rPr>
        <w:t>research</w:t>
      </w:r>
      <w:r w:rsidRPr="008A0E58">
        <w:rPr>
          <w:rFonts w:ascii="Calibri" w:hAnsi="Calibri" w:cs="Calibri"/>
          <w:sz w:val="22"/>
          <w:szCs w:val="22"/>
        </w:rPr>
        <w:t xml:space="preserve">, </w:t>
      </w:r>
      <w:r>
        <w:rPr>
          <w:rFonts w:ascii="Calibri" w:hAnsi="Calibri" w:cs="Calibri"/>
          <w:sz w:val="22"/>
          <w:szCs w:val="22"/>
        </w:rPr>
        <w:t xml:space="preserve">policy </w:t>
      </w:r>
      <w:r w:rsidRPr="008A0E58">
        <w:rPr>
          <w:rFonts w:ascii="Calibri" w:hAnsi="Calibri" w:cs="Calibri"/>
          <w:sz w:val="22"/>
          <w:szCs w:val="22"/>
        </w:rPr>
        <w:t>and p</w:t>
      </w:r>
      <w:r>
        <w:rPr>
          <w:rFonts w:ascii="Calibri" w:hAnsi="Calibri" w:cs="Calibri"/>
          <w:sz w:val="22"/>
          <w:szCs w:val="22"/>
        </w:rPr>
        <w:t>ractice</w:t>
      </w:r>
      <w:r w:rsidRPr="008A0E58">
        <w:rPr>
          <w:rFonts w:ascii="Calibri" w:hAnsi="Calibri" w:cs="Calibri"/>
          <w:sz w:val="22"/>
          <w:szCs w:val="22"/>
        </w:rPr>
        <w:t>, the symposium examines what effective provision looks like</w:t>
      </w:r>
      <w:r>
        <w:rPr>
          <w:rFonts w:ascii="Calibri" w:hAnsi="Calibri" w:cs="Calibri"/>
          <w:sz w:val="22"/>
          <w:szCs w:val="22"/>
        </w:rPr>
        <w:t xml:space="preserve"> and the outcomes we can expect</w:t>
      </w:r>
      <w:r w:rsidRPr="008A0E58">
        <w:rPr>
          <w:rFonts w:ascii="Calibri" w:hAnsi="Calibri" w:cs="Calibri"/>
          <w:sz w:val="22"/>
          <w:szCs w:val="22"/>
        </w:rPr>
        <w:t xml:space="preserve"> when it is developmentally informed, equity</w:t>
      </w:r>
      <w:r w:rsidRPr="008A0E58">
        <w:rPr>
          <w:rFonts w:ascii="Calibri" w:hAnsi="Calibri" w:cs="Calibri"/>
          <w:sz w:val="22"/>
          <w:szCs w:val="22"/>
        </w:rPr>
        <w:noBreakHyphen/>
        <w:t>oriented, and responsive to contemporary conditions.</w:t>
      </w:r>
    </w:p>
    <w:p w14:paraId="15735BD9" w14:textId="47F2F599" w:rsidR="008A0E58" w:rsidRPr="008A0E58" w:rsidRDefault="008A0E58" w:rsidP="008A0E58">
      <w:pPr>
        <w:spacing w:after="160" w:line="360" w:lineRule="auto"/>
        <w:rPr>
          <w:rFonts w:ascii="Calibri" w:hAnsi="Calibri" w:cs="Calibri"/>
          <w:sz w:val="22"/>
          <w:szCs w:val="22"/>
        </w:rPr>
      </w:pPr>
      <w:r w:rsidRPr="008A0E58">
        <w:rPr>
          <w:rFonts w:ascii="Calibri" w:hAnsi="Calibri" w:cs="Calibri"/>
          <w:sz w:val="22"/>
          <w:szCs w:val="22"/>
        </w:rPr>
        <w:t xml:space="preserve">The symposium begins with a theoretical </w:t>
      </w:r>
      <w:r>
        <w:rPr>
          <w:rFonts w:ascii="Calibri" w:hAnsi="Calibri" w:cs="Calibri"/>
          <w:sz w:val="22"/>
          <w:szCs w:val="22"/>
        </w:rPr>
        <w:t xml:space="preserve">and </w:t>
      </w:r>
      <w:r w:rsidRPr="008A0E58">
        <w:rPr>
          <w:rFonts w:ascii="Calibri" w:hAnsi="Calibri" w:cs="Calibri"/>
          <w:sz w:val="22"/>
          <w:szCs w:val="22"/>
        </w:rPr>
        <w:t>developmental foundation. The first paper focuses on career learning in childhood, emphasising that career development begins early through children’s meaning</w:t>
      </w:r>
      <w:r w:rsidRPr="008A0E58">
        <w:rPr>
          <w:rFonts w:ascii="Calibri" w:hAnsi="Calibri" w:cs="Calibri"/>
          <w:sz w:val="22"/>
          <w:szCs w:val="22"/>
        </w:rPr>
        <w:noBreakHyphen/>
        <w:t>making about work and adult roles. It highlights how unintentional learning can reinforce stereotypes related to gender, status, and possibilit</w:t>
      </w:r>
      <w:r>
        <w:rPr>
          <w:rFonts w:ascii="Calibri" w:hAnsi="Calibri" w:cs="Calibri"/>
          <w:sz w:val="22"/>
          <w:szCs w:val="22"/>
        </w:rPr>
        <w:t>y</w:t>
      </w:r>
      <w:r w:rsidRPr="008A0E58">
        <w:rPr>
          <w:rFonts w:ascii="Calibri" w:hAnsi="Calibri" w:cs="Calibri"/>
          <w:sz w:val="22"/>
          <w:szCs w:val="22"/>
        </w:rPr>
        <w:t xml:space="preserve"> and demonstrates how intentional, theory</w:t>
      </w:r>
      <w:r w:rsidRPr="008A0E58">
        <w:rPr>
          <w:rFonts w:ascii="Calibri" w:hAnsi="Calibri" w:cs="Calibri"/>
          <w:sz w:val="22"/>
          <w:szCs w:val="22"/>
        </w:rPr>
        <w:noBreakHyphen/>
        <w:t>informed learning experiences can be introduced in age</w:t>
      </w:r>
      <w:r w:rsidRPr="008A0E58">
        <w:rPr>
          <w:rFonts w:ascii="Calibri" w:hAnsi="Calibri" w:cs="Calibri"/>
          <w:sz w:val="22"/>
          <w:szCs w:val="22"/>
        </w:rPr>
        <w:noBreakHyphen/>
        <w:t xml:space="preserve">appropriate ways across the </w:t>
      </w:r>
      <w:r>
        <w:rPr>
          <w:rFonts w:ascii="Calibri" w:hAnsi="Calibri" w:cs="Calibri"/>
          <w:sz w:val="22"/>
          <w:szCs w:val="22"/>
        </w:rPr>
        <w:t>school</w:t>
      </w:r>
      <w:r w:rsidRPr="008A0E58">
        <w:rPr>
          <w:rFonts w:ascii="Calibri" w:hAnsi="Calibri" w:cs="Calibri"/>
          <w:sz w:val="22"/>
          <w:szCs w:val="22"/>
        </w:rPr>
        <w:t xml:space="preserve"> years. Drawing on an extensive review of career theories, the paper </w:t>
      </w:r>
      <w:r>
        <w:rPr>
          <w:rFonts w:ascii="Calibri" w:hAnsi="Calibri" w:cs="Calibri"/>
          <w:sz w:val="22"/>
          <w:szCs w:val="22"/>
        </w:rPr>
        <w:t>introduces</w:t>
      </w:r>
      <w:r w:rsidRPr="008A0E58">
        <w:rPr>
          <w:rFonts w:ascii="Calibri" w:hAnsi="Calibri" w:cs="Calibri"/>
          <w:sz w:val="22"/>
          <w:szCs w:val="22"/>
        </w:rPr>
        <w:t xml:space="preserve"> </w:t>
      </w:r>
      <w:r>
        <w:rPr>
          <w:rFonts w:ascii="Calibri" w:hAnsi="Calibri" w:cs="Calibri"/>
          <w:sz w:val="22"/>
          <w:szCs w:val="22"/>
        </w:rPr>
        <w:t xml:space="preserve">10 </w:t>
      </w:r>
      <w:r w:rsidRPr="008A0E58">
        <w:rPr>
          <w:rFonts w:ascii="Calibri" w:hAnsi="Calibri" w:cs="Calibri"/>
          <w:sz w:val="22"/>
          <w:szCs w:val="22"/>
        </w:rPr>
        <w:t>key theory</w:t>
      </w:r>
      <w:r w:rsidRPr="008A0E58">
        <w:rPr>
          <w:rFonts w:ascii="Calibri" w:hAnsi="Calibri" w:cs="Calibri"/>
          <w:sz w:val="22"/>
          <w:szCs w:val="22"/>
        </w:rPr>
        <w:noBreakHyphen/>
        <w:t>informed features to guide best practice from early childhood through adolescence.</w:t>
      </w:r>
    </w:p>
    <w:p w14:paraId="05974E21" w14:textId="7F6EB513" w:rsidR="008A0E58" w:rsidRPr="008A0E58" w:rsidRDefault="008A0E58" w:rsidP="008A0E58">
      <w:pPr>
        <w:spacing w:after="160" w:line="360" w:lineRule="auto"/>
        <w:rPr>
          <w:rFonts w:ascii="Calibri" w:hAnsi="Calibri" w:cs="Calibri"/>
          <w:sz w:val="22"/>
          <w:szCs w:val="22"/>
        </w:rPr>
      </w:pPr>
      <w:r w:rsidRPr="008A0E58">
        <w:rPr>
          <w:rFonts w:ascii="Calibri" w:hAnsi="Calibri" w:cs="Calibri"/>
          <w:sz w:val="22"/>
          <w:szCs w:val="22"/>
        </w:rPr>
        <w:t>The second paper examines equity and social justice. It explores how high</w:t>
      </w:r>
      <w:r w:rsidRPr="008A0E58">
        <w:rPr>
          <w:rFonts w:ascii="Calibri" w:hAnsi="Calibri" w:cs="Calibri"/>
          <w:sz w:val="22"/>
          <w:szCs w:val="22"/>
        </w:rPr>
        <w:noBreakHyphen/>
        <w:t>quality career</w:t>
      </w:r>
      <w:r w:rsidRPr="008A0E58">
        <w:rPr>
          <w:rFonts w:ascii="Calibri" w:hAnsi="Calibri" w:cs="Calibri"/>
          <w:sz w:val="22"/>
          <w:szCs w:val="22"/>
        </w:rPr>
        <w:noBreakHyphen/>
        <w:t>related learning can challenge processes of social reproduction by broadening opportunity awareness, questioning constrained aspirations, and supporting young people to recognise and respond to structural inequalities shaping their lives, learning, and futures. Drawing on critical theory and pedagogy, the paper introduces the five signposts for socially just career guidance as a practical framework for embedding equity</w:t>
      </w:r>
      <w:r w:rsidRPr="008A0E58">
        <w:rPr>
          <w:rFonts w:ascii="Calibri" w:hAnsi="Calibri" w:cs="Calibri"/>
          <w:sz w:val="22"/>
          <w:szCs w:val="22"/>
        </w:rPr>
        <w:noBreakHyphen/>
        <w:t xml:space="preserve">focused approaches. </w:t>
      </w:r>
    </w:p>
    <w:p w14:paraId="627416AF" w14:textId="77777777" w:rsidR="008A0E58" w:rsidRPr="008A0E58" w:rsidRDefault="008A0E58" w:rsidP="008A0E58">
      <w:pPr>
        <w:spacing w:line="360" w:lineRule="auto"/>
        <w:rPr>
          <w:rFonts w:ascii="Calibri" w:hAnsi="Calibri" w:cs="Calibri"/>
          <w:sz w:val="22"/>
          <w:szCs w:val="22"/>
        </w:rPr>
      </w:pPr>
      <w:r w:rsidRPr="008A0E58">
        <w:rPr>
          <w:rFonts w:ascii="Calibri" w:hAnsi="Calibri" w:cs="Calibri"/>
          <w:sz w:val="22"/>
          <w:szCs w:val="22"/>
        </w:rPr>
        <w:t>The third paper examines how career education practice in K–12 must evolve to be effective for contemporary careers shaped by uncertainty, technological change, and artificial intelligence. Bringing career theory, international evidence, and labour market data into dialogue, it argues for a shift in focus away from point</w:t>
      </w:r>
      <w:r w:rsidRPr="008A0E58">
        <w:rPr>
          <w:rFonts w:ascii="Calibri" w:hAnsi="Calibri" w:cs="Calibri"/>
          <w:sz w:val="22"/>
          <w:szCs w:val="22"/>
        </w:rPr>
        <w:noBreakHyphen/>
        <w:t>in</w:t>
      </w:r>
      <w:r w:rsidRPr="008A0E58">
        <w:rPr>
          <w:rFonts w:ascii="Calibri" w:hAnsi="Calibri" w:cs="Calibri"/>
          <w:sz w:val="22"/>
          <w:szCs w:val="22"/>
        </w:rPr>
        <w:noBreakHyphen/>
        <w:t>time decisions toward the development of transferable career management capabilities. The paper calls for a reframe of career education as a developmental, skills</w:t>
      </w:r>
      <w:r w:rsidRPr="008A0E58">
        <w:rPr>
          <w:rFonts w:ascii="Calibri" w:hAnsi="Calibri" w:cs="Calibri"/>
          <w:sz w:val="22"/>
          <w:szCs w:val="22"/>
        </w:rPr>
        <w:noBreakHyphen/>
        <w:t>based process that builds adaptability, curiosity, and agency to support young people to make sense of and navigate future opportunities.</w:t>
      </w:r>
    </w:p>
    <w:p w14:paraId="62DFEAB6" w14:textId="77777777" w:rsidR="008A0E58" w:rsidRDefault="008A0E58" w:rsidP="008A0E58">
      <w:pPr>
        <w:spacing w:line="360" w:lineRule="auto"/>
        <w:rPr>
          <w:rFonts w:ascii="Calibri" w:hAnsi="Calibri" w:cs="Calibri"/>
          <w:sz w:val="22"/>
          <w:szCs w:val="22"/>
        </w:rPr>
      </w:pPr>
    </w:p>
    <w:p w14:paraId="2CC19D7D" w14:textId="1E66A54B" w:rsidR="008A0E58" w:rsidRDefault="008A0E58" w:rsidP="008A0E58">
      <w:pPr>
        <w:spacing w:line="360" w:lineRule="auto"/>
        <w:rPr>
          <w:rFonts w:ascii="Calibri" w:hAnsi="Calibri" w:cs="Calibri"/>
          <w:sz w:val="22"/>
          <w:szCs w:val="22"/>
        </w:rPr>
      </w:pPr>
      <w:r w:rsidRPr="008A0E58">
        <w:rPr>
          <w:rFonts w:ascii="Calibri" w:hAnsi="Calibri" w:cs="Calibri"/>
          <w:sz w:val="22"/>
          <w:szCs w:val="22"/>
        </w:rPr>
        <w:t xml:space="preserve">Taken together, these contributions offer an integrated perspective on what sustainable best practice </w:t>
      </w:r>
      <w:r>
        <w:rPr>
          <w:rFonts w:ascii="Calibri" w:hAnsi="Calibri" w:cs="Calibri"/>
          <w:sz w:val="22"/>
          <w:szCs w:val="22"/>
        </w:rPr>
        <w:t xml:space="preserve">can </w:t>
      </w:r>
      <w:r w:rsidRPr="008A0E58">
        <w:rPr>
          <w:rFonts w:ascii="Calibri" w:hAnsi="Calibri" w:cs="Calibri"/>
          <w:sz w:val="22"/>
          <w:szCs w:val="22"/>
        </w:rPr>
        <w:t>look like across the K–12 years. Through synthesis across developmental, equity</w:t>
      </w:r>
      <w:r w:rsidRPr="008A0E58">
        <w:rPr>
          <w:rFonts w:ascii="Calibri" w:hAnsi="Calibri" w:cs="Calibri"/>
          <w:sz w:val="22"/>
          <w:szCs w:val="22"/>
        </w:rPr>
        <w:noBreakHyphen/>
        <w:t>focused, and systems</w:t>
      </w:r>
      <w:r w:rsidRPr="008A0E58">
        <w:rPr>
          <w:rFonts w:ascii="Calibri" w:hAnsi="Calibri" w:cs="Calibri"/>
          <w:sz w:val="22"/>
          <w:szCs w:val="22"/>
        </w:rPr>
        <w:noBreakHyphen/>
        <w:t xml:space="preserve">level perspectives, the symposium identifies shared principles and practical levers for positioning career education as core educational infrastructure rather than peripheral provision. </w:t>
      </w:r>
    </w:p>
    <w:p w14:paraId="5B3980F3" w14:textId="6D1DD6AD" w:rsidR="008A0E58" w:rsidRPr="008A0E58" w:rsidRDefault="008A0E58" w:rsidP="008A0E58">
      <w:pPr>
        <w:spacing w:after="160" w:line="360" w:lineRule="auto"/>
        <w:rPr>
          <w:rFonts w:ascii="Calibri" w:hAnsi="Calibri" w:cs="Calibri"/>
          <w:sz w:val="22"/>
          <w:szCs w:val="22"/>
        </w:rPr>
      </w:pPr>
      <w:r w:rsidRPr="008A0E58">
        <w:rPr>
          <w:rFonts w:ascii="Calibri" w:hAnsi="Calibri" w:cs="Calibri"/>
          <w:sz w:val="22"/>
          <w:szCs w:val="22"/>
        </w:rPr>
        <w:t xml:space="preserve">Drawing on international </w:t>
      </w:r>
      <w:r>
        <w:rPr>
          <w:rFonts w:ascii="Calibri" w:hAnsi="Calibri" w:cs="Calibri"/>
          <w:sz w:val="22"/>
          <w:szCs w:val="22"/>
        </w:rPr>
        <w:t>experience,</w:t>
      </w:r>
      <w:r w:rsidRPr="008A0E58">
        <w:rPr>
          <w:rFonts w:ascii="Calibri" w:hAnsi="Calibri" w:cs="Calibri"/>
          <w:sz w:val="22"/>
          <w:szCs w:val="22"/>
        </w:rPr>
        <w:t xml:space="preserve"> the session clarifies how theory</w:t>
      </w:r>
      <w:r w:rsidRPr="008A0E58">
        <w:rPr>
          <w:rFonts w:ascii="Calibri" w:hAnsi="Calibri" w:cs="Calibri"/>
          <w:sz w:val="22"/>
          <w:szCs w:val="22"/>
        </w:rPr>
        <w:noBreakHyphen/>
        <w:t xml:space="preserve">informed approaches can be cultivated over time, embedded across curriculum and pedagogy, and evaluated in ways that prioritise </w:t>
      </w:r>
      <w:r>
        <w:rPr>
          <w:rFonts w:ascii="Calibri" w:hAnsi="Calibri" w:cs="Calibri"/>
          <w:sz w:val="22"/>
          <w:szCs w:val="22"/>
        </w:rPr>
        <w:t xml:space="preserve">sustainable </w:t>
      </w:r>
      <w:r w:rsidRPr="008A0E58">
        <w:rPr>
          <w:rFonts w:ascii="Calibri" w:hAnsi="Calibri" w:cs="Calibri"/>
          <w:sz w:val="22"/>
          <w:szCs w:val="22"/>
        </w:rPr>
        <w:t>capability developmen</w:t>
      </w:r>
      <w:r>
        <w:rPr>
          <w:rFonts w:ascii="Calibri" w:hAnsi="Calibri" w:cs="Calibri"/>
          <w:sz w:val="22"/>
          <w:szCs w:val="22"/>
        </w:rPr>
        <w:t>t</w:t>
      </w:r>
      <w:r w:rsidRPr="008A0E58">
        <w:rPr>
          <w:rFonts w:ascii="Calibri" w:hAnsi="Calibri" w:cs="Calibri"/>
          <w:sz w:val="22"/>
          <w:szCs w:val="22"/>
        </w:rPr>
        <w:t xml:space="preserve">. </w:t>
      </w:r>
      <w:r>
        <w:rPr>
          <w:rFonts w:ascii="Calibri" w:hAnsi="Calibri" w:cs="Calibri"/>
          <w:sz w:val="22"/>
          <w:szCs w:val="22"/>
        </w:rPr>
        <w:t>The</w:t>
      </w:r>
      <w:r w:rsidRPr="008A0E58">
        <w:rPr>
          <w:rFonts w:ascii="Calibri" w:hAnsi="Calibri" w:cs="Calibri"/>
          <w:sz w:val="22"/>
          <w:szCs w:val="22"/>
        </w:rPr>
        <w:t xml:space="preserve"> symposium articulates transferable insights for </w:t>
      </w:r>
      <w:r w:rsidRPr="008A0E58">
        <w:rPr>
          <w:rFonts w:ascii="Calibri" w:hAnsi="Calibri" w:cs="Calibri"/>
          <w:sz w:val="22"/>
          <w:szCs w:val="22"/>
        </w:rPr>
        <w:lastRenderedPageBreak/>
        <w:t>schools and education systems, including clear points of connection for practice and policy in Aotearoa New Zealand, recognising that the challenges addressed are shared globally.</w:t>
      </w:r>
    </w:p>
    <w:p w14:paraId="4814DA98" w14:textId="6644D367" w:rsidR="008A0E58" w:rsidRPr="008A0E58" w:rsidRDefault="008A0E58" w:rsidP="008A0E58">
      <w:pPr>
        <w:spacing w:after="160" w:line="360" w:lineRule="auto"/>
        <w:rPr>
          <w:rFonts w:ascii="Calibri" w:hAnsi="Calibri" w:cs="Calibri"/>
          <w:sz w:val="22"/>
          <w:szCs w:val="22"/>
        </w:rPr>
      </w:pPr>
      <w:r w:rsidRPr="008A0E58">
        <w:rPr>
          <w:rFonts w:ascii="Calibri" w:hAnsi="Calibri" w:cs="Calibri"/>
          <w:sz w:val="22"/>
          <w:szCs w:val="22"/>
        </w:rPr>
        <w:t>The symposium will be of particular interest to researchers, policymakers, career practitioners</w:t>
      </w:r>
      <w:r>
        <w:rPr>
          <w:rFonts w:ascii="Calibri" w:hAnsi="Calibri" w:cs="Calibri"/>
          <w:sz w:val="22"/>
          <w:szCs w:val="22"/>
        </w:rPr>
        <w:t xml:space="preserve"> and educational leaders</w:t>
      </w:r>
      <w:r w:rsidRPr="008A0E58">
        <w:rPr>
          <w:rFonts w:ascii="Calibri" w:hAnsi="Calibri" w:cs="Calibri"/>
          <w:sz w:val="22"/>
          <w:szCs w:val="22"/>
        </w:rPr>
        <w:t xml:space="preserve"> seeking theory</w:t>
      </w:r>
      <w:r>
        <w:rPr>
          <w:rFonts w:ascii="Calibri" w:hAnsi="Calibri" w:cs="Calibri"/>
          <w:sz w:val="22"/>
          <w:szCs w:val="22"/>
        </w:rPr>
        <w:t xml:space="preserve"> </w:t>
      </w:r>
      <w:r w:rsidRPr="008A0E58">
        <w:rPr>
          <w:rFonts w:ascii="Calibri" w:hAnsi="Calibri" w:cs="Calibri"/>
          <w:sz w:val="22"/>
          <w:szCs w:val="22"/>
        </w:rPr>
        <w:t>and evidence</w:t>
      </w:r>
      <w:r w:rsidRPr="008A0E58">
        <w:rPr>
          <w:rFonts w:ascii="Calibri" w:hAnsi="Calibri" w:cs="Calibri"/>
          <w:sz w:val="22"/>
          <w:szCs w:val="22"/>
        </w:rPr>
        <w:noBreakHyphen/>
        <w:t xml:space="preserve">informed approaches to this </w:t>
      </w:r>
      <w:r>
        <w:rPr>
          <w:rFonts w:ascii="Calibri" w:hAnsi="Calibri" w:cs="Calibri"/>
          <w:sz w:val="22"/>
          <w:szCs w:val="22"/>
        </w:rPr>
        <w:t>critical challenge</w:t>
      </w:r>
      <w:r w:rsidRPr="008A0E58">
        <w:rPr>
          <w:rFonts w:ascii="Calibri" w:hAnsi="Calibri" w:cs="Calibri"/>
          <w:sz w:val="22"/>
          <w:szCs w:val="22"/>
        </w:rPr>
        <w:t xml:space="preserve">. Participants will gain a coherent understanding of best practice across the K–12 continuum, alongside </w:t>
      </w:r>
      <w:r>
        <w:rPr>
          <w:rFonts w:ascii="Calibri" w:hAnsi="Calibri" w:cs="Calibri"/>
          <w:sz w:val="22"/>
          <w:szCs w:val="22"/>
        </w:rPr>
        <w:t>clear</w:t>
      </w:r>
      <w:r w:rsidRPr="008A0E58">
        <w:rPr>
          <w:rFonts w:ascii="Calibri" w:hAnsi="Calibri" w:cs="Calibri"/>
          <w:sz w:val="22"/>
          <w:szCs w:val="22"/>
        </w:rPr>
        <w:t xml:space="preserve"> insights for embedding career learning in ways that support equity, student engagement, wellbeing, and educational outcomes both now and into the future.</w:t>
      </w:r>
    </w:p>
    <w:p w14:paraId="4F7268AD" w14:textId="77777777" w:rsidR="008A0E58" w:rsidRDefault="008A0E58" w:rsidP="0091711D">
      <w:pPr>
        <w:rPr>
          <w:rFonts w:ascii="Calibri" w:hAnsi="Calibri" w:cs="Calibri"/>
          <w:b/>
          <w:bCs/>
          <w:sz w:val="22"/>
          <w:szCs w:val="22"/>
        </w:rPr>
      </w:pPr>
    </w:p>
    <w:p w14:paraId="27CCD82A" w14:textId="77777777" w:rsidR="008A0E58" w:rsidRDefault="008A0E58" w:rsidP="0091711D">
      <w:pPr>
        <w:rPr>
          <w:rFonts w:ascii="Calibri" w:hAnsi="Calibri" w:cs="Calibri"/>
          <w:b/>
          <w:bCs/>
          <w:sz w:val="22"/>
          <w:szCs w:val="22"/>
        </w:rPr>
      </w:pPr>
    </w:p>
    <w:p w14:paraId="6A4F6B15" w14:textId="77777777" w:rsidR="008A0E58" w:rsidRDefault="008A0E58" w:rsidP="0091711D">
      <w:pPr>
        <w:rPr>
          <w:rFonts w:ascii="Calibri" w:hAnsi="Calibri" w:cs="Calibri"/>
          <w:b/>
          <w:bCs/>
          <w:sz w:val="22"/>
          <w:szCs w:val="22"/>
        </w:rPr>
      </w:pPr>
    </w:p>
    <w:p w14:paraId="56D82201" w14:textId="00AF2731" w:rsidR="0091711D" w:rsidRPr="00E90E92" w:rsidRDefault="0091711D" w:rsidP="0091711D"/>
    <w:sectPr w:rsidR="0091711D" w:rsidRPr="00E90E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3B9"/>
    <w:multiLevelType w:val="hybridMultilevel"/>
    <w:tmpl w:val="C4DA5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8E7ECD"/>
    <w:multiLevelType w:val="multilevel"/>
    <w:tmpl w:val="9EEA0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A17C2"/>
    <w:multiLevelType w:val="hybridMultilevel"/>
    <w:tmpl w:val="E4F4ED9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967BE4"/>
    <w:multiLevelType w:val="multilevel"/>
    <w:tmpl w:val="4886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3A55A1"/>
    <w:multiLevelType w:val="multilevel"/>
    <w:tmpl w:val="A29CC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BE5457"/>
    <w:multiLevelType w:val="hybridMultilevel"/>
    <w:tmpl w:val="E4F4ED90"/>
    <w:lvl w:ilvl="0" w:tplc="65B2B4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B00D5F"/>
    <w:multiLevelType w:val="hybridMultilevel"/>
    <w:tmpl w:val="8026A2AC"/>
    <w:lvl w:ilvl="0" w:tplc="E6FE54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5476361">
    <w:abstractNumId w:val="1"/>
  </w:num>
  <w:num w:numId="2" w16cid:durableId="439375168">
    <w:abstractNumId w:val="4"/>
  </w:num>
  <w:num w:numId="3" w16cid:durableId="171531933">
    <w:abstractNumId w:val="3"/>
  </w:num>
  <w:num w:numId="4" w16cid:durableId="885216494">
    <w:abstractNumId w:val="6"/>
  </w:num>
  <w:num w:numId="5" w16cid:durableId="817497529">
    <w:abstractNumId w:val="5"/>
  </w:num>
  <w:num w:numId="6" w16cid:durableId="283848326">
    <w:abstractNumId w:val="2"/>
  </w:num>
  <w:num w:numId="7" w16cid:durableId="1504511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FCF"/>
    <w:rsid w:val="000149D8"/>
    <w:rsid w:val="0016020A"/>
    <w:rsid w:val="00193365"/>
    <w:rsid w:val="001F7318"/>
    <w:rsid w:val="00507EDB"/>
    <w:rsid w:val="0050F685"/>
    <w:rsid w:val="00524948"/>
    <w:rsid w:val="00536FD3"/>
    <w:rsid w:val="005E2FCF"/>
    <w:rsid w:val="006B5DF1"/>
    <w:rsid w:val="007A5112"/>
    <w:rsid w:val="008A0E58"/>
    <w:rsid w:val="0091711D"/>
    <w:rsid w:val="00A84DC8"/>
    <w:rsid w:val="00D10147"/>
    <w:rsid w:val="00D96A6B"/>
    <w:rsid w:val="00E36A01"/>
    <w:rsid w:val="00E90E92"/>
    <w:rsid w:val="00EB4E3D"/>
    <w:rsid w:val="00EC5848"/>
    <w:rsid w:val="00F652F8"/>
    <w:rsid w:val="03525891"/>
    <w:rsid w:val="038637DB"/>
    <w:rsid w:val="04C04E2C"/>
    <w:rsid w:val="05CB1BEE"/>
    <w:rsid w:val="06270E03"/>
    <w:rsid w:val="0904017C"/>
    <w:rsid w:val="097E1622"/>
    <w:rsid w:val="09A9A4D7"/>
    <w:rsid w:val="0A9856BC"/>
    <w:rsid w:val="0ADB8BB8"/>
    <w:rsid w:val="0CD859BE"/>
    <w:rsid w:val="0E01BC65"/>
    <w:rsid w:val="0EEB1717"/>
    <w:rsid w:val="105BDE57"/>
    <w:rsid w:val="113C2A8E"/>
    <w:rsid w:val="11B57A5E"/>
    <w:rsid w:val="12406082"/>
    <w:rsid w:val="1298DF8C"/>
    <w:rsid w:val="12A4812B"/>
    <w:rsid w:val="1484BC93"/>
    <w:rsid w:val="15437524"/>
    <w:rsid w:val="15942299"/>
    <w:rsid w:val="17CE1376"/>
    <w:rsid w:val="18590AAD"/>
    <w:rsid w:val="188F4BD9"/>
    <w:rsid w:val="189012FF"/>
    <w:rsid w:val="1BD97B19"/>
    <w:rsid w:val="1C873D1B"/>
    <w:rsid w:val="1CBD9B46"/>
    <w:rsid w:val="1CBE14A0"/>
    <w:rsid w:val="1CC1AC8E"/>
    <w:rsid w:val="21ED359C"/>
    <w:rsid w:val="227D3B50"/>
    <w:rsid w:val="236AAD6F"/>
    <w:rsid w:val="265DA08D"/>
    <w:rsid w:val="268781B4"/>
    <w:rsid w:val="26B10F86"/>
    <w:rsid w:val="28EBE2C0"/>
    <w:rsid w:val="2986FC36"/>
    <w:rsid w:val="2B0ECEC5"/>
    <w:rsid w:val="2C723405"/>
    <w:rsid w:val="2CD9966C"/>
    <w:rsid w:val="2CF9F517"/>
    <w:rsid w:val="2E996737"/>
    <w:rsid w:val="2EE0C3A3"/>
    <w:rsid w:val="2F45A686"/>
    <w:rsid w:val="30633BA0"/>
    <w:rsid w:val="30B14606"/>
    <w:rsid w:val="30EF4A01"/>
    <w:rsid w:val="31B78039"/>
    <w:rsid w:val="31F82E9B"/>
    <w:rsid w:val="31FD0201"/>
    <w:rsid w:val="337DCD9F"/>
    <w:rsid w:val="3453C30F"/>
    <w:rsid w:val="35231B36"/>
    <w:rsid w:val="3555FCE2"/>
    <w:rsid w:val="365A4B5C"/>
    <w:rsid w:val="365F3A29"/>
    <w:rsid w:val="36F0AC98"/>
    <w:rsid w:val="37733BD3"/>
    <w:rsid w:val="38DA6C0D"/>
    <w:rsid w:val="3C3F458A"/>
    <w:rsid w:val="3CCA2EFA"/>
    <w:rsid w:val="3CEF3EB3"/>
    <w:rsid w:val="3D4FD975"/>
    <w:rsid w:val="3DE18C62"/>
    <w:rsid w:val="3E7D4241"/>
    <w:rsid w:val="3EC136F8"/>
    <w:rsid w:val="40689018"/>
    <w:rsid w:val="414AA810"/>
    <w:rsid w:val="42028DE6"/>
    <w:rsid w:val="4328D948"/>
    <w:rsid w:val="44F65C33"/>
    <w:rsid w:val="46ADB986"/>
    <w:rsid w:val="47AC6383"/>
    <w:rsid w:val="4848B1E4"/>
    <w:rsid w:val="4B1CE71E"/>
    <w:rsid w:val="4BBD28B2"/>
    <w:rsid w:val="4BEC7541"/>
    <w:rsid w:val="4C50331F"/>
    <w:rsid w:val="4C6260DF"/>
    <w:rsid w:val="4CFFE810"/>
    <w:rsid w:val="4DBADF1E"/>
    <w:rsid w:val="51A20BEB"/>
    <w:rsid w:val="5401BA78"/>
    <w:rsid w:val="54E90900"/>
    <w:rsid w:val="559B796D"/>
    <w:rsid w:val="5682EDD9"/>
    <w:rsid w:val="57D349F2"/>
    <w:rsid w:val="58D9CD03"/>
    <w:rsid w:val="5B887581"/>
    <w:rsid w:val="5C2D925B"/>
    <w:rsid w:val="5F031634"/>
    <w:rsid w:val="5F1C19B8"/>
    <w:rsid w:val="5F3EDF2F"/>
    <w:rsid w:val="5F5447E8"/>
    <w:rsid w:val="5FAA0502"/>
    <w:rsid w:val="63FFCBEF"/>
    <w:rsid w:val="6465F00B"/>
    <w:rsid w:val="655A88F0"/>
    <w:rsid w:val="660AD7FC"/>
    <w:rsid w:val="6865DC37"/>
    <w:rsid w:val="6A8062A9"/>
    <w:rsid w:val="6AEE7052"/>
    <w:rsid w:val="6B9CCCBD"/>
    <w:rsid w:val="6DB9593F"/>
    <w:rsid w:val="6DCE8CBD"/>
    <w:rsid w:val="6E3C179A"/>
    <w:rsid w:val="6E59DE56"/>
    <w:rsid w:val="6FB05486"/>
    <w:rsid w:val="713024A6"/>
    <w:rsid w:val="719D9C44"/>
    <w:rsid w:val="71C2ECAA"/>
    <w:rsid w:val="725E9605"/>
    <w:rsid w:val="72B306B4"/>
    <w:rsid w:val="7340AB65"/>
    <w:rsid w:val="735CB790"/>
    <w:rsid w:val="73A3CE8F"/>
    <w:rsid w:val="74096EDD"/>
    <w:rsid w:val="748015CA"/>
    <w:rsid w:val="74FF081C"/>
    <w:rsid w:val="7547C84E"/>
    <w:rsid w:val="756042A5"/>
    <w:rsid w:val="75DE6557"/>
    <w:rsid w:val="77BB49F3"/>
    <w:rsid w:val="77D345DE"/>
    <w:rsid w:val="78420C90"/>
    <w:rsid w:val="793B379B"/>
    <w:rsid w:val="79FE4F7F"/>
    <w:rsid w:val="7A029987"/>
    <w:rsid w:val="7AF22634"/>
    <w:rsid w:val="7B335721"/>
    <w:rsid w:val="7B64E6AF"/>
    <w:rsid w:val="7BFBE356"/>
    <w:rsid w:val="7CA17ACD"/>
    <w:rsid w:val="7CA1B1D7"/>
    <w:rsid w:val="7E43E4E6"/>
    <w:rsid w:val="7E9B6C96"/>
    <w:rsid w:val="7EEED22A"/>
    <w:rsid w:val="7F20D142"/>
    <w:rsid w:val="7F29F0D8"/>
    <w:rsid w:val="7FB92A93"/>
    <w:rsid w:val="7FCDEC2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2035"/>
  <w15:chartTrackingRefBased/>
  <w15:docId w15:val="{3A3EA7CA-8837-724F-9887-419AF19E9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E5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E2F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E2F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E2FC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2FC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E2FC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E2FC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2FC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2FC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2FC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2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E2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FCF"/>
    <w:rPr>
      <w:rFonts w:eastAsiaTheme="majorEastAsia" w:cstheme="majorBidi"/>
      <w:color w:val="272727" w:themeColor="text1" w:themeTint="D8"/>
    </w:rPr>
  </w:style>
  <w:style w:type="paragraph" w:styleId="Title">
    <w:name w:val="Title"/>
    <w:basedOn w:val="Normal"/>
    <w:next w:val="Normal"/>
    <w:link w:val="TitleChar"/>
    <w:uiPriority w:val="10"/>
    <w:qFormat/>
    <w:rsid w:val="005E2FC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2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FC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2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FCF"/>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E2FCF"/>
    <w:rPr>
      <w:i/>
      <w:iCs/>
      <w:color w:val="404040" w:themeColor="text1" w:themeTint="BF"/>
    </w:rPr>
  </w:style>
  <w:style w:type="paragraph" w:styleId="ListParagraph">
    <w:name w:val="List Paragraph"/>
    <w:basedOn w:val="Normal"/>
    <w:uiPriority w:val="34"/>
    <w:qFormat/>
    <w:rsid w:val="005E2FCF"/>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5E2FCF"/>
    <w:rPr>
      <w:i/>
      <w:iCs/>
      <w:color w:val="0F4761" w:themeColor="accent1" w:themeShade="BF"/>
    </w:rPr>
  </w:style>
  <w:style w:type="paragraph" w:styleId="IntenseQuote">
    <w:name w:val="Intense Quote"/>
    <w:basedOn w:val="Normal"/>
    <w:next w:val="Normal"/>
    <w:link w:val="IntenseQuoteChar"/>
    <w:uiPriority w:val="30"/>
    <w:qFormat/>
    <w:rsid w:val="005E2F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E2FCF"/>
    <w:rPr>
      <w:i/>
      <w:iCs/>
      <w:color w:val="0F4761" w:themeColor="accent1" w:themeShade="BF"/>
    </w:rPr>
  </w:style>
  <w:style w:type="character" w:styleId="IntenseReference">
    <w:name w:val="Intense Reference"/>
    <w:basedOn w:val="DefaultParagraphFont"/>
    <w:uiPriority w:val="32"/>
    <w:qFormat/>
    <w:rsid w:val="005E2FCF"/>
    <w:rPr>
      <w:b/>
      <w:bCs/>
      <w:smallCaps/>
      <w:color w:val="0F4761" w:themeColor="accent1" w:themeShade="BF"/>
      <w:spacing w:val="5"/>
    </w:rPr>
  </w:style>
  <w:style w:type="paragraph" w:styleId="NormalWeb">
    <w:name w:val="Normal (Web)"/>
    <w:basedOn w:val="Normal"/>
    <w:uiPriority w:val="99"/>
    <w:semiHidden/>
    <w:unhideWhenUsed/>
    <w:rsid w:val="005E2FCF"/>
    <w:pPr>
      <w:spacing w:before="100" w:beforeAutospacing="1" w:after="100" w:afterAutospacing="1"/>
    </w:pPr>
  </w:style>
  <w:style w:type="character" w:styleId="Strong">
    <w:name w:val="Strong"/>
    <w:basedOn w:val="DefaultParagraphFont"/>
    <w:uiPriority w:val="22"/>
    <w:qFormat/>
    <w:rsid w:val="005E2FCF"/>
    <w:rPr>
      <w:b/>
      <w:bCs/>
    </w:rPr>
  </w:style>
  <w:style w:type="character" w:styleId="Emphasis">
    <w:name w:val="Emphasis"/>
    <w:basedOn w:val="DefaultParagraphFont"/>
    <w:uiPriority w:val="20"/>
    <w:qFormat/>
    <w:rsid w:val="005E2FCF"/>
    <w:rPr>
      <w:i/>
      <w:iCs/>
    </w:rPr>
  </w:style>
  <w:style w:type="character" w:styleId="CommentReference">
    <w:name w:val="annotation reference"/>
    <w:basedOn w:val="DefaultParagraphFont"/>
    <w:uiPriority w:val="99"/>
    <w:semiHidden/>
    <w:unhideWhenUsed/>
    <w:rsid w:val="000149D8"/>
    <w:rPr>
      <w:sz w:val="16"/>
      <w:szCs w:val="16"/>
    </w:rPr>
  </w:style>
  <w:style w:type="paragraph" w:styleId="CommentText">
    <w:name w:val="annotation text"/>
    <w:basedOn w:val="Normal"/>
    <w:link w:val="CommentTextChar"/>
    <w:uiPriority w:val="99"/>
    <w:semiHidden/>
    <w:unhideWhenUsed/>
    <w:rsid w:val="000149D8"/>
    <w:pPr>
      <w:spacing w:after="160"/>
    </w:pPr>
    <w:rPr>
      <w:rFonts w:asciiTheme="minorHAnsi" w:eastAsiaTheme="minorEastAsia"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0149D8"/>
    <w:rPr>
      <w:sz w:val="20"/>
      <w:szCs w:val="20"/>
    </w:rPr>
  </w:style>
  <w:style w:type="paragraph" w:styleId="CommentSubject">
    <w:name w:val="annotation subject"/>
    <w:basedOn w:val="CommentText"/>
    <w:next w:val="CommentText"/>
    <w:link w:val="CommentSubjectChar"/>
    <w:uiPriority w:val="99"/>
    <w:semiHidden/>
    <w:unhideWhenUsed/>
    <w:rsid w:val="000149D8"/>
    <w:rPr>
      <w:b/>
      <w:bCs/>
    </w:rPr>
  </w:style>
  <w:style w:type="character" w:customStyle="1" w:styleId="CommentSubjectChar">
    <w:name w:val="Comment Subject Char"/>
    <w:basedOn w:val="CommentTextChar"/>
    <w:link w:val="CommentSubject"/>
    <w:uiPriority w:val="99"/>
    <w:semiHidden/>
    <w:rsid w:val="000149D8"/>
    <w:rPr>
      <w:b/>
      <w:bCs/>
      <w:sz w:val="20"/>
      <w:szCs w:val="20"/>
    </w:rPr>
  </w:style>
  <w:style w:type="character" w:styleId="Hyperlink">
    <w:name w:val="Hyperlink"/>
    <w:basedOn w:val="DefaultParagraphFont"/>
    <w:uiPriority w:val="99"/>
    <w:unhideWhenUsed/>
    <w:rsid w:val="00F652F8"/>
    <w:rPr>
      <w:color w:val="467886" w:themeColor="hyperlink"/>
      <w:u w:val="single"/>
    </w:rPr>
  </w:style>
  <w:style w:type="character" w:styleId="UnresolvedMention">
    <w:name w:val="Unresolved Mention"/>
    <w:basedOn w:val="DefaultParagraphFont"/>
    <w:uiPriority w:val="99"/>
    <w:semiHidden/>
    <w:unhideWhenUsed/>
    <w:rsid w:val="00F65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7C67C35ECC0649A4EDF0BC864415DE" ma:contentTypeVersion="25" ma:contentTypeDescription="Create a new document." ma:contentTypeScope="" ma:versionID="b2fdd32def15d93cb43d6aaa20a3e4b2">
  <xsd:schema xmlns:xsd="http://www.w3.org/2001/XMLSchema" xmlns:xs="http://www.w3.org/2001/XMLSchema" xmlns:p="http://schemas.microsoft.com/office/2006/metadata/properties" xmlns:ns2="571c6936-a552-4745-91db-d232764fa36d" xmlns:ns3="0a649b8b-c009-40cf-a7d3-e72042ad84c4" targetNamespace="http://schemas.microsoft.com/office/2006/metadata/properties" ma:root="true" ma:fieldsID="46ab18d9c6538f066ad20dd6cd9171dc" ns2:_="" ns3:_="">
    <xsd:import namespace="571c6936-a552-4745-91db-d232764fa36d"/>
    <xsd:import namespace="0a649b8b-c009-40cf-a7d3-e72042ad84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3:PrimeConfidenceScore" minOccurs="0"/>
                <xsd:element ref="ns3:PrimeModelURL" minOccurs="0"/>
                <xsd:element ref="ns3:PrimeModelVersion" minOccurs="0"/>
                <xsd:element ref="ns3:PrimeLastClassified" minOccurs="0"/>
                <xsd:element ref="ns3:PrimeCorrectedByUser" minOccurs="0"/>
                <xsd:element ref="ns3:_ModelId"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c6936-a552-4745-91db-d232764fa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cf63abd-ce16-4d93-9397-f9d4244167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649b8b-c009-40cf-a7d3-e72042ad84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PrimeConfidenceScore" ma:index="21" nillable="true" ma:displayName="Confidence Score" ma:decimals="4" ma:internalName="PrimeConfidenceScore" ma:percentage="TRUE">
      <xsd:simpleType>
        <xsd:restriction base="dms:Number"/>
      </xsd:simpleType>
    </xsd:element>
    <xsd:element name="PrimeModelURL" ma:index="22" nillable="true" ma:displayName="Model URL" ma:internalName="PrimeModelURL">
      <xsd:complexType>
        <xsd:complexContent>
          <xsd:extension base="dms:URL">
            <xsd:sequence>
              <xsd:element name="Url" type="dms:ValidUrl" minOccurs="0" nillable="true"/>
              <xsd:element name="Description" type="xsd:string" nillable="true"/>
            </xsd:sequence>
          </xsd:extension>
        </xsd:complexContent>
      </xsd:complexType>
    </xsd:element>
    <xsd:element name="PrimeModelVersion" ma:index="23" nillable="true" ma:displayName="Model Version" ma:internalName="PrimeModelVersion">
      <xsd:simpleType>
        <xsd:restriction base="dms:Text"/>
      </xsd:simpleType>
    </xsd:element>
    <xsd:element name="PrimeLastClassified" ma:index="24" nillable="true" ma:displayName="Classification Date" ma:internalName="PrimeLastClassified">
      <xsd:simpleType>
        <xsd:restriction base="dms:DateTime"/>
      </xsd:simpleType>
    </xsd:element>
    <xsd:element name="PrimeCorrectedByUser" ma:index="25" nillable="true" ma:displayName="Corrected" ma:internalName="PrimeCorrectedByUser">
      <xsd:simpleType>
        <xsd:restriction base="dms:Boolean"/>
      </xsd:simpleType>
    </xsd:element>
    <xsd:element name="_ModelId" ma:index="26" nillable="true" ma:displayName="_ModelId" ma:internalName="_ModelId">
      <xsd:simpleType>
        <xsd:restriction base="dms:Text"/>
      </xsd:simpleType>
    </xsd:element>
    <xsd:element name="TaxCatchAll" ma:index="29" nillable="true" ma:displayName="Taxonomy Catch All Column" ma:hidden="true" ma:list="{501d4fcc-ff1b-4b6c-89d2-8f1a42f5c22e}" ma:internalName="TaxCatchAll" ma:showField="CatchAllData" ma:web="0a649b8b-c009-40cf-a7d3-e72042ad84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ModelId xmlns="0a649b8b-c009-40cf-a7d3-e72042ad84c4" xsi:nil="true"/>
    <lcf76f155ced4ddcb4097134ff3c332f xmlns="571c6936-a552-4745-91db-d232764fa36d">
      <Terms xmlns="http://schemas.microsoft.com/office/infopath/2007/PartnerControls"/>
    </lcf76f155ced4ddcb4097134ff3c332f>
    <PrimeLastClassified xmlns="0a649b8b-c009-40cf-a7d3-e72042ad84c4" xsi:nil="true"/>
    <PrimeCorrectedByUser xmlns="0a649b8b-c009-40cf-a7d3-e72042ad84c4" xsi:nil="true"/>
    <PrimeConfidenceScore xmlns="0a649b8b-c009-40cf-a7d3-e72042ad84c4" xsi:nil="true"/>
    <TaxCatchAll xmlns="0a649b8b-c009-40cf-a7d3-e72042ad84c4" xsi:nil="true"/>
    <PrimeModelVersion xmlns="0a649b8b-c009-40cf-a7d3-e72042ad84c4" xsi:nil="true"/>
    <PrimeModelURL xmlns="0a649b8b-c009-40cf-a7d3-e72042ad84c4">
      <Url xsi:nil="true"/>
      <Description xsi:nil="true"/>
    </PrimeModelURL>
  </documentManagement>
</p:properties>
</file>

<file path=customXml/itemProps1.xml><?xml version="1.0" encoding="utf-8"?>
<ds:datastoreItem xmlns:ds="http://schemas.openxmlformats.org/officeDocument/2006/customXml" ds:itemID="{875FCF8B-7389-4BB4-8964-3F80B261A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c6936-a552-4745-91db-d232764fa36d"/>
    <ds:schemaRef ds:uri="0a649b8b-c009-40cf-a7d3-e72042ad8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DA0469-076E-449C-81D9-9BE1B4527801}">
  <ds:schemaRefs>
    <ds:schemaRef ds:uri="http://schemas.microsoft.com/sharepoint/v3/contenttype/forms"/>
  </ds:schemaRefs>
</ds:datastoreItem>
</file>

<file path=customXml/itemProps3.xml><?xml version="1.0" encoding="utf-8"?>
<ds:datastoreItem xmlns:ds="http://schemas.openxmlformats.org/officeDocument/2006/customXml" ds:itemID="{8CE836B5-AA99-4CCF-A4B5-BFEAC485315F}">
  <ds:schemaRefs>
    <ds:schemaRef ds:uri="http://schemas.microsoft.com/office/2006/metadata/properties"/>
    <ds:schemaRef ds:uri="http://schemas.microsoft.com/office/infopath/2007/PartnerControls"/>
    <ds:schemaRef ds:uri="0a649b8b-c009-40cf-a7d3-e72042ad84c4"/>
    <ds:schemaRef ds:uri="571c6936-a552-4745-91db-d232764fa36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1933</Words>
  <Characters>12145</Characters>
  <Application>Microsoft Office Word</Application>
  <DocSecurity>0</DocSecurity>
  <Lines>379</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Pennie</dc:creator>
  <cp:keywords/>
  <dc:description/>
  <cp:lastModifiedBy>Liv Pennie</cp:lastModifiedBy>
  <cp:revision>2</cp:revision>
  <dcterms:created xsi:type="dcterms:W3CDTF">2026-04-20T10:26:00Z</dcterms:created>
  <dcterms:modified xsi:type="dcterms:W3CDTF">2026-04-20T10:26:00Z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0x010100337C67C35ECC0649A4EDF0BC864415DE</vt:lpwstr>
  </property>
  <property fmtid="{D5CDD505-2E9C-101B-9397-08002B2CF9AE}" pid="3" name="MediaServiceImageTags">
    <vt:lpwstr/>
  </property>
</Properties>
</file>