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71BEA" w14:textId="5ED2AFBB" w:rsidR="00612FE5" w:rsidRDefault="00612FE5" w:rsidP="00E21D39">
      <w:pPr>
        <w:spacing w:line="360" w:lineRule="auto"/>
        <w:jc w:val="both"/>
        <w:rPr>
          <w:rFonts w:ascii="Calibri" w:hAnsi="Calibri" w:cs="Calibri"/>
          <w:b/>
          <w:bCs/>
          <w:sz w:val="22"/>
          <w:szCs w:val="22"/>
        </w:rPr>
      </w:pPr>
      <w:r>
        <w:rPr>
          <w:rFonts w:ascii="Calibri" w:hAnsi="Calibri" w:cs="Calibri"/>
          <w:b/>
          <w:bCs/>
          <w:sz w:val="22"/>
          <w:szCs w:val="22"/>
        </w:rPr>
        <w:t xml:space="preserve">Name: </w:t>
      </w:r>
      <w:r w:rsidRPr="00612FE5">
        <w:rPr>
          <w:rFonts w:ascii="Calibri" w:hAnsi="Calibri" w:cs="Calibri"/>
          <w:sz w:val="22"/>
          <w:szCs w:val="22"/>
        </w:rPr>
        <w:t>Metcalf, Victoria</w:t>
      </w:r>
    </w:p>
    <w:p w14:paraId="41C9428E" w14:textId="4B667D88" w:rsidR="00505F27" w:rsidRPr="00612FE5" w:rsidRDefault="00612FE5" w:rsidP="00E21D39">
      <w:pPr>
        <w:spacing w:line="360" w:lineRule="auto"/>
        <w:jc w:val="both"/>
        <w:rPr>
          <w:rFonts w:ascii="Calibri" w:hAnsi="Calibri" w:cs="Calibri"/>
          <w:b/>
          <w:bCs/>
          <w:sz w:val="22"/>
          <w:szCs w:val="22"/>
        </w:rPr>
      </w:pPr>
      <w:r>
        <w:rPr>
          <w:rFonts w:ascii="Calibri" w:hAnsi="Calibri" w:cs="Calibri"/>
          <w:b/>
          <w:bCs/>
          <w:sz w:val="22"/>
          <w:szCs w:val="22"/>
        </w:rPr>
        <w:t xml:space="preserve">Title; Position: </w:t>
      </w:r>
      <w:r w:rsidRPr="00612FE5">
        <w:rPr>
          <w:rFonts w:ascii="Calibri" w:hAnsi="Calibri" w:cs="Calibri"/>
          <w:sz w:val="22"/>
          <w:szCs w:val="22"/>
        </w:rPr>
        <w:t xml:space="preserve">Dr; </w:t>
      </w:r>
      <w:r w:rsidR="00505F27" w:rsidRPr="00612FE5">
        <w:rPr>
          <w:rFonts w:ascii="Calibri" w:hAnsi="Calibri" w:cs="Calibri"/>
          <w:sz w:val="22"/>
          <w:szCs w:val="22"/>
        </w:rPr>
        <w:t>Principal Advisor</w:t>
      </w:r>
      <w:r w:rsidRPr="00612FE5">
        <w:rPr>
          <w:rFonts w:ascii="Calibri" w:hAnsi="Calibri" w:cs="Calibri"/>
          <w:sz w:val="22"/>
          <w:szCs w:val="22"/>
        </w:rPr>
        <w:t>,</w:t>
      </w:r>
      <w:r w:rsidR="00505F27" w:rsidRPr="00612FE5">
        <w:rPr>
          <w:rFonts w:ascii="Calibri" w:hAnsi="Calibri" w:cs="Calibri"/>
          <w:sz w:val="22"/>
          <w:szCs w:val="22"/>
        </w:rPr>
        <w:t xml:space="preserve"> Careers and System Integration</w:t>
      </w:r>
    </w:p>
    <w:p w14:paraId="610B1069" w14:textId="77777777" w:rsidR="00505F27" w:rsidRPr="00612FE5" w:rsidRDefault="00505F27" w:rsidP="00E21D39">
      <w:pPr>
        <w:spacing w:line="360" w:lineRule="auto"/>
        <w:jc w:val="both"/>
        <w:rPr>
          <w:rFonts w:ascii="Calibri" w:hAnsi="Calibri" w:cs="Calibri"/>
          <w:sz w:val="22"/>
          <w:szCs w:val="22"/>
        </w:rPr>
      </w:pPr>
      <w:r w:rsidRPr="00612FE5">
        <w:rPr>
          <w:rFonts w:ascii="Calibri" w:hAnsi="Calibri" w:cs="Calibri"/>
          <w:b/>
          <w:bCs/>
          <w:sz w:val="22"/>
          <w:szCs w:val="22"/>
        </w:rPr>
        <w:t>Email</w:t>
      </w:r>
      <w:r w:rsidRPr="00612FE5">
        <w:rPr>
          <w:rFonts w:ascii="Calibri" w:hAnsi="Calibri" w:cs="Calibri"/>
          <w:sz w:val="22"/>
          <w:szCs w:val="22"/>
        </w:rPr>
        <w:t xml:space="preserve">: </w:t>
      </w:r>
      <w:hyperlink r:id="rId6" w:history="1">
        <w:r w:rsidRPr="00612FE5">
          <w:rPr>
            <w:rStyle w:val="Hyperlink"/>
            <w:rFonts w:ascii="Calibri" w:hAnsi="Calibri" w:cs="Calibri"/>
            <w:sz w:val="22"/>
            <w:szCs w:val="22"/>
          </w:rPr>
          <w:t>victoria.metcalf@tec.govt.nz</w:t>
        </w:r>
      </w:hyperlink>
      <w:r w:rsidRPr="00612FE5">
        <w:rPr>
          <w:rFonts w:ascii="Calibri" w:hAnsi="Calibri" w:cs="Calibri"/>
          <w:sz w:val="22"/>
          <w:szCs w:val="22"/>
        </w:rPr>
        <w:t xml:space="preserve"> </w:t>
      </w:r>
    </w:p>
    <w:p w14:paraId="00816949" w14:textId="6E143D41" w:rsidR="00505F27" w:rsidRDefault="00612FE5" w:rsidP="00E21D39">
      <w:pPr>
        <w:spacing w:line="360" w:lineRule="auto"/>
        <w:jc w:val="both"/>
        <w:rPr>
          <w:rFonts w:ascii="Calibri" w:hAnsi="Calibri" w:cs="Calibri"/>
          <w:sz w:val="22"/>
          <w:szCs w:val="22"/>
        </w:rPr>
      </w:pPr>
      <w:r w:rsidRPr="00612FE5">
        <w:rPr>
          <w:rFonts w:ascii="Calibri" w:hAnsi="Calibri" w:cs="Calibri"/>
          <w:b/>
          <w:bCs/>
          <w:sz w:val="22"/>
          <w:szCs w:val="22"/>
        </w:rPr>
        <w:t xml:space="preserve">Institution: </w:t>
      </w:r>
      <w:r w:rsidR="00505F27" w:rsidRPr="00612FE5">
        <w:rPr>
          <w:rFonts w:ascii="Calibri" w:hAnsi="Calibri" w:cs="Calibri"/>
          <w:sz w:val="22"/>
          <w:szCs w:val="22"/>
        </w:rPr>
        <w:t xml:space="preserve">Tertiary Education Commission, New Zealand.  </w:t>
      </w:r>
    </w:p>
    <w:p w14:paraId="0846B88F" w14:textId="6428671E" w:rsidR="00612FE5" w:rsidRPr="00612FE5" w:rsidRDefault="00612FE5" w:rsidP="00E21D39">
      <w:pPr>
        <w:spacing w:line="360" w:lineRule="auto"/>
        <w:jc w:val="both"/>
        <w:rPr>
          <w:rFonts w:ascii="Calibri" w:hAnsi="Calibri" w:cs="Calibri"/>
          <w:sz w:val="22"/>
          <w:szCs w:val="22"/>
        </w:rPr>
      </w:pPr>
      <w:r w:rsidRPr="00E21D39">
        <w:rPr>
          <w:rFonts w:ascii="Calibri" w:hAnsi="Calibri" w:cs="Calibri"/>
          <w:b/>
          <w:bCs/>
          <w:sz w:val="22"/>
          <w:szCs w:val="22"/>
        </w:rPr>
        <w:t>Presenter:</w:t>
      </w:r>
      <w:r>
        <w:rPr>
          <w:rFonts w:ascii="Calibri" w:hAnsi="Calibri" w:cs="Calibri"/>
          <w:sz w:val="22"/>
          <w:szCs w:val="22"/>
        </w:rPr>
        <w:t xml:space="preserve"> Metcalf, Victoria, Tertiary Education Commission,</w:t>
      </w:r>
      <w:r w:rsidR="00E21D39">
        <w:rPr>
          <w:rFonts w:ascii="Calibri" w:hAnsi="Calibri" w:cs="Calibri"/>
          <w:sz w:val="22"/>
          <w:szCs w:val="22"/>
        </w:rPr>
        <w:t xml:space="preserve"> Dr, </w:t>
      </w:r>
      <w:r w:rsidR="00E21D39" w:rsidRPr="00612FE5">
        <w:rPr>
          <w:rFonts w:ascii="Calibri" w:hAnsi="Calibri" w:cs="Calibri"/>
          <w:sz w:val="22"/>
          <w:szCs w:val="22"/>
        </w:rPr>
        <w:t>Principal Advisor, Careers and System Integration</w:t>
      </w:r>
    </w:p>
    <w:p w14:paraId="7FB0C086" w14:textId="21054EF9" w:rsidR="00505F27" w:rsidRPr="00612FE5" w:rsidRDefault="00505F27" w:rsidP="00E21D39">
      <w:pPr>
        <w:spacing w:line="360" w:lineRule="auto"/>
        <w:jc w:val="both"/>
        <w:rPr>
          <w:rFonts w:ascii="Calibri" w:hAnsi="Calibri" w:cs="Calibri"/>
          <w:bCs/>
          <w:sz w:val="22"/>
          <w:szCs w:val="22"/>
        </w:rPr>
      </w:pPr>
      <w:r w:rsidRPr="00612FE5">
        <w:rPr>
          <w:rFonts w:ascii="Calibri" w:hAnsi="Calibri" w:cs="Calibri"/>
          <w:b/>
          <w:sz w:val="22"/>
          <w:szCs w:val="22"/>
        </w:rPr>
        <w:t xml:space="preserve">Title: </w:t>
      </w:r>
      <w:r w:rsidR="003E365E">
        <w:rPr>
          <w:rFonts w:ascii="Calibri" w:hAnsi="Calibri" w:cs="Calibri"/>
          <w:bCs/>
          <w:sz w:val="22"/>
          <w:szCs w:val="22"/>
        </w:rPr>
        <w:t>A</w:t>
      </w:r>
      <w:r w:rsidRPr="00612FE5">
        <w:rPr>
          <w:rFonts w:ascii="Calibri" w:hAnsi="Calibri" w:cs="Calibri"/>
          <w:bCs/>
          <w:sz w:val="22"/>
          <w:szCs w:val="22"/>
        </w:rPr>
        <w:t xml:space="preserve">ccess and activation: understanding the </w:t>
      </w:r>
      <w:r w:rsidR="003E365E">
        <w:rPr>
          <w:rFonts w:ascii="Calibri" w:hAnsi="Calibri" w:cs="Calibri"/>
          <w:bCs/>
          <w:sz w:val="22"/>
          <w:szCs w:val="22"/>
        </w:rPr>
        <w:t xml:space="preserve">career support </w:t>
      </w:r>
      <w:r w:rsidRPr="00612FE5">
        <w:rPr>
          <w:rFonts w:ascii="Calibri" w:hAnsi="Calibri" w:cs="Calibri"/>
          <w:bCs/>
          <w:sz w:val="22"/>
          <w:szCs w:val="22"/>
        </w:rPr>
        <w:t xml:space="preserve">needs of low-paid workers </w:t>
      </w:r>
    </w:p>
    <w:p w14:paraId="3AD6DEED" w14:textId="598E1EAD" w:rsidR="00505F27" w:rsidRPr="00612FE5" w:rsidRDefault="00505F27" w:rsidP="00E21D39">
      <w:pPr>
        <w:spacing w:line="360" w:lineRule="auto"/>
        <w:jc w:val="both"/>
        <w:rPr>
          <w:rFonts w:ascii="Calibri" w:hAnsi="Calibri" w:cs="Calibri"/>
          <w:sz w:val="22"/>
          <w:szCs w:val="22"/>
        </w:rPr>
      </w:pPr>
      <w:r w:rsidRPr="00612FE5">
        <w:rPr>
          <w:rFonts w:ascii="Calibri" w:hAnsi="Calibri" w:cs="Calibri"/>
          <w:b/>
          <w:sz w:val="22"/>
          <w:szCs w:val="22"/>
        </w:rPr>
        <w:t xml:space="preserve">Conference theme: </w:t>
      </w:r>
      <w:r w:rsidRPr="00612FE5">
        <w:rPr>
          <w:rFonts w:ascii="Calibri" w:hAnsi="Calibri" w:cs="Calibri"/>
          <w:sz w:val="22"/>
          <w:szCs w:val="22"/>
        </w:rPr>
        <w:t>Research – Hiwa-</w:t>
      </w:r>
      <w:proofErr w:type="spellStart"/>
      <w:r w:rsidRPr="00612FE5">
        <w:rPr>
          <w:rFonts w:ascii="Calibri" w:hAnsi="Calibri" w:cs="Calibri"/>
          <w:sz w:val="22"/>
          <w:szCs w:val="22"/>
        </w:rPr>
        <w:t>i</w:t>
      </w:r>
      <w:proofErr w:type="spellEnd"/>
      <w:r w:rsidRPr="00612FE5">
        <w:rPr>
          <w:rFonts w:ascii="Calibri" w:hAnsi="Calibri" w:cs="Calibri"/>
          <w:sz w:val="22"/>
          <w:szCs w:val="22"/>
        </w:rPr>
        <w:t>-</w:t>
      </w:r>
      <w:proofErr w:type="spellStart"/>
      <w:r w:rsidRPr="00612FE5">
        <w:rPr>
          <w:rFonts w:ascii="Calibri" w:hAnsi="Calibri" w:cs="Calibri"/>
          <w:sz w:val="22"/>
          <w:szCs w:val="22"/>
        </w:rPr>
        <w:t>te-rangi</w:t>
      </w:r>
      <w:proofErr w:type="spellEnd"/>
    </w:p>
    <w:p w14:paraId="6032EE0E" w14:textId="77777777" w:rsidR="00505F27" w:rsidRPr="00612FE5" w:rsidRDefault="00505F27" w:rsidP="00E21D39">
      <w:pPr>
        <w:spacing w:line="360" w:lineRule="auto"/>
        <w:jc w:val="both"/>
        <w:rPr>
          <w:rFonts w:ascii="Calibri" w:hAnsi="Calibri" w:cs="Calibri"/>
          <w:sz w:val="22"/>
          <w:szCs w:val="22"/>
        </w:rPr>
      </w:pPr>
      <w:r w:rsidRPr="00612FE5">
        <w:rPr>
          <w:rFonts w:ascii="Calibri" w:hAnsi="Calibri" w:cs="Calibri"/>
          <w:b/>
          <w:bCs/>
          <w:sz w:val="22"/>
          <w:szCs w:val="22"/>
        </w:rPr>
        <w:t>Language</w:t>
      </w:r>
      <w:r w:rsidRPr="00612FE5">
        <w:rPr>
          <w:rFonts w:ascii="Calibri" w:hAnsi="Calibri" w:cs="Calibri"/>
          <w:sz w:val="22"/>
          <w:szCs w:val="22"/>
        </w:rPr>
        <w:t>: English</w:t>
      </w:r>
    </w:p>
    <w:p w14:paraId="0235CEC2" w14:textId="77777777" w:rsidR="00885FA5" w:rsidRPr="00885FA5" w:rsidRDefault="00885FA5" w:rsidP="00E21D39">
      <w:pPr>
        <w:spacing w:line="360" w:lineRule="auto"/>
        <w:jc w:val="both"/>
        <w:rPr>
          <w:rFonts w:ascii="Calibri" w:hAnsi="Calibri" w:cs="Calibri"/>
          <w:sz w:val="22"/>
          <w:szCs w:val="22"/>
        </w:rPr>
      </w:pPr>
      <w:r w:rsidRPr="00885FA5">
        <w:rPr>
          <w:rFonts w:ascii="Calibri" w:hAnsi="Calibri" w:cs="Calibri"/>
          <w:sz w:val="22"/>
          <w:szCs w:val="22"/>
        </w:rPr>
        <w:t xml:space="preserve">In 2024, the Tertiary Education Commission (TEC) undertook research with </w:t>
      </w:r>
      <w:proofErr w:type="spellStart"/>
      <w:r w:rsidRPr="00885FA5">
        <w:rPr>
          <w:rFonts w:ascii="Calibri" w:hAnsi="Calibri" w:cs="Calibri"/>
          <w:sz w:val="22"/>
          <w:szCs w:val="22"/>
        </w:rPr>
        <w:t>MartinJenkins</w:t>
      </w:r>
      <w:proofErr w:type="spellEnd"/>
      <w:r w:rsidRPr="00885FA5">
        <w:rPr>
          <w:rFonts w:ascii="Calibri" w:hAnsi="Calibri" w:cs="Calibri"/>
          <w:sz w:val="22"/>
          <w:szCs w:val="22"/>
        </w:rPr>
        <w:t xml:space="preserve"> to understand the career needs of people in low-paid work. Despite comprising around 1.7 million people in Aotearoa New Zealand, this group has minimal contact with government or careers support, is relatively under</w:t>
      </w:r>
      <w:r w:rsidRPr="00885FA5">
        <w:rPr>
          <w:rFonts w:ascii="Calibri" w:hAnsi="Calibri" w:cs="Calibri"/>
          <w:sz w:val="22"/>
          <w:szCs w:val="22"/>
        </w:rPr>
        <w:noBreakHyphen/>
        <w:t>researched, and could benefit from more tailored career guidance.</w:t>
      </w:r>
    </w:p>
    <w:p w14:paraId="52E64738" w14:textId="77777777" w:rsidR="00885FA5" w:rsidRPr="00612FE5" w:rsidRDefault="00885FA5" w:rsidP="00E21D39">
      <w:pPr>
        <w:spacing w:line="360" w:lineRule="auto"/>
        <w:jc w:val="both"/>
        <w:rPr>
          <w:rFonts w:ascii="Calibri" w:hAnsi="Calibri" w:cs="Calibri"/>
          <w:sz w:val="22"/>
          <w:szCs w:val="22"/>
        </w:rPr>
      </w:pPr>
      <w:r w:rsidRPr="00885FA5">
        <w:rPr>
          <w:rFonts w:ascii="Calibri" w:hAnsi="Calibri" w:cs="Calibri"/>
          <w:sz w:val="22"/>
          <w:szCs w:val="22"/>
        </w:rPr>
        <w:t xml:space="preserve">The research was conducted in two phases. An initial overview identified key careers audience groups and selected low-paid workers as the focus. This was followed by qualitative and quantitative research to explore their needs and barriers, guided by the question: </w:t>
      </w:r>
      <w:r w:rsidRPr="00885FA5">
        <w:rPr>
          <w:rFonts w:ascii="Calibri" w:hAnsi="Calibri" w:cs="Calibri"/>
          <w:i/>
          <w:iCs/>
          <w:sz w:val="22"/>
          <w:szCs w:val="22"/>
        </w:rPr>
        <w:t>What are the barriers and enablers to accessing and activating career advice for people in low-paid work in Aotearoa New Zealand?</w:t>
      </w:r>
      <w:r w:rsidRPr="00885FA5">
        <w:rPr>
          <w:rFonts w:ascii="Calibri" w:hAnsi="Calibri" w:cs="Calibri"/>
          <w:sz w:val="22"/>
          <w:szCs w:val="22"/>
        </w:rPr>
        <w:t xml:space="preserve"> </w:t>
      </w:r>
    </w:p>
    <w:p w14:paraId="65499C67" w14:textId="4BA8887F" w:rsidR="00885FA5" w:rsidRPr="00885FA5" w:rsidRDefault="00885FA5" w:rsidP="00E21D39">
      <w:pPr>
        <w:spacing w:line="360" w:lineRule="auto"/>
        <w:jc w:val="both"/>
        <w:rPr>
          <w:rFonts w:ascii="Calibri" w:hAnsi="Calibri" w:cs="Calibri"/>
          <w:sz w:val="22"/>
          <w:szCs w:val="22"/>
        </w:rPr>
      </w:pPr>
      <w:r w:rsidRPr="00885FA5">
        <w:rPr>
          <w:rFonts w:ascii="Calibri" w:hAnsi="Calibri" w:cs="Calibri"/>
          <w:sz w:val="22"/>
          <w:szCs w:val="22"/>
        </w:rPr>
        <w:t>An online survey (1,037 responses), interviews with 30 respondents and seven careers professionals, and two focus groups</w:t>
      </w:r>
      <w:r w:rsidRPr="00612FE5">
        <w:rPr>
          <w:rFonts w:ascii="Calibri" w:hAnsi="Calibri" w:cs="Calibri"/>
          <w:sz w:val="22"/>
          <w:szCs w:val="22"/>
        </w:rPr>
        <w:t xml:space="preserve">, one </w:t>
      </w:r>
      <w:r w:rsidRPr="00885FA5">
        <w:rPr>
          <w:rFonts w:ascii="Calibri" w:hAnsi="Calibri" w:cs="Calibri"/>
          <w:sz w:val="22"/>
          <w:szCs w:val="22"/>
        </w:rPr>
        <w:t xml:space="preserve">with low-paid young Māori and </w:t>
      </w:r>
      <w:r w:rsidRPr="00612FE5">
        <w:rPr>
          <w:rFonts w:ascii="Calibri" w:hAnsi="Calibri" w:cs="Calibri"/>
          <w:sz w:val="22"/>
          <w:szCs w:val="22"/>
        </w:rPr>
        <w:t>with the other with ‘</w:t>
      </w:r>
      <w:r w:rsidRPr="00885FA5">
        <w:rPr>
          <w:rFonts w:ascii="Calibri" w:hAnsi="Calibri" w:cs="Calibri"/>
          <w:sz w:val="22"/>
          <w:szCs w:val="22"/>
        </w:rPr>
        <w:t>life navigators</w:t>
      </w:r>
      <w:r w:rsidRPr="00612FE5">
        <w:rPr>
          <w:rFonts w:ascii="Calibri" w:hAnsi="Calibri" w:cs="Calibri"/>
          <w:sz w:val="22"/>
          <w:szCs w:val="22"/>
        </w:rPr>
        <w:t>’</w:t>
      </w:r>
      <w:r w:rsidRPr="00885FA5">
        <w:rPr>
          <w:rFonts w:ascii="Calibri" w:hAnsi="Calibri" w:cs="Calibri"/>
          <w:sz w:val="22"/>
          <w:szCs w:val="22"/>
        </w:rPr>
        <w:t xml:space="preserve"> and career practitioners provided </w:t>
      </w:r>
      <w:r w:rsidRPr="00612FE5">
        <w:rPr>
          <w:rFonts w:ascii="Calibri" w:hAnsi="Calibri" w:cs="Calibri"/>
          <w:sz w:val="22"/>
          <w:szCs w:val="22"/>
        </w:rPr>
        <w:t xml:space="preserve">additional </w:t>
      </w:r>
      <w:r w:rsidRPr="00885FA5">
        <w:rPr>
          <w:rFonts w:ascii="Calibri" w:hAnsi="Calibri" w:cs="Calibri"/>
          <w:sz w:val="22"/>
          <w:szCs w:val="22"/>
        </w:rPr>
        <w:t>depth and context.</w:t>
      </w:r>
    </w:p>
    <w:p w14:paraId="5401FC09" w14:textId="34E6113E" w:rsidR="00885FA5" w:rsidRPr="00885FA5" w:rsidRDefault="00885FA5" w:rsidP="00E21D39">
      <w:pPr>
        <w:spacing w:line="360" w:lineRule="auto"/>
        <w:jc w:val="both"/>
        <w:rPr>
          <w:rFonts w:ascii="Calibri" w:hAnsi="Calibri" w:cs="Calibri"/>
          <w:sz w:val="22"/>
          <w:szCs w:val="22"/>
        </w:rPr>
      </w:pPr>
      <w:r w:rsidRPr="00885FA5">
        <w:rPr>
          <w:rFonts w:ascii="Calibri" w:hAnsi="Calibri" w:cs="Calibri"/>
          <w:sz w:val="22"/>
          <w:szCs w:val="22"/>
        </w:rPr>
        <w:t xml:space="preserve">Low-paid workers are demographically and geographically diverse, reflecting the wider population. They work across multiple industries, have varied qualification levels, and for 64% their job is their primary activity. While they have diverse career needs, some common themes emerged. </w:t>
      </w:r>
      <w:r w:rsidRPr="00612FE5">
        <w:rPr>
          <w:rFonts w:ascii="Calibri" w:hAnsi="Calibri" w:cs="Calibri"/>
          <w:sz w:val="22"/>
          <w:szCs w:val="22"/>
        </w:rPr>
        <w:t>Most</w:t>
      </w:r>
      <w:r w:rsidRPr="00885FA5">
        <w:rPr>
          <w:rFonts w:ascii="Calibri" w:hAnsi="Calibri" w:cs="Calibri"/>
          <w:sz w:val="22"/>
          <w:szCs w:val="22"/>
        </w:rPr>
        <w:t xml:space="preserve"> are satisfied with their work and life overall, intentionally fitting work around their lives rather than prioritising advancement. They often have limited understanding of what career support is or how it might be relevant to them.</w:t>
      </w:r>
    </w:p>
    <w:p w14:paraId="6F909AF9" w14:textId="77777777" w:rsidR="00B11203" w:rsidRPr="00612FE5" w:rsidRDefault="00B11203" w:rsidP="00E21D39">
      <w:pPr>
        <w:spacing w:line="360" w:lineRule="auto"/>
        <w:jc w:val="both"/>
        <w:rPr>
          <w:rFonts w:ascii="Calibri" w:hAnsi="Calibri" w:cs="Calibri"/>
          <w:sz w:val="22"/>
          <w:szCs w:val="22"/>
        </w:rPr>
      </w:pPr>
      <w:r w:rsidRPr="00612FE5">
        <w:rPr>
          <w:rFonts w:ascii="Calibri" w:hAnsi="Calibri" w:cs="Calibri"/>
          <w:sz w:val="22"/>
          <w:szCs w:val="22"/>
        </w:rPr>
        <w:t xml:space="preserve">They </w:t>
      </w:r>
      <w:r w:rsidRPr="00612FE5">
        <w:rPr>
          <w:rFonts w:ascii="Calibri" w:hAnsi="Calibri" w:cs="Calibri"/>
          <w:sz w:val="22"/>
          <w:szCs w:val="22"/>
        </w:rPr>
        <w:t xml:space="preserve">prioritise </w:t>
      </w:r>
      <w:r w:rsidRPr="00612FE5">
        <w:rPr>
          <w:rFonts w:ascii="Calibri" w:hAnsi="Calibri" w:cs="Calibri"/>
          <w:sz w:val="22"/>
          <w:szCs w:val="22"/>
        </w:rPr>
        <w:t xml:space="preserve">(80%) </w:t>
      </w:r>
      <w:r w:rsidRPr="00612FE5">
        <w:rPr>
          <w:rFonts w:ascii="Calibri" w:hAnsi="Calibri" w:cs="Calibri"/>
          <w:sz w:val="22"/>
          <w:szCs w:val="22"/>
        </w:rPr>
        <w:t>wellbeing of their whānau</w:t>
      </w:r>
      <w:r w:rsidRPr="00612FE5">
        <w:rPr>
          <w:rFonts w:ascii="Calibri" w:hAnsi="Calibri" w:cs="Calibri"/>
          <w:sz w:val="22"/>
          <w:szCs w:val="22"/>
        </w:rPr>
        <w:t xml:space="preserve"> (family)</w:t>
      </w:r>
      <w:r w:rsidRPr="00612FE5">
        <w:rPr>
          <w:rFonts w:ascii="Calibri" w:hAnsi="Calibri" w:cs="Calibri"/>
          <w:sz w:val="22"/>
          <w:szCs w:val="22"/>
        </w:rPr>
        <w:t xml:space="preserve"> and time with </w:t>
      </w:r>
      <w:r w:rsidRPr="00612FE5">
        <w:rPr>
          <w:rFonts w:ascii="Calibri" w:hAnsi="Calibri" w:cs="Calibri"/>
          <w:sz w:val="22"/>
          <w:szCs w:val="22"/>
        </w:rPr>
        <w:t>them</w:t>
      </w:r>
      <w:r w:rsidRPr="00612FE5">
        <w:rPr>
          <w:rFonts w:ascii="Calibri" w:hAnsi="Calibri" w:cs="Calibri"/>
          <w:sz w:val="22"/>
          <w:szCs w:val="22"/>
        </w:rPr>
        <w:t xml:space="preserve"> (social responsibilities) </w:t>
      </w:r>
      <w:r w:rsidR="00885FA5" w:rsidRPr="00885FA5">
        <w:rPr>
          <w:rFonts w:ascii="Calibri" w:hAnsi="Calibri" w:cs="Calibri"/>
          <w:sz w:val="22"/>
          <w:szCs w:val="22"/>
        </w:rPr>
        <w:t>alongside financial security (90%). Time and energy constraints can limit forward planning, although most value independence in decision</w:t>
      </w:r>
      <w:r w:rsidR="00885FA5" w:rsidRPr="00885FA5">
        <w:rPr>
          <w:rFonts w:ascii="Calibri" w:hAnsi="Calibri" w:cs="Calibri"/>
          <w:sz w:val="22"/>
          <w:szCs w:val="22"/>
        </w:rPr>
        <w:noBreakHyphen/>
        <w:t>making</w:t>
      </w:r>
      <w:r w:rsidRPr="00612FE5">
        <w:rPr>
          <w:rFonts w:ascii="Calibri" w:hAnsi="Calibri" w:cs="Calibri"/>
          <w:sz w:val="22"/>
          <w:szCs w:val="22"/>
        </w:rPr>
        <w:t xml:space="preserve"> about work</w:t>
      </w:r>
      <w:r w:rsidR="00885FA5" w:rsidRPr="00885FA5">
        <w:rPr>
          <w:rFonts w:ascii="Calibri" w:hAnsi="Calibri" w:cs="Calibri"/>
          <w:sz w:val="22"/>
          <w:szCs w:val="22"/>
        </w:rPr>
        <w:t xml:space="preserve"> (94%) and are curious and keen to learn (85%). </w:t>
      </w:r>
    </w:p>
    <w:p w14:paraId="6B2EC3FA" w14:textId="3A2947AC" w:rsidR="00885FA5" w:rsidRPr="00885FA5" w:rsidRDefault="00B11203" w:rsidP="00E21D39">
      <w:pPr>
        <w:spacing w:line="360" w:lineRule="auto"/>
        <w:jc w:val="both"/>
        <w:rPr>
          <w:rFonts w:ascii="Calibri" w:hAnsi="Calibri" w:cs="Calibri"/>
          <w:sz w:val="22"/>
          <w:szCs w:val="22"/>
        </w:rPr>
      </w:pPr>
      <w:r w:rsidRPr="00612FE5">
        <w:rPr>
          <w:rFonts w:ascii="Calibri" w:hAnsi="Calibri" w:cs="Calibri"/>
          <w:sz w:val="22"/>
          <w:szCs w:val="22"/>
        </w:rPr>
        <w:lastRenderedPageBreak/>
        <w:t>Whilst they may not see the importance of career support for themselves, they often support friends and family. Informal channels are their main source of career advice</w:t>
      </w:r>
      <w:r w:rsidR="00885FA5" w:rsidRPr="00885FA5">
        <w:rPr>
          <w:rFonts w:ascii="Calibri" w:hAnsi="Calibri" w:cs="Calibri"/>
          <w:sz w:val="22"/>
          <w:szCs w:val="22"/>
        </w:rPr>
        <w:t xml:space="preserve">, and </w:t>
      </w:r>
      <w:r w:rsidR="00C65256" w:rsidRPr="00612FE5">
        <w:rPr>
          <w:rFonts w:ascii="Calibri" w:hAnsi="Calibri" w:cs="Calibri"/>
          <w:sz w:val="22"/>
          <w:szCs w:val="22"/>
        </w:rPr>
        <w:t xml:space="preserve">with </w:t>
      </w:r>
      <w:r w:rsidR="00885FA5" w:rsidRPr="00885FA5">
        <w:rPr>
          <w:rFonts w:ascii="Calibri" w:hAnsi="Calibri" w:cs="Calibri"/>
          <w:sz w:val="22"/>
          <w:szCs w:val="22"/>
        </w:rPr>
        <w:t xml:space="preserve">many are not actively seeking change, </w:t>
      </w:r>
      <w:r w:rsidR="00C65256" w:rsidRPr="00612FE5">
        <w:rPr>
          <w:rFonts w:ascii="Calibri" w:hAnsi="Calibri" w:cs="Calibri"/>
          <w:sz w:val="22"/>
          <w:szCs w:val="22"/>
        </w:rPr>
        <w:t>this makes</w:t>
      </w:r>
      <w:r w:rsidR="00885FA5" w:rsidRPr="00885FA5">
        <w:rPr>
          <w:rFonts w:ascii="Calibri" w:hAnsi="Calibri" w:cs="Calibri"/>
          <w:sz w:val="22"/>
          <w:szCs w:val="22"/>
        </w:rPr>
        <w:t xml:space="preserve"> them harder to reach through traditional career support models</w:t>
      </w:r>
      <w:r w:rsidR="00C65256" w:rsidRPr="00612FE5">
        <w:rPr>
          <w:rFonts w:ascii="Calibri" w:hAnsi="Calibri" w:cs="Calibri"/>
          <w:sz w:val="22"/>
          <w:szCs w:val="22"/>
        </w:rPr>
        <w:t>, especially as material resources are often a barrier</w:t>
      </w:r>
      <w:r w:rsidR="00885FA5" w:rsidRPr="00885FA5">
        <w:rPr>
          <w:rFonts w:ascii="Calibri" w:hAnsi="Calibri" w:cs="Calibri"/>
          <w:sz w:val="22"/>
          <w:szCs w:val="22"/>
        </w:rPr>
        <w:t>.</w:t>
      </w:r>
    </w:p>
    <w:p w14:paraId="52EE8BD1" w14:textId="17A4812B" w:rsidR="00A4603A" w:rsidRPr="00612FE5" w:rsidRDefault="00A4603A" w:rsidP="00E21D39">
      <w:pPr>
        <w:spacing w:line="360" w:lineRule="auto"/>
        <w:jc w:val="both"/>
        <w:rPr>
          <w:rFonts w:ascii="Calibri" w:hAnsi="Calibri" w:cs="Calibri"/>
          <w:sz w:val="22"/>
          <w:szCs w:val="22"/>
        </w:rPr>
      </w:pPr>
      <w:r w:rsidRPr="00612FE5">
        <w:rPr>
          <w:rFonts w:ascii="Calibri" w:hAnsi="Calibri" w:cs="Calibri"/>
          <w:sz w:val="22"/>
          <w:szCs w:val="22"/>
        </w:rPr>
        <w:t>To be empowered, individuals need to know the options available and have resources to activate them if they want to.</w:t>
      </w:r>
      <w:r w:rsidRPr="00612FE5">
        <w:rPr>
          <w:rFonts w:ascii="Calibri" w:hAnsi="Calibri" w:cs="Calibri"/>
          <w:sz w:val="22"/>
          <w:szCs w:val="22"/>
        </w:rPr>
        <w:t xml:space="preserve"> </w:t>
      </w:r>
      <w:r w:rsidR="00885FA5" w:rsidRPr="00885FA5">
        <w:rPr>
          <w:rFonts w:ascii="Calibri" w:hAnsi="Calibri" w:cs="Calibri"/>
          <w:sz w:val="22"/>
          <w:szCs w:val="22"/>
        </w:rPr>
        <w:t>The research identified distinct clusters with varying needs for intensity, flexibility, and personalisation of career support.</w:t>
      </w:r>
      <w:r w:rsidRPr="00612FE5">
        <w:rPr>
          <w:rFonts w:ascii="Calibri" w:hAnsi="Calibri" w:cs="Calibri"/>
          <w:sz w:val="22"/>
          <w:szCs w:val="22"/>
        </w:rPr>
        <w:t xml:space="preserve"> </w:t>
      </w:r>
    </w:p>
    <w:p w14:paraId="226528D4" w14:textId="21809A09" w:rsidR="00F71868" w:rsidRPr="00612FE5" w:rsidRDefault="00885FA5" w:rsidP="00E21D39">
      <w:pPr>
        <w:spacing w:line="360" w:lineRule="auto"/>
        <w:jc w:val="both"/>
        <w:rPr>
          <w:rFonts w:ascii="Calibri" w:hAnsi="Calibri" w:cs="Calibri"/>
          <w:sz w:val="22"/>
          <w:szCs w:val="22"/>
        </w:rPr>
      </w:pPr>
      <w:r w:rsidRPr="00885FA5">
        <w:rPr>
          <w:rFonts w:ascii="Calibri" w:hAnsi="Calibri" w:cs="Calibri"/>
          <w:sz w:val="22"/>
          <w:szCs w:val="22"/>
        </w:rPr>
        <w:t xml:space="preserve"> For career professionals</w:t>
      </w:r>
      <w:r w:rsidR="00C65256" w:rsidRPr="00612FE5">
        <w:rPr>
          <w:rFonts w:ascii="Calibri" w:hAnsi="Calibri" w:cs="Calibri"/>
          <w:sz w:val="22"/>
          <w:szCs w:val="22"/>
        </w:rPr>
        <w:t xml:space="preserve">, </w:t>
      </w:r>
      <w:r w:rsidRPr="00885FA5">
        <w:rPr>
          <w:rFonts w:ascii="Calibri" w:hAnsi="Calibri" w:cs="Calibri"/>
          <w:sz w:val="22"/>
          <w:szCs w:val="22"/>
        </w:rPr>
        <w:t>policymakers,</w:t>
      </w:r>
      <w:r w:rsidR="00C65256" w:rsidRPr="00612FE5">
        <w:rPr>
          <w:rFonts w:ascii="Calibri" w:hAnsi="Calibri" w:cs="Calibri"/>
          <w:sz w:val="22"/>
          <w:szCs w:val="22"/>
        </w:rPr>
        <w:t xml:space="preserve"> and others,</w:t>
      </w:r>
      <w:r w:rsidRPr="00885FA5">
        <w:rPr>
          <w:rFonts w:ascii="Calibri" w:hAnsi="Calibri" w:cs="Calibri"/>
          <w:sz w:val="22"/>
          <w:szCs w:val="22"/>
        </w:rPr>
        <w:t xml:space="preserve"> building awareness of career support—its benefits, relevance, and accessibility—is critical, while avoiding assumptions about aspirations or desire for change</w:t>
      </w:r>
      <w:r w:rsidR="00A4603A" w:rsidRPr="00612FE5">
        <w:rPr>
          <w:rFonts w:ascii="Calibri" w:hAnsi="Calibri" w:cs="Calibri"/>
          <w:sz w:val="22"/>
          <w:szCs w:val="22"/>
        </w:rPr>
        <w:t xml:space="preserve"> for low-paid workers</w:t>
      </w:r>
      <w:r w:rsidRPr="00885FA5">
        <w:rPr>
          <w:rFonts w:ascii="Calibri" w:hAnsi="Calibri" w:cs="Calibri"/>
          <w:sz w:val="22"/>
          <w:szCs w:val="22"/>
        </w:rPr>
        <w:t>. Language focused on “careers”, “ambition”, or “improvement” does not resonate; messaging aligned to non</w:t>
      </w:r>
      <w:r w:rsidRPr="00885FA5">
        <w:rPr>
          <w:rFonts w:ascii="Calibri" w:hAnsi="Calibri" w:cs="Calibri"/>
          <w:sz w:val="22"/>
          <w:szCs w:val="22"/>
        </w:rPr>
        <w:noBreakHyphen/>
        <w:t xml:space="preserve">work goals, resilience, future preparedness, and supporting friends and family is more effective. </w:t>
      </w:r>
      <w:r w:rsidR="0074013C" w:rsidRPr="00612FE5">
        <w:rPr>
          <w:rFonts w:ascii="Calibri" w:hAnsi="Calibri" w:cs="Calibri"/>
          <w:sz w:val="22"/>
          <w:szCs w:val="22"/>
        </w:rPr>
        <w:t>Working with employers to help identify</w:t>
      </w:r>
      <w:r w:rsidR="0074013C" w:rsidRPr="00612FE5">
        <w:rPr>
          <w:rFonts w:ascii="Calibri" w:hAnsi="Calibri" w:cs="Calibri"/>
          <w:sz w:val="22"/>
          <w:szCs w:val="22"/>
        </w:rPr>
        <w:t xml:space="preserve"> </w:t>
      </w:r>
      <w:r w:rsidR="0074013C" w:rsidRPr="00612FE5">
        <w:rPr>
          <w:rFonts w:ascii="Calibri" w:hAnsi="Calibri" w:cs="Calibri"/>
          <w:sz w:val="22"/>
          <w:szCs w:val="22"/>
        </w:rPr>
        <w:t xml:space="preserve">transferable skills </w:t>
      </w:r>
      <w:r w:rsidR="0074013C" w:rsidRPr="00612FE5">
        <w:rPr>
          <w:rFonts w:ascii="Calibri" w:hAnsi="Calibri" w:cs="Calibri"/>
          <w:sz w:val="22"/>
          <w:szCs w:val="22"/>
        </w:rPr>
        <w:t xml:space="preserve">of low-paid workers </w:t>
      </w:r>
      <w:r w:rsidR="0074013C" w:rsidRPr="00612FE5">
        <w:rPr>
          <w:rFonts w:ascii="Calibri" w:hAnsi="Calibri" w:cs="Calibri"/>
          <w:sz w:val="22"/>
          <w:szCs w:val="22"/>
        </w:rPr>
        <w:t xml:space="preserve">will likely </w:t>
      </w:r>
      <w:r w:rsidR="0074013C" w:rsidRPr="00612FE5">
        <w:rPr>
          <w:rFonts w:ascii="Calibri" w:hAnsi="Calibri" w:cs="Calibri"/>
          <w:sz w:val="22"/>
          <w:szCs w:val="22"/>
        </w:rPr>
        <w:t xml:space="preserve">also </w:t>
      </w:r>
      <w:r w:rsidR="0074013C" w:rsidRPr="00612FE5">
        <w:rPr>
          <w:rFonts w:ascii="Calibri" w:hAnsi="Calibri" w:cs="Calibri"/>
          <w:sz w:val="22"/>
          <w:szCs w:val="22"/>
        </w:rPr>
        <w:t xml:space="preserve">be beneficial. </w:t>
      </w:r>
      <w:r w:rsidRPr="00885FA5">
        <w:rPr>
          <w:rFonts w:ascii="Calibri" w:hAnsi="Calibri" w:cs="Calibri"/>
          <w:sz w:val="22"/>
          <w:szCs w:val="22"/>
        </w:rPr>
        <w:t xml:space="preserve">This research will inform how TEC, including through </w:t>
      </w:r>
      <w:proofErr w:type="spellStart"/>
      <w:r w:rsidRPr="00885FA5">
        <w:rPr>
          <w:rFonts w:ascii="Calibri" w:hAnsi="Calibri" w:cs="Calibri"/>
          <w:sz w:val="22"/>
          <w:szCs w:val="22"/>
        </w:rPr>
        <w:t>Tahatū</w:t>
      </w:r>
      <w:proofErr w:type="spellEnd"/>
      <w:r w:rsidRPr="00885FA5">
        <w:rPr>
          <w:rFonts w:ascii="Calibri" w:hAnsi="Calibri" w:cs="Calibri"/>
          <w:sz w:val="22"/>
          <w:szCs w:val="22"/>
        </w:rPr>
        <w:t xml:space="preserve">, better reaches and supports low-paid workers and provides insights for careers professionals </w:t>
      </w:r>
      <w:r w:rsidR="00B11203" w:rsidRPr="00612FE5">
        <w:rPr>
          <w:rFonts w:ascii="Calibri" w:hAnsi="Calibri" w:cs="Calibri"/>
          <w:sz w:val="22"/>
          <w:szCs w:val="22"/>
        </w:rPr>
        <w:t xml:space="preserve">to use </w:t>
      </w:r>
      <w:r w:rsidRPr="00885FA5">
        <w:rPr>
          <w:rFonts w:ascii="Calibri" w:hAnsi="Calibri" w:cs="Calibri"/>
          <w:sz w:val="22"/>
          <w:szCs w:val="22"/>
        </w:rPr>
        <w:t>more broadly.</w:t>
      </w:r>
    </w:p>
    <w:p w14:paraId="459211A6" w14:textId="77777777" w:rsidR="0074013C" w:rsidRPr="00612FE5" w:rsidRDefault="0074013C" w:rsidP="00E21D39">
      <w:pPr>
        <w:spacing w:line="360" w:lineRule="auto"/>
        <w:jc w:val="both"/>
        <w:rPr>
          <w:rFonts w:ascii="Calibri" w:hAnsi="Calibri" w:cs="Calibri"/>
          <w:b/>
          <w:sz w:val="22"/>
          <w:szCs w:val="22"/>
        </w:rPr>
      </w:pPr>
      <w:r w:rsidRPr="00612FE5">
        <w:rPr>
          <w:rFonts w:ascii="Calibri" w:hAnsi="Calibri" w:cs="Calibri"/>
          <w:b/>
          <w:sz w:val="22"/>
          <w:szCs w:val="22"/>
        </w:rPr>
        <w:t>Bibliographical references</w:t>
      </w:r>
    </w:p>
    <w:p w14:paraId="3161DA85" w14:textId="28045331" w:rsidR="0074013C" w:rsidRPr="00612FE5" w:rsidRDefault="0074013C" w:rsidP="00E21D39">
      <w:pPr>
        <w:spacing w:line="360" w:lineRule="auto"/>
        <w:jc w:val="both"/>
        <w:rPr>
          <w:rFonts w:ascii="Calibri" w:hAnsi="Calibri" w:cs="Calibri"/>
          <w:sz w:val="22"/>
          <w:szCs w:val="22"/>
        </w:rPr>
      </w:pPr>
      <w:r w:rsidRPr="00612FE5">
        <w:rPr>
          <w:rFonts w:ascii="Calibri" w:hAnsi="Calibri" w:cs="Calibri"/>
          <w:sz w:val="22"/>
          <w:szCs w:val="22"/>
        </w:rPr>
        <w:t>Colmar Brunton</w:t>
      </w:r>
      <w:r w:rsidR="00EC1290" w:rsidRPr="00612FE5">
        <w:rPr>
          <w:rFonts w:ascii="Calibri" w:hAnsi="Calibri" w:cs="Calibri"/>
          <w:sz w:val="22"/>
          <w:szCs w:val="22"/>
        </w:rPr>
        <w:t>.</w:t>
      </w:r>
      <w:r w:rsidRPr="00612FE5">
        <w:rPr>
          <w:rFonts w:ascii="Calibri" w:hAnsi="Calibri" w:cs="Calibri"/>
          <w:sz w:val="22"/>
          <w:szCs w:val="22"/>
        </w:rPr>
        <w:t xml:space="preserve"> (2019). </w:t>
      </w:r>
      <w:r w:rsidRPr="00612FE5">
        <w:rPr>
          <w:rFonts w:ascii="Calibri" w:hAnsi="Calibri" w:cs="Calibri"/>
          <w:i/>
          <w:iCs/>
          <w:sz w:val="22"/>
          <w:szCs w:val="22"/>
        </w:rPr>
        <w:t>Understanding the careers system strategy audience</w:t>
      </w:r>
      <w:r w:rsidR="00EC1290" w:rsidRPr="00612FE5">
        <w:rPr>
          <w:rFonts w:ascii="Calibri" w:hAnsi="Calibri" w:cs="Calibri"/>
          <w:i/>
          <w:iCs/>
          <w:sz w:val="22"/>
          <w:szCs w:val="22"/>
        </w:rPr>
        <w:t>.</w:t>
      </w:r>
    </w:p>
    <w:p w14:paraId="74BF8E7F" w14:textId="5A1FC49D" w:rsidR="00505F27" w:rsidRPr="00612FE5" w:rsidRDefault="00505F27" w:rsidP="00E21D39">
      <w:pPr>
        <w:spacing w:line="360" w:lineRule="auto"/>
        <w:jc w:val="both"/>
        <w:rPr>
          <w:rFonts w:ascii="Calibri" w:hAnsi="Calibri" w:cs="Calibri"/>
          <w:sz w:val="22"/>
          <w:szCs w:val="22"/>
        </w:rPr>
      </w:pPr>
      <w:r w:rsidRPr="00612FE5">
        <w:rPr>
          <w:rFonts w:ascii="Calibri" w:hAnsi="Calibri" w:cs="Calibri"/>
          <w:sz w:val="22"/>
          <w:szCs w:val="22"/>
        </w:rPr>
        <w:t xml:space="preserve">Dasgupta, K., &amp; Plum, A. (2020). Human capital formation and changes in low pay persistence. </w:t>
      </w:r>
      <w:hyperlink r:id="rId7" w:history="1">
        <w:r w:rsidRPr="00612FE5">
          <w:rPr>
            <w:rStyle w:val="Hyperlink"/>
            <w:rFonts w:ascii="Calibri" w:hAnsi="Calibri" w:cs="Calibri"/>
            <w:sz w:val="22"/>
            <w:szCs w:val="22"/>
          </w:rPr>
          <w:t xml:space="preserve">https://workresearch.aut.ac.nz/__data/assets/pdf_ f </w:t>
        </w:r>
        <w:proofErr w:type="spellStart"/>
        <w:r w:rsidRPr="00612FE5">
          <w:rPr>
            <w:rStyle w:val="Hyperlink"/>
            <w:rFonts w:ascii="Calibri" w:hAnsi="Calibri" w:cs="Calibri"/>
            <w:sz w:val="22"/>
            <w:szCs w:val="22"/>
          </w:rPr>
          <w:t>ile</w:t>
        </w:r>
        <w:proofErr w:type="spellEnd"/>
        <w:r w:rsidRPr="00612FE5">
          <w:rPr>
            <w:rStyle w:val="Hyperlink"/>
            <w:rFonts w:ascii="Calibri" w:hAnsi="Calibri" w:cs="Calibri"/>
            <w:sz w:val="22"/>
            <w:szCs w:val="22"/>
          </w:rPr>
          <w:t>/0010/436177/working-paper-20_15.pdf</w:t>
        </w:r>
      </w:hyperlink>
      <w:r w:rsidRPr="00612FE5">
        <w:rPr>
          <w:rFonts w:ascii="Calibri" w:hAnsi="Calibri" w:cs="Calibri"/>
          <w:sz w:val="22"/>
          <w:szCs w:val="22"/>
        </w:rPr>
        <w:t xml:space="preserve"> </w:t>
      </w:r>
    </w:p>
    <w:p w14:paraId="4A5C9F18" w14:textId="36402F3A" w:rsidR="00505F27" w:rsidRPr="00612FE5" w:rsidRDefault="00505F27" w:rsidP="00E21D39">
      <w:pPr>
        <w:spacing w:line="360" w:lineRule="auto"/>
        <w:jc w:val="both"/>
        <w:rPr>
          <w:rFonts w:ascii="Calibri" w:hAnsi="Calibri" w:cs="Calibri"/>
          <w:sz w:val="22"/>
          <w:szCs w:val="22"/>
        </w:rPr>
      </w:pPr>
      <w:r w:rsidRPr="00612FE5">
        <w:rPr>
          <w:rFonts w:ascii="Calibri" w:hAnsi="Calibri" w:cs="Calibri"/>
          <w:sz w:val="22"/>
          <w:szCs w:val="22"/>
        </w:rPr>
        <w:t>Dasgupta, K., Plum, A., &amp; Pacheco, G. (2021). When there is no way up: Reconsidering low-paid jobs as stepping-stones. https://nzpri.aut.ac.nz/__data/assets/ pdf_file/0008/522791/Reconsidering-Low-Paid-jobs-asstepping-stones.pdf</w:t>
      </w:r>
      <w:r w:rsidRPr="00612FE5">
        <w:rPr>
          <w:rFonts w:ascii="Calibri" w:hAnsi="Calibri" w:cs="Calibri"/>
          <w:sz w:val="22"/>
          <w:szCs w:val="22"/>
        </w:rPr>
        <w:t xml:space="preserve"> </w:t>
      </w:r>
    </w:p>
    <w:p w14:paraId="31DE7693" w14:textId="52FDE0FC" w:rsidR="00505F27" w:rsidRPr="00612FE5" w:rsidRDefault="00505F27" w:rsidP="00E21D39">
      <w:pPr>
        <w:spacing w:line="360" w:lineRule="auto"/>
        <w:jc w:val="both"/>
        <w:rPr>
          <w:rFonts w:ascii="Calibri" w:hAnsi="Calibri" w:cs="Calibri"/>
          <w:i/>
          <w:iCs/>
          <w:sz w:val="22"/>
          <w:szCs w:val="22"/>
        </w:rPr>
      </w:pPr>
      <w:proofErr w:type="spellStart"/>
      <w:r w:rsidRPr="00612FE5">
        <w:rPr>
          <w:rFonts w:ascii="Calibri" w:hAnsi="Calibri" w:cs="Calibri"/>
          <w:sz w:val="22"/>
          <w:szCs w:val="22"/>
        </w:rPr>
        <w:t>MartinJenkins</w:t>
      </w:r>
      <w:proofErr w:type="spellEnd"/>
      <w:r w:rsidRPr="00612FE5">
        <w:rPr>
          <w:rFonts w:ascii="Calibri" w:hAnsi="Calibri" w:cs="Calibri"/>
          <w:sz w:val="22"/>
          <w:szCs w:val="22"/>
        </w:rPr>
        <w:t xml:space="preserve">. (2020). </w:t>
      </w:r>
      <w:r w:rsidRPr="00612FE5">
        <w:rPr>
          <w:rFonts w:ascii="Calibri" w:hAnsi="Calibri" w:cs="Calibri"/>
          <w:i/>
          <w:iCs/>
          <w:sz w:val="22"/>
          <w:szCs w:val="22"/>
        </w:rPr>
        <w:t>The labour market: Impacts and responses in economic shocks, including recessions and pandemics.</w:t>
      </w:r>
    </w:p>
    <w:p w14:paraId="584DD75D" w14:textId="77777777" w:rsidR="00EC1290" w:rsidRPr="00612FE5" w:rsidRDefault="00EC1290" w:rsidP="00E21D39">
      <w:pPr>
        <w:spacing w:line="360" w:lineRule="auto"/>
        <w:jc w:val="both"/>
        <w:rPr>
          <w:rFonts w:ascii="Calibri" w:hAnsi="Calibri" w:cs="Calibri"/>
          <w:sz w:val="22"/>
          <w:szCs w:val="22"/>
        </w:rPr>
      </w:pPr>
      <w:proofErr w:type="spellStart"/>
      <w:r w:rsidRPr="00612FE5">
        <w:rPr>
          <w:rFonts w:ascii="Calibri" w:hAnsi="Calibri" w:cs="Calibri"/>
          <w:sz w:val="22"/>
          <w:szCs w:val="22"/>
        </w:rPr>
        <w:t>MartinJenkins</w:t>
      </w:r>
      <w:proofErr w:type="spellEnd"/>
      <w:r w:rsidRPr="00612FE5">
        <w:rPr>
          <w:rFonts w:ascii="Calibri" w:hAnsi="Calibri" w:cs="Calibri"/>
          <w:sz w:val="22"/>
          <w:szCs w:val="22"/>
        </w:rPr>
        <w:t xml:space="preserve"> and Tertiary Education Commission. (2024). Careers audience segmentation: understanding the needs of low-paid workers in New Zealand. Identifying the barriers and enablers to accessing and activating career support. </w:t>
      </w:r>
      <w:hyperlink r:id="rId8" w:history="1">
        <w:r w:rsidRPr="00612FE5">
          <w:rPr>
            <w:rStyle w:val="Hyperlink"/>
            <w:rFonts w:ascii="Calibri" w:hAnsi="Calibri" w:cs="Calibri"/>
            <w:sz w:val="22"/>
            <w:szCs w:val="22"/>
          </w:rPr>
          <w:t>https://tahatu.govt.nz/career-practice-hub</w:t>
        </w:r>
      </w:hyperlink>
      <w:r w:rsidRPr="00612FE5">
        <w:rPr>
          <w:rFonts w:ascii="Calibri" w:hAnsi="Calibri" w:cs="Calibri"/>
          <w:sz w:val="22"/>
          <w:szCs w:val="22"/>
        </w:rPr>
        <w:t xml:space="preserve"> </w:t>
      </w:r>
    </w:p>
    <w:p w14:paraId="1704F35D" w14:textId="48F85784" w:rsidR="00505F27" w:rsidRPr="00612FE5" w:rsidRDefault="00505F27" w:rsidP="00E21D39">
      <w:pPr>
        <w:spacing w:line="360" w:lineRule="auto"/>
        <w:jc w:val="both"/>
        <w:rPr>
          <w:rFonts w:ascii="Calibri" w:hAnsi="Calibri" w:cs="Calibri"/>
          <w:sz w:val="22"/>
          <w:szCs w:val="22"/>
        </w:rPr>
      </w:pPr>
      <w:r w:rsidRPr="00612FE5">
        <w:rPr>
          <w:rFonts w:ascii="Calibri" w:hAnsi="Calibri" w:cs="Calibri"/>
          <w:sz w:val="22"/>
          <w:szCs w:val="22"/>
        </w:rPr>
        <w:t xml:space="preserve">Ministry of Business, Innovation and Employment. (2018). </w:t>
      </w:r>
      <w:r w:rsidRPr="00612FE5">
        <w:rPr>
          <w:rFonts w:ascii="Calibri" w:hAnsi="Calibri" w:cs="Calibri"/>
          <w:i/>
          <w:iCs/>
          <w:sz w:val="22"/>
          <w:szCs w:val="22"/>
        </w:rPr>
        <w:t>Low pay in NZ.</w:t>
      </w:r>
      <w:r w:rsidRPr="00612FE5">
        <w:rPr>
          <w:rFonts w:ascii="Calibri" w:hAnsi="Calibri" w:cs="Calibri"/>
          <w:sz w:val="22"/>
          <w:szCs w:val="22"/>
        </w:rPr>
        <w:t xml:space="preserve"> https://www.mbie.govt.nz/assets/ c92012e10c/low-pay-in-nz-january-2018.pdf</w:t>
      </w:r>
      <w:r w:rsidR="00EC1290" w:rsidRPr="00612FE5">
        <w:rPr>
          <w:rFonts w:ascii="Calibri" w:hAnsi="Calibri" w:cs="Calibri"/>
          <w:sz w:val="22"/>
          <w:szCs w:val="22"/>
        </w:rPr>
        <w:t xml:space="preserve"> </w:t>
      </w:r>
      <w:r w:rsidRPr="00612FE5">
        <w:rPr>
          <w:rFonts w:ascii="Calibri" w:hAnsi="Calibri" w:cs="Calibri"/>
          <w:sz w:val="22"/>
          <w:szCs w:val="22"/>
        </w:rPr>
        <w:t xml:space="preserve"> </w:t>
      </w:r>
    </w:p>
    <w:p w14:paraId="39DA559C" w14:textId="4598EE90" w:rsidR="00505F27" w:rsidRPr="00612FE5" w:rsidRDefault="00505F27" w:rsidP="00E21D39">
      <w:pPr>
        <w:spacing w:line="360" w:lineRule="auto"/>
        <w:jc w:val="both"/>
        <w:rPr>
          <w:rFonts w:ascii="Calibri" w:hAnsi="Calibri" w:cs="Calibri"/>
          <w:sz w:val="22"/>
          <w:szCs w:val="22"/>
        </w:rPr>
      </w:pPr>
      <w:r w:rsidRPr="00612FE5">
        <w:rPr>
          <w:rFonts w:ascii="Calibri" w:hAnsi="Calibri" w:cs="Calibri"/>
          <w:sz w:val="22"/>
          <w:szCs w:val="22"/>
        </w:rPr>
        <w:t xml:space="preserve">Ministry of Business, Innovation, and Employment. (2024). </w:t>
      </w:r>
      <w:r w:rsidRPr="00612FE5">
        <w:rPr>
          <w:rFonts w:ascii="Calibri" w:hAnsi="Calibri" w:cs="Calibri"/>
          <w:i/>
          <w:iCs/>
          <w:sz w:val="22"/>
          <w:szCs w:val="22"/>
        </w:rPr>
        <w:t>Employment Action Plan.</w:t>
      </w:r>
      <w:r w:rsidRPr="00612FE5">
        <w:rPr>
          <w:rFonts w:ascii="Calibri" w:hAnsi="Calibri" w:cs="Calibri"/>
          <w:sz w:val="22"/>
          <w:szCs w:val="22"/>
        </w:rPr>
        <w:t xml:space="preserve"> https://www.mbie.govt.nz/ </w:t>
      </w:r>
      <w:proofErr w:type="spellStart"/>
      <w:r w:rsidRPr="00612FE5">
        <w:rPr>
          <w:rFonts w:ascii="Calibri" w:hAnsi="Calibri" w:cs="Calibri"/>
          <w:sz w:val="22"/>
          <w:szCs w:val="22"/>
        </w:rPr>
        <w:t>dmsdocument</w:t>
      </w:r>
      <w:proofErr w:type="spellEnd"/>
      <w:r w:rsidRPr="00612FE5">
        <w:rPr>
          <w:rFonts w:ascii="Calibri" w:hAnsi="Calibri" w:cs="Calibri"/>
          <w:sz w:val="22"/>
          <w:szCs w:val="22"/>
        </w:rPr>
        <w:t>/29007-employment-action-plan-august2024-pdf</w:t>
      </w:r>
    </w:p>
    <w:p w14:paraId="1CC3CF9F" w14:textId="5A48AEAC" w:rsidR="0074013C" w:rsidRPr="00612FE5" w:rsidRDefault="0074013C" w:rsidP="00E21D39">
      <w:pPr>
        <w:spacing w:line="360" w:lineRule="auto"/>
        <w:jc w:val="both"/>
        <w:rPr>
          <w:rFonts w:ascii="Calibri" w:hAnsi="Calibri" w:cs="Calibri"/>
          <w:sz w:val="22"/>
          <w:szCs w:val="22"/>
        </w:rPr>
      </w:pPr>
      <w:r w:rsidRPr="00612FE5">
        <w:rPr>
          <w:rFonts w:ascii="Calibri" w:hAnsi="Calibri" w:cs="Calibri"/>
          <w:sz w:val="22"/>
          <w:szCs w:val="22"/>
        </w:rPr>
        <w:lastRenderedPageBreak/>
        <w:t xml:space="preserve">Ministry of Education. (2025). </w:t>
      </w:r>
      <w:r w:rsidRPr="00612FE5">
        <w:rPr>
          <w:rFonts w:ascii="Calibri" w:hAnsi="Calibri" w:cs="Calibri"/>
          <w:i/>
          <w:iCs/>
          <w:sz w:val="22"/>
          <w:szCs w:val="22"/>
        </w:rPr>
        <w:t>Tertiary education strategy 2025</w:t>
      </w:r>
      <w:r w:rsidRPr="00612FE5">
        <w:rPr>
          <w:rFonts w:ascii="Calibri" w:hAnsi="Calibri" w:cs="Calibri"/>
          <w:sz w:val="22"/>
          <w:szCs w:val="22"/>
        </w:rPr>
        <w:t>. New Zealand Government.</w:t>
      </w:r>
    </w:p>
    <w:p w14:paraId="101D144A" w14:textId="77777777" w:rsidR="0074013C" w:rsidRPr="00612FE5" w:rsidRDefault="0074013C" w:rsidP="00E21D39">
      <w:pPr>
        <w:spacing w:line="360" w:lineRule="auto"/>
        <w:jc w:val="both"/>
        <w:rPr>
          <w:rFonts w:ascii="Calibri" w:hAnsi="Calibri" w:cs="Calibri"/>
          <w:sz w:val="22"/>
          <w:szCs w:val="22"/>
        </w:rPr>
      </w:pPr>
      <w:r w:rsidRPr="00612FE5">
        <w:rPr>
          <w:rFonts w:ascii="Calibri" w:hAnsi="Calibri" w:cs="Calibri"/>
          <w:sz w:val="22"/>
          <w:szCs w:val="22"/>
        </w:rPr>
        <w:t xml:space="preserve">OECD. (2021). </w:t>
      </w:r>
      <w:r w:rsidRPr="00612FE5">
        <w:rPr>
          <w:rFonts w:ascii="Calibri" w:hAnsi="Calibri" w:cs="Calibri"/>
          <w:i/>
          <w:sz w:val="22"/>
          <w:szCs w:val="22"/>
        </w:rPr>
        <w:t>Career Guidance for Adults in a Changing World of Work</w:t>
      </w:r>
      <w:r w:rsidRPr="00612FE5">
        <w:rPr>
          <w:rFonts w:ascii="Calibri" w:hAnsi="Calibri" w:cs="Calibri"/>
          <w:sz w:val="22"/>
          <w:szCs w:val="22"/>
        </w:rPr>
        <w:t>, Getting Skills Right, OECD Publishing, Paris, </w:t>
      </w:r>
      <w:hyperlink r:id="rId9" w:history="1">
        <w:r w:rsidRPr="00612FE5">
          <w:rPr>
            <w:rStyle w:val="Hyperlink"/>
            <w:rFonts w:ascii="Calibri" w:hAnsi="Calibri" w:cs="Calibri"/>
            <w:sz w:val="22"/>
            <w:szCs w:val="22"/>
          </w:rPr>
          <w:t>https://doi.org/10.1787/9a94bfad-en</w:t>
        </w:r>
      </w:hyperlink>
      <w:r w:rsidRPr="00612FE5">
        <w:rPr>
          <w:rFonts w:ascii="Calibri" w:hAnsi="Calibri" w:cs="Calibri"/>
          <w:sz w:val="22"/>
          <w:szCs w:val="22"/>
        </w:rPr>
        <w:t>.</w:t>
      </w:r>
    </w:p>
    <w:p w14:paraId="7B52C957" w14:textId="2A487EE6" w:rsidR="0074013C" w:rsidRPr="00612FE5" w:rsidRDefault="0074013C" w:rsidP="00E21D39">
      <w:pPr>
        <w:spacing w:line="360" w:lineRule="auto"/>
        <w:jc w:val="both"/>
        <w:rPr>
          <w:rFonts w:ascii="Calibri" w:hAnsi="Calibri" w:cs="Calibri"/>
          <w:sz w:val="22"/>
          <w:szCs w:val="22"/>
        </w:rPr>
      </w:pPr>
      <w:proofErr w:type="spellStart"/>
      <w:r w:rsidRPr="00612FE5">
        <w:rPr>
          <w:rFonts w:ascii="Calibri" w:hAnsi="Calibri" w:cs="Calibri"/>
          <w:sz w:val="22"/>
          <w:szCs w:val="22"/>
        </w:rPr>
        <w:t>Tahatū</w:t>
      </w:r>
      <w:proofErr w:type="spellEnd"/>
      <w:r w:rsidRPr="00612FE5">
        <w:rPr>
          <w:rFonts w:ascii="Calibri" w:hAnsi="Calibri" w:cs="Calibri"/>
          <w:sz w:val="22"/>
          <w:szCs w:val="22"/>
        </w:rPr>
        <w:t xml:space="preserve"> Career Navigator (2026</w:t>
      </w:r>
      <w:r w:rsidR="00EC1290" w:rsidRPr="00612FE5">
        <w:rPr>
          <w:rFonts w:ascii="Calibri" w:hAnsi="Calibri" w:cs="Calibri"/>
          <w:sz w:val="22"/>
          <w:szCs w:val="22"/>
        </w:rPr>
        <w:t>, April 16</w:t>
      </w:r>
      <w:r w:rsidRPr="00612FE5">
        <w:rPr>
          <w:rFonts w:ascii="Calibri" w:hAnsi="Calibri" w:cs="Calibri"/>
          <w:sz w:val="22"/>
          <w:szCs w:val="22"/>
        </w:rPr>
        <w:t xml:space="preserve">). </w:t>
      </w:r>
      <w:hyperlink r:id="rId10" w:history="1">
        <w:r w:rsidRPr="00612FE5">
          <w:rPr>
            <w:rStyle w:val="Hyperlink"/>
            <w:rFonts w:ascii="Calibri" w:hAnsi="Calibri" w:cs="Calibri"/>
            <w:sz w:val="22"/>
            <w:szCs w:val="22"/>
          </w:rPr>
          <w:t>https://tahatu.govt.nz/</w:t>
        </w:r>
      </w:hyperlink>
      <w:r w:rsidRPr="00612FE5">
        <w:rPr>
          <w:rFonts w:ascii="Calibri" w:hAnsi="Calibri" w:cs="Calibri"/>
          <w:sz w:val="22"/>
          <w:szCs w:val="22"/>
        </w:rPr>
        <w:t xml:space="preserve">  </w:t>
      </w:r>
    </w:p>
    <w:p w14:paraId="1C17806E" w14:textId="77777777" w:rsidR="0074013C" w:rsidRPr="00612FE5" w:rsidRDefault="0074013C" w:rsidP="00E21D39">
      <w:pPr>
        <w:spacing w:line="360" w:lineRule="auto"/>
        <w:jc w:val="both"/>
        <w:rPr>
          <w:rFonts w:ascii="Calibri" w:hAnsi="Calibri" w:cs="Calibri"/>
          <w:sz w:val="22"/>
          <w:szCs w:val="22"/>
        </w:rPr>
      </w:pPr>
      <w:r w:rsidRPr="00612FE5">
        <w:rPr>
          <w:rFonts w:ascii="Calibri" w:hAnsi="Calibri" w:cs="Calibri"/>
          <w:sz w:val="22"/>
          <w:szCs w:val="22"/>
        </w:rPr>
        <w:t xml:space="preserve">Tertiary Education Commission. (2023). </w:t>
      </w:r>
      <w:r w:rsidRPr="00612FE5">
        <w:rPr>
          <w:rFonts w:ascii="Calibri" w:hAnsi="Calibri" w:cs="Calibri"/>
          <w:i/>
          <w:sz w:val="22"/>
          <w:szCs w:val="22"/>
        </w:rPr>
        <w:t>National careers system strategy</w:t>
      </w:r>
      <w:r w:rsidRPr="00612FE5">
        <w:rPr>
          <w:rFonts w:ascii="Calibri" w:hAnsi="Calibri" w:cs="Calibri"/>
          <w:sz w:val="22"/>
          <w:szCs w:val="22"/>
        </w:rPr>
        <w:t xml:space="preserve">. New Zealand Government. </w:t>
      </w:r>
      <w:hyperlink r:id="rId11" w:history="1">
        <w:r w:rsidRPr="00612FE5">
          <w:rPr>
            <w:rStyle w:val="Hyperlink"/>
            <w:rFonts w:ascii="Calibri" w:hAnsi="Calibri" w:cs="Calibri"/>
            <w:sz w:val="22"/>
            <w:szCs w:val="22"/>
          </w:rPr>
          <w:t>https://www.tec.govt.nz/strategic-initiatives/careers-system/national-careers-system-strategy/national-careers-system-strategy</w:t>
        </w:r>
      </w:hyperlink>
    </w:p>
    <w:p w14:paraId="67F4240A" w14:textId="4D1535D7" w:rsidR="0074013C" w:rsidRPr="00612FE5" w:rsidRDefault="0074013C" w:rsidP="00E21D39">
      <w:pPr>
        <w:spacing w:line="360" w:lineRule="auto"/>
        <w:jc w:val="both"/>
        <w:rPr>
          <w:rFonts w:ascii="Calibri" w:hAnsi="Calibri" w:cs="Calibri"/>
          <w:sz w:val="22"/>
          <w:szCs w:val="22"/>
        </w:rPr>
      </w:pPr>
      <w:r w:rsidRPr="00612FE5">
        <w:rPr>
          <w:rFonts w:ascii="Calibri" w:hAnsi="Calibri" w:cs="Calibri"/>
          <w:sz w:val="22"/>
          <w:szCs w:val="22"/>
        </w:rPr>
        <w:t xml:space="preserve">Tertiary Education Commission. (2023). </w:t>
      </w:r>
      <w:r w:rsidRPr="00612FE5">
        <w:rPr>
          <w:rFonts w:ascii="Calibri" w:hAnsi="Calibri" w:cs="Calibri"/>
          <w:i/>
          <w:sz w:val="22"/>
          <w:szCs w:val="22"/>
        </w:rPr>
        <w:t>National careers system strategy action plan</w:t>
      </w:r>
      <w:r w:rsidRPr="00612FE5">
        <w:rPr>
          <w:rFonts w:ascii="Calibri" w:hAnsi="Calibri" w:cs="Calibri"/>
          <w:sz w:val="22"/>
          <w:szCs w:val="22"/>
        </w:rPr>
        <w:t xml:space="preserve">. New Zealand Government. </w:t>
      </w:r>
      <w:hyperlink r:id="rId12" w:history="1">
        <w:r w:rsidRPr="00612FE5">
          <w:rPr>
            <w:rStyle w:val="Hyperlink"/>
            <w:rFonts w:ascii="Calibri" w:hAnsi="Calibri" w:cs="Calibri"/>
            <w:sz w:val="22"/>
            <w:szCs w:val="22"/>
          </w:rPr>
          <w:t>https://www.tec.govt.nz/strategic-initiatives/careers-system/national-careers-system-strategy/national-careers-system-strategy</w:t>
        </w:r>
      </w:hyperlink>
      <w:r w:rsidRPr="00612FE5">
        <w:rPr>
          <w:rFonts w:ascii="Calibri" w:hAnsi="Calibri" w:cs="Calibri"/>
          <w:sz w:val="22"/>
          <w:szCs w:val="22"/>
        </w:rPr>
        <w:t>.</w:t>
      </w:r>
    </w:p>
    <w:p w14:paraId="5C4E20F2" w14:textId="58997501" w:rsidR="00E21D39" w:rsidRPr="00612FE5" w:rsidRDefault="00E21D39" w:rsidP="00E21D39">
      <w:pPr>
        <w:spacing w:line="360" w:lineRule="auto"/>
        <w:jc w:val="both"/>
        <w:rPr>
          <w:rFonts w:ascii="Calibri" w:hAnsi="Calibri" w:cs="Calibri"/>
          <w:bCs/>
          <w:sz w:val="22"/>
          <w:szCs w:val="22"/>
        </w:rPr>
      </w:pPr>
      <w:r w:rsidRPr="00612FE5">
        <w:rPr>
          <w:rFonts w:ascii="Calibri" w:hAnsi="Calibri" w:cs="Calibri"/>
          <w:b/>
          <w:sz w:val="22"/>
          <w:szCs w:val="22"/>
        </w:rPr>
        <w:t xml:space="preserve">Key words: </w:t>
      </w:r>
      <w:r w:rsidRPr="00612FE5">
        <w:rPr>
          <w:rFonts w:ascii="Calibri" w:hAnsi="Calibri" w:cs="Calibri"/>
          <w:bCs/>
          <w:sz w:val="22"/>
          <w:szCs w:val="22"/>
        </w:rPr>
        <w:t>low-paid workers,</w:t>
      </w:r>
      <w:r w:rsidRPr="00612FE5">
        <w:rPr>
          <w:rFonts w:ascii="Calibri" w:hAnsi="Calibri" w:cs="Calibri"/>
          <w:b/>
          <w:sz w:val="22"/>
          <w:szCs w:val="22"/>
        </w:rPr>
        <w:t xml:space="preserve"> </w:t>
      </w:r>
      <w:r w:rsidRPr="00612FE5">
        <w:rPr>
          <w:rFonts w:ascii="Calibri" w:hAnsi="Calibri" w:cs="Calibri"/>
          <w:bCs/>
          <w:sz w:val="22"/>
          <w:szCs w:val="22"/>
        </w:rPr>
        <w:t>career support needs,</w:t>
      </w:r>
      <w:r w:rsidRPr="00612FE5">
        <w:rPr>
          <w:rFonts w:ascii="Calibri" w:hAnsi="Calibri" w:cs="Calibri"/>
          <w:b/>
          <w:sz w:val="22"/>
          <w:szCs w:val="22"/>
        </w:rPr>
        <w:t xml:space="preserve"> </w:t>
      </w:r>
      <w:r w:rsidRPr="00612FE5">
        <w:rPr>
          <w:rFonts w:ascii="Calibri" w:hAnsi="Calibri" w:cs="Calibri"/>
          <w:bCs/>
          <w:sz w:val="22"/>
          <w:szCs w:val="22"/>
        </w:rPr>
        <w:t>policy, resilience</w:t>
      </w:r>
      <w:r>
        <w:rPr>
          <w:rFonts w:ascii="Calibri" w:hAnsi="Calibri" w:cs="Calibri"/>
          <w:bCs/>
          <w:sz w:val="22"/>
          <w:szCs w:val="22"/>
        </w:rPr>
        <w:t>, family</w:t>
      </w:r>
    </w:p>
    <w:p w14:paraId="45796609" w14:textId="77777777" w:rsidR="0074013C" w:rsidRPr="00612FE5" w:rsidRDefault="0074013C" w:rsidP="00E21D39">
      <w:pPr>
        <w:spacing w:line="360" w:lineRule="auto"/>
        <w:rPr>
          <w:rFonts w:ascii="Calibri" w:hAnsi="Calibri" w:cs="Calibri"/>
          <w:sz w:val="22"/>
          <w:szCs w:val="22"/>
          <w:highlight w:val="yellow"/>
        </w:rPr>
      </w:pPr>
    </w:p>
    <w:p w14:paraId="76C574C1" w14:textId="77777777" w:rsidR="0074013C" w:rsidRPr="00612FE5" w:rsidRDefault="0074013C">
      <w:pPr>
        <w:rPr>
          <w:rFonts w:ascii="Calibri" w:hAnsi="Calibri" w:cs="Calibri"/>
          <w:sz w:val="22"/>
          <w:szCs w:val="22"/>
        </w:rPr>
      </w:pPr>
    </w:p>
    <w:sectPr w:rsidR="0074013C" w:rsidRPr="00612FE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A2BEC" w14:textId="77777777" w:rsidR="00A153DF" w:rsidRDefault="00A153DF" w:rsidP="00E21D39">
      <w:pPr>
        <w:spacing w:after="0" w:line="240" w:lineRule="auto"/>
      </w:pPr>
      <w:r>
        <w:separator/>
      </w:r>
    </w:p>
  </w:endnote>
  <w:endnote w:type="continuationSeparator" w:id="0">
    <w:p w14:paraId="4BEAC9D3" w14:textId="77777777" w:rsidR="00A153DF" w:rsidRDefault="00A153DF" w:rsidP="00E21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59F2" w14:textId="22D9687D" w:rsidR="00E21D39" w:rsidRDefault="00E21D39">
    <w:pPr>
      <w:pStyle w:val="Footer"/>
    </w:pPr>
    <w:r>
      <w:rPr>
        <w:noProof/>
      </w:rPr>
      <mc:AlternateContent>
        <mc:Choice Requires="wps">
          <w:drawing>
            <wp:anchor distT="0" distB="0" distL="0" distR="0" simplePos="0" relativeHeight="251662336" behindDoc="0" locked="0" layoutInCell="1" allowOverlap="1" wp14:anchorId="098A5456" wp14:editId="0208EA5C">
              <wp:simplePos x="635" y="635"/>
              <wp:positionH relativeFrom="page">
                <wp:align>center</wp:align>
              </wp:positionH>
              <wp:positionV relativeFrom="page">
                <wp:align>bottom</wp:align>
              </wp:positionV>
              <wp:extent cx="1005840" cy="405765"/>
              <wp:effectExtent l="0" t="0" r="3810" b="0"/>
              <wp:wrapNone/>
              <wp:docPr id="50977776"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5840" cy="405765"/>
                      </a:xfrm>
                      <a:prstGeom prst="rect">
                        <a:avLst/>
                      </a:prstGeom>
                      <a:noFill/>
                      <a:ln>
                        <a:noFill/>
                      </a:ln>
                    </wps:spPr>
                    <wps:txbx>
                      <w:txbxContent>
                        <w:p w14:paraId="7201C5B8" w14:textId="490B1309"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8A5456" id="_x0000_t202" coordsize="21600,21600" o:spt="202" path="m,l,21600r21600,l21600,xe">
              <v:stroke joinstyle="miter"/>
              <v:path gradientshapeok="t" o:connecttype="rect"/>
            </v:shapetype>
            <v:shape id="Text Box 5" o:spid="_x0000_s1028" type="#_x0000_t202" alt="UNCLASSIFIED" style="position:absolute;margin-left:0;margin-top:0;width:79.2pt;height:31.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qhMDgIAAB0EAAAOAAAAZHJzL2Uyb0RvYy54bWysU8Fu2zAMvQ/YPwi6L3aCpmuNOEXWIsOA&#10;oC2QDj0rshQbsESBUmJnXz9Kjput22nYRaZJ6pF8fFrc9aZlR4W+AVvy6STnTFkJVWP3Jf/+sv50&#10;w5kPwlaiBatKflKe3y0/flh0rlAzqKGtFDICsb7oXMnrEFyRZV7Wygg/AacsBTWgEYF+cZ9VKDpC&#10;N202y/PrrAOsHIJU3pP3YQjyZcLXWsnwpLVXgbUlp95COjGdu3hmy4Uo9ihc3chzG+IfujCisVT0&#10;DepBBMEO2PwBZRqJ4EGHiQSTgdaNVGkGmmaav5tmWwun0ixEjndvNPn/Bysfj1v3jCz0X6CnBUZC&#10;OucLT844T6/RxC91yihOFJ7eaFN9YDJeyvP5zRWFJMWu8vnn63mEyS63HfrwVYFh0Sg50loSW+K4&#10;8WFIHVNiMQvrpm3Talr7m4Mwoye7tBit0O961lQln43t76A60VQIw8K9k+uGSm+ED88CacPULak2&#10;PNGhW+hKDmeLsxrwx9/8MZ+IpyhnHSmm5JYkzVn7zdJCorhGA0djl4zpbT7PKW4P5h5Ih1N6Ek4m&#10;k7wY2tHUCOaV9LyKhSgkrKRyJd+N5n0YpEvvQarVKiWRjpwIG7t1MkJHuiKXL/2rQHcmPNCqHmGU&#10;kyje8T7kxpverQ6B2E9LidQORJ4ZJw2mtZ7fSxT5r/8p6/Kqlz8BAAD//wMAUEsDBBQABgAIAAAA&#10;IQBmzdbM2wAAAAQBAAAPAAAAZHJzL2Rvd25yZXYueG1sTI/BbsIwEETvlfoP1lbqrTiQgmgaB1VI&#10;PVEhAb30tthLkhKvo9iB8Pc1XOhlpdGMZt7mi8E24kSdrx0rGI8SEMTamZpLBd+7z5c5CB+QDTaO&#10;ScGFPCyKx4ccM+POvKHTNpQilrDPUEEVQptJ6XVFFv3ItcTRO7jOYoiyK6Xp8BzLbSMnSTKTFmuO&#10;CxW2tKxIH7e9VTDdhK9+zbv0Z5hcflftUqeHlVbq+Wn4eAcRaAj3MFzxIzoUkWnvejZeNAriI+F2&#10;r950/gpir2CWvoEscvkfvvgDAAD//wMAUEsBAi0AFAAGAAgAAAAhALaDOJL+AAAA4QEAABMAAAAA&#10;AAAAAAAAAAAAAAAAAFtDb250ZW50X1R5cGVzXS54bWxQSwECLQAUAAYACAAAACEAOP0h/9YAAACU&#10;AQAACwAAAAAAAAAAAAAAAAAvAQAAX3JlbHMvLnJlbHNQSwECLQAUAAYACAAAACEAF+aoTA4CAAAd&#10;BAAADgAAAAAAAAAAAAAAAAAuAgAAZHJzL2Uyb0RvYy54bWxQSwECLQAUAAYACAAAACEAZs3WzNsA&#10;AAAEAQAADwAAAAAAAAAAAAAAAABoBAAAZHJzL2Rvd25yZXYueG1sUEsFBgAAAAAEAAQA8wAAAHAF&#10;AAAAAA==&#10;" filled="f" stroked="f">
              <v:fill o:detectmouseclick="t"/>
              <v:textbox style="mso-fit-shape-to-text:t" inset="0,0,0,15pt">
                <w:txbxContent>
                  <w:p w14:paraId="7201C5B8" w14:textId="490B1309"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45BB" w14:textId="2642CBDE" w:rsidR="00E21D39" w:rsidRDefault="00E21D39">
    <w:pPr>
      <w:pStyle w:val="Footer"/>
    </w:pPr>
    <w:r>
      <w:rPr>
        <w:noProof/>
      </w:rPr>
      <mc:AlternateContent>
        <mc:Choice Requires="wps">
          <w:drawing>
            <wp:anchor distT="0" distB="0" distL="0" distR="0" simplePos="0" relativeHeight="251663360" behindDoc="0" locked="0" layoutInCell="1" allowOverlap="1" wp14:anchorId="6B93D59E" wp14:editId="390C2E69">
              <wp:simplePos x="914400" y="10058400"/>
              <wp:positionH relativeFrom="page">
                <wp:align>center</wp:align>
              </wp:positionH>
              <wp:positionV relativeFrom="page">
                <wp:align>bottom</wp:align>
              </wp:positionV>
              <wp:extent cx="1005840" cy="405765"/>
              <wp:effectExtent l="0" t="0" r="3810" b="0"/>
              <wp:wrapNone/>
              <wp:docPr id="1226052555"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5840" cy="405765"/>
                      </a:xfrm>
                      <a:prstGeom prst="rect">
                        <a:avLst/>
                      </a:prstGeom>
                      <a:noFill/>
                      <a:ln>
                        <a:noFill/>
                      </a:ln>
                    </wps:spPr>
                    <wps:txbx>
                      <w:txbxContent>
                        <w:p w14:paraId="04D731A0" w14:textId="4E9780E5"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93D59E" id="_x0000_t202" coordsize="21600,21600" o:spt="202" path="m,l,21600r21600,l21600,xe">
              <v:stroke joinstyle="miter"/>
              <v:path gradientshapeok="t" o:connecttype="rect"/>
            </v:shapetype>
            <v:shape id="Text Box 6" o:spid="_x0000_s1029" type="#_x0000_t202" alt="UNCLASSIFIED" style="position:absolute;margin-left:0;margin-top:0;width:79.2pt;height:31.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RpxDgIAAB0EAAAOAAAAZHJzL2Uyb0RvYy54bWysU8Fu2zAMvQ/YPwi6L3a6puuMOEXWIsOA&#10;oC2QDj0rshQbkEWBUmJnXz9KjpOt22nYRaZJ6pF8fJrf9a1hB4W+AVvy6STnTFkJVWN3Jf/+svpw&#10;y5kPwlbCgFUlPyrP7xbv3807V6grqMFUChmBWF90ruR1CK7IMi9r1Qo/AacsBTVgKwL94i6rUHSE&#10;3prsKs9vsg6wcghSeU/ehyHIFwlfayXDk9ZeBWZKTr2FdGI6t/HMFnNR7FC4upGnNsQ/dNGKxlLR&#10;M9SDCILtsfkDqm0kggcdJhLaDLRupEoz0DTT/M00m1o4lWYhcrw70+T/H6x8PGzcM7LQf4GeFhgJ&#10;6ZwvPDnjPL3GNn6pU0ZxovB4pk31gcl4Kc9nt9cUkhS7zmefbmYRJrvcdujDVwUti0bJkdaS2BKH&#10;tQ9D6pgSi1lYNcak1Rj7m4Mwoye7tBit0G971lQl/zi2v4XqSFMhDAv3Tq4aKr0WPjwLpA1Tt6Ta&#10;8ESHNtCVHE4WZzXgj7/5Yz4RT1HOOlJMyS1JmjPzzdJCorhGA0djm4zp53yWU9zu23sgHU7pSTiZ&#10;TPJiMKOpEdpX0vMyFqKQsJLKlXw7mvdhkC69B6mWy5REOnIirO3GyQgd6YpcvvSvAt2J8ECreoRR&#10;TqJ4w/uQG296t9wHYj8tJVI7EHlinDSY1np6L1Hkv/6nrMurXvwEAAD//wMAUEsDBBQABgAIAAAA&#10;IQBmzdbM2wAAAAQBAAAPAAAAZHJzL2Rvd25yZXYueG1sTI/BbsIwEETvlfoP1lbqrTiQgmgaB1VI&#10;PVEhAb30tthLkhKvo9iB8Pc1XOhlpdGMZt7mi8E24kSdrx0rGI8SEMTamZpLBd+7z5c5CB+QDTaO&#10;ScGFPCyKx4ccM+POvKHTNpQilrDPUEEVQptJ6XVFFv3ItcTRO7jOYoiyK6Xp8BzLbSMnSTKTFmuO&#10;CxW2tKxIH7e9VTDdhK9+zbv0Z5hcflftUqeHlVbq+Wn4eAcRaAj3MFzxIzoUkWnvejZeNAriI+F2&#10;r950/gpir2CWvoEscvkfvvgDAAD//wMAUEsBAi0AFAAGAAgAAAAhALaDOJL+AAAA4QEAABMAAAAA&#10;AAAAAAAAAAAAAAAAAFtDb250ZW50X1R5cGVzXS54bWxQSwECLQAUAAYACAAAACEAOP0h/9YAAACU&#10;AQAACwAAAAAAAAAAAAAAAAAvAQAAX3JlbHMvLnJlbHNQSwECLQAUAAYACAAAACEAelkacQ4CAAAd&#10;BAAADgAAAAAAAAAAAAAAAAAuAgAAZHJzL2Uyb0RvYy54bWxQSwECLQAUAAYACAAAACEAZs3WzNsA&#10;AAAEAQAADwAAAAAAAAAAAAAAAABoBAAAZHJzL2Rvd25yZXYueG1sUEsFBgAAAAAEAAQA8wAAAHAF&#10;AAAAAA==&#10;" filled="f" stroked="f">
              <v:fill o:detectmouseclick="t"/>
              <v:textbox style="mso-fit-shape-to-text:t" inset="0,0,0,15pt">
                <w:txbxContent>
                  <w:p w14:paraId="04D731A0" w14:textId="4E9780E5"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BDD" w14:textId="7A653064" w:rsidR="00E21D39" w:rsidRDefault="00E21D39">
    <w:pPr>
      <w:pStyle w:val="Footer"/>
    </w:pPr>
    <w:r>
      <w:rPr>
        <w:noProof/>
      </w:rPr>
      <mc:AlternateContent>
        <mc:Choice Requires="wps">
          <w:drawing>
            <wp:anchor distT="0" distB="0" distL="0" distR="0" simplePos="0" relativeHeight="251661312" behindDoc="0" locked="0" layoutInCell="1" allowOverlap="1" wp14:anchorId="16FE6B42" wp14:editId="28B26DD6">
              <wp:simplePos x="635" y="635"/>
              <wp:positionH relativeFrom="page">
                <wp:align>center</wp:align>
              </wp:positionH>
              <wp:positionV relativeFrom="page">
                <wp:align>bottom</wp:align>
              </wp:positionV>
              <wp:extent cx="1005840" cy="405765"/>
              <wp:effectExtent l="0" t="0" r="3810" b="0"/>
              <wp:wrapNone/>
              <wp:docPr id="1247164633"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5840" cy="405765"/>
                      </a:xfrm>
                      <a:prstGeom prst="rect">
                        <a:avLst/>
                      </a:prstGeom>
                      <a:noFill/>
                      <a:ln>
                        <a:noFill/>
                      </a:ln>
                    </wps:spPr>
                    <wps:txbx>
                      <w:txbxContent>
                        <w:p w14:paraId="06831A98" w14:textId="6E9FF4DC"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FE6B42" id="_x0000_t202" coordsize="21600,21600" o:spt="202" path="m,l,21600r21600,l21600,xe">
              <v:stroke joinstyle="miter"/>
              <v:path gradientshapeok="t" o:connecttype="rect"/>
            </v:shapetype>
            <v:shape id="Text Box 4" o:spid="_x0000_s1031" type="#_x0000_t202" alt="UNCLASSIFIED" style="position:absolute;margin-left:0;margin-top:0;width:79.2pt;height:31.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X8DAIAAB0EAAAOAAAAZHJzL2Uyb0RvYy54bWysU8Fu2zAMvQ/YPwi6L3aKpmuNOEXWIsOA&#10;oC2QDj0rshQbkEWBUmJnXz9KsZOt22nYRaZJ6pF8fJrf961hB4W+AVvy6STnTFkJVWN3Jf/+uvp0&#10;y5kPwlbCgFUlPyrP7xcfP8w7V6grqMFUChmBWF90ruR1CK7IMi9r1Qo/AacsBTVgKwL94i6rUHSE&#10;3prsKs9vsg6wcghSeU/ex1OQLxK+1kqGZ629CsyUnHoL6cR0buOZLeai2KFwdSOHNsQ/dNGKxlLR&#10;M9SjCILtsfkDqm0kggcdJhLaDLRupEoz0DTT/N00m1o4lWYhcrw70+T/H6x8OmzcC7LQf4GeFhgJ&#10;6ZwvPDnjPL3GNn6pU0ZxovB4pk31gcl4Kc9nt9cUkhS7zmefb2YRJrvcdujDVwUti0bJkdaS2BKH&#10;tQ+n1DElFrOwaoxJqzH2NwdhRk92aTFaod/2rKlKnupGzxaqI02FcFq4d3LVUOm18OFFIG2YuiXV&#10;hmc6tIGu5DBYnNWAP/7mj/lEPEU560gxJbckac7MN0sLieIaDRyNbTKmd/ksp7jdtw9AOpzSk3Ay&#10;meTFYEZTI7RvpOdlLEQhYSWVK/l2NB/CSbr0HqRaLlMS6ciJsLYbJyN0pCty+dq/CXQD4YFW9QSj&#10;nETxjvdTbrzp3XIfiP20lAuRA+OkwbTW4b1Ekf/6n7Iur3rxEwAA//8DAFBLAwQUAAYACAAAACEA&#10;Zs3WzNsAAAAEAQAADwAAAGRycy9kb3ducmV2LnhtbEyPwW7CMBBE75X6D9ZW6q04kIJoGgdVSD1R&#10;IQG99LbYS5ISr6PYgfD3NVzoZaXRjGbe5ovBNuJEna8dKxiPEhDE2pmaSwXfu8+XOQgfkA02jknB&#10;hTwsiseHHDPjzryh0zaUIpawz1BBFUKbSel1RRb9yLXE0Tu4zmKIsiul6fAcy20jJ0kykxZrjgsV&#10;trSsSB+3vVUw3YSvfs279GeYXH5X7VKnh5VW6vlp+HgHEWgI9zBc8SM6FJFp73o2XjQK4iPhdq/e&#10;dP4KYq9glr6BLHL5H774AwAA//8DAFBLAQItABQABgAIAAAAIQC2gziS/gAAAOEBAAATAAAAAAAA&#10;AAAAAAAAAAAAAABbQ29udGVudF9UeXBlc10ueG1sUEsBAi0AFAAGAAgAAAAhADj9If/WAAAAlAEA&#10;AAsAAAAAAAAAAAAAAAAALwEAAF9yZWxzLy5yZWxzUEsBAi0AFAAGAAgAAAAhABTatfwMAgAAHQQA&#10;AA4AAAAAAAAAAAAAAAAALgIAAGRycy9lMm9Eb2MueG1sUEsBAi0AFAAGAAgAAAAhAGbN1szbAAAA&#10;BAEAAA8AAAAAAAAAAAAAAAAAZgQAAGRycy9kb3ducmV2LnhtbFBLBQYAAAAABAAEAPMAAABuBQAA&#10;AAA=&#10;" filled="f" stroked="f">
              <v:fill o:detectmouseclick="t"/>
              <v:textbox style="mso-fit-shape-to-text:t" inset="0,0,0,15pt">
                <w:txbxContent>
                  <w:p w14:paraId="06831A98" w14:textId="6E9FF4DC"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DA340" w14:textId="77777777" w:rsidR="00A153DF" w:rsidRDefault="00A153DF" w:rsidP="00E21D39">
      <w:pPr>
        <w:spacing w:after="0" w:line="240" w:lineRule="auto"/>
      </w:pPr>
      <w:r>
        <w:separator/>
      </w:r>
    </w:p>
  </w:footnote>
  <w:footnote w:type="continuationSeparator" w:id="0">
    <w:p w14:paraId="6C12C34A" w14:textId="77777777" w:rsidR="00A153DF" w:rsidRDefault="00A153DF" w:rsidP="00E21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FF2D2" w14:textId="1A19E86A" w:rsidR="00E21D39" w:rsidRDefault="00E21D39">
    <w:pPr>
      <w:pStyle w:val="Header"/>
    </w:pPr>
    <w:r>
      <w:rPr>
        <w:noProof/>
      </w:rPr>
      <mc:AlternateContent>
        <mc:Choice Requires="wps">
          <w:drawing>
            <wp:anchor distT="0" distB="0" distL="0" distR="0" simplePos="0" relativeHeight="251659264" behindDoc="0" locked="0" layoutInCell="1" allowOverlap="1" wp14:anchorId="6EF5DB95" wp14:editId="45867980">
              <wp:simplePos x="635" y="635"/>
              <wp:positionH relativeFrom="page">
                <wp:align>center</wp:align>
              </wp:positionH>
              <wp:positionV relativeFrom="page">
                <wp:align>top</wp:align>
              </wp:positionV>
              <wp:extent cx="1005840" cy="405765"/>
              <wp:effectExtent l="0" t="0" r="3810" b="13335"/>
              <wp:wrapNone/>
              <wp:docPr id="199342145"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05840" cy="405765"/>
                      </a:xfrm>
                      <a:prstGeom prst="rect">
                        <a:avLst/>
                      </a:prstGeom>
                      <a:noFill/>
                      <a:ln>
                        <a:noFill/>
                      </a:ln>
                    </wps:spPr>
                    <wps:txbx>
                      <w:txbxContent>
                        <w:p w14:paraId="73972AC6" w14:textId="0950D569"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F5DB95" id="_x0000_t202" coordsize="21600,21600" o:spt="202" path="m,l,21600r21600,l21600,xe">
              <v:stroke joinstyle="miter"/>
              <v:path gradientshapeok="t" o:connecttype="rect"/>
            </v:shapetype>
            <v:shape id="Text Box 2" o:spid="_x0000_s1026" type="#_x0000_t202" alt="UNCLASSIFIED" style="position:absolute;margin-left:0;margin-top:0;width:79.2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alrCQIAABYEAAAOAAAAZHJzL2Uyb0RvYy54bWysU8Fu2zAMvQ/YPwi6L3aKpmuNOEXWIsOA&#10;oC2QDj0rshwbkERBYmJnXz9KsZOt22nYRaZJ6pF8fJrf90azg/KhBVvy6STnTFkJVWt3Jf/+uvp0&#10;y1lAYSuhwaqSH1Xg94uPH+adK9QVNKAr5RmB2FB0ruQNoiuyLMhGGREm4JSlYA3eCKRfv8sqLzpC&#10;Nzq7yvObrANfOQ9ShUDex1OQLxJ+XSuJz3UdFDJdcuoN0+nTuY1ntpiLYueFa1o5tCH+oQsjWktF&#10;z1CPAgXb+/YPKNNKDwFqnEgwGdR1K1WagaaZ5u+m2TTCqTQLkRPcmabw/2Dl02HjXjzD/gv0tMBI&#10;SOdCEcgZ5+lrb+KXOmUUJwqPZ9pUj0zGS3k+u72mkKTYdT77fDOLMNnltvMBvyowLBol97SWxJY4&#10;rAOeUseUWMzCqtU6rUbb3xyEGT3ZpcVoYb/th763UB1pHA+nTQcnVy3VXIuAL8LTaqlNkis+01Fr&#10;6EoOg8VZA/7H3/wxnxinKGcdSaXklrTMmf5maRNRVcmY3uWznP786N6Oht2bByABTuktOJnMmId6&#10;NGsP5o2EvIyFKCSspHIlx9F8wJNm6SFItVymJBKQE7i2GycjdOQpkvjavwnvBqaRdvQEo45E8Y7w&#10;U268Gdxyj0R72kbk9ETkQDWJL+1zeChR3b/+p6zLc178BAAA//8DAFBLAwQUAAYACAAAACEAV6Jq&#10;9doAAAAEAQAADwAAAGRycy9kb3ducmV2LnhtbEyPQU/CQBCF7yb+h82YeJNt1RKo3RJiwoEbonIe&#10;umNb7c423QEqv97Fi14meXkv731TLEbXqSMNofVsIJ0koIgrb1uuDby9ru5moIIgW+w8k4FvCrAo&#10;r68KzK0/8Qsdt1KrWMIhRwONSJ9rHaqGHIaJ74mj9+EHhxLlUGs74CmWu07fJ8lUO2w5LjTY03ND&#10;1df24Ay02dJLSu/r1efOpT49b9bZeWPM7c24fAIlNMpfGC74ER3KyLT3B7ZBdQbiI/J7L142ewS1&#10;NzB9mIMuC/0fvvwBAAD//wMAUEsBAi0AFAAGAAgAAAAhALaDOJL+AAAA4QEAABMAAAAAAAAAAAAA&#10;AAAAAAAAAFtDb250ZW50X1R5cGVzXS54bWxQSwECLQAUAAYACAAAACEAOP0h/9YAAACUAQAACwAA&#10;AAAAAAAAAAAAAAAvAQAAX3JlbHMvLnJlbHNQSwECLQAUAAYACAAAACEA8C2pawkCAAAWBAAADgAA&#10;AAAAAAAAAAAAAAAuAgAAZHJzL2Uyb0RvYy54bWxQSwECLQAUAAYACAAAACEAV6Jq9doAAAAEAQAA&#10;DwAAAAAAAAAAAAAAAABjBAAAZHJzL2Rvd25yZXYueG1sUEsFBgAAAAAEAAQA8wAAAGoFAAAAAA==&#10;" filled="f" stroked="f">
              <v:fill o:detectmouseclick="t"/>
              <v:textbox style="mso-fit-shape-to-text:t" inset="0,15pt,0,0">
                <w:txbxContent>
                  <w:p w14:paraId="73972AC6" w14:textId="0950D569"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6D1DF" w14:textId="5DFEAB72" w:rsidR="00E21D39" w:rsidRDefault="00E21D39">
    <w:pPr>
      <w:pStyle w:val="Header"/>
    </w:pPr>
    <w:r>
      <w:rPr>
        <w:noProof/>
      </w:rPr>
      <mc:AlternateContent>
        <mc:Choice Requires="wps">
          <w:drawing>
            <wp:anchor distT="0" distB="0" distL="0" distR="0" simplePos="0" relativeHeight="251660288" behindDoc="0" locked="0" layoutInCell="1" allowOverlap="1" wp14:anchorId="0E041C31" wp14:editId="15682E70">
              <wp:simplePos x="914400" y="453006"/>
              <wp:positionH relativeFrom="page">
                <wp:align>center</wp:align>
              </wp:positionH>
              <wp:positionV relativeFrom="page">
                <wp:align>top</wp:align>
              </wp:positionV>
              <wp:extent cx="1005840" cy="405765"/>
              <wp:effectExtent l="0" t="0" r="3810" b="13335"/>
              <wp:wrapNone/>
              <wp:docPr id="437887150"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05840" cy="405765"/>
                      </a:xfrm>
                      <a:prstGeom prst="rect">
                        <a:avLst/>
                      </a:prstGeom>
                      <a:noFill/>
                      <a:ln>
                        <a:noFill/>
                      </a:ln>
                    </wps:spPr>
                    <wps:txbx>
                      <w:txbxContent>
                        <w:p w14:paraId="78699095" w14:textId="04DC9367"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041C31" id="_x0000_t202" coordsize="21600,21600" o:spt="202" path="m,l,21600r21600,l21600,xe">
              <v:stroke joinstyle="miter"/>
              <v:path gradientshapeok="t" o:connecttype="rect"/>
            </v:shapetype>
            <v:shape id="Text Box 3" o:spid="_x0000_s1027" type="#_x0000_t202" alt="UNCLASSIFIED" style="position:absolute;margin-left:0;margin-top:0;width:79.2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6+DAIAAB0EAAAOAAAAZHJzL2Uyb0RvYy54bWysU8Fu2zAMvQ/YPwi6L3aKpuuMOEXWIsOA&#10;oC2QDj0rshQbkEVBYmJnXz9KjpOu22nYRaZJ6pF8fJrf9a1hB+VDA7bk00nOmbISqsbuSv7jZfXp&#10;lrOAwlbCgFUlP6rA7xYfP8w7V6grqMFUyjMCsaHoXMlrRFdkWZC1akWYgFOWghp8K5B+/S6rvOgI&#10;vTXZVZ7fZB34ynmQKgTyPgxBvkj4WiuJT1oHhcyUnHrDdPp0buOZLeai2Hnh6kae2hD/0EUrGktF&#10;z1APAgXb++YPqLaRHgJonEhoM9C6kSrNQNNM83fTbGrhVJqFyAnuTFP4f7Dy8bBxz55h/xV6WmAk&#10;pHOhCOSM8/Tat/FLnTKKE4XHM22qRybjpTyf3V5TSFLsOp99vplFmOxy2/mA3xS0LBol97SWxJY4&#10;rAMOqWNKLGZh1RiTVmPsbw7CjJ7s0mK0sN/2rKnetL+F6khTeRgWHpxcNVR6LQI+C08bpm5JtfhE&#10;hzbQlRxOFmc1+J9/88d8Ip6inHWkmJJbkjRn5rulhURxJWP6JZ/l9OdH93Y07L69B9LhlJ6Ek8mM&#10;eWhGU3toX0nPy1iIQsJKKldyHM17HKRL70Gq5TIlkY6cwLXdOBmhI12Ry5f+VXh3IhxpVY8wykkU&#10;73gfcuPN4JZ7JPbTUiK1A5EnxkmDaa2n9xJF/vY/ZV1e9eIXAAAA//8DAFBLAwQUAAYACAAAACEA&#10;V6Jq9doAAAAEAQAADwAAAGRycy9kb3ducmV2LnhtbEyPQU/CQBCF7yb+h82YeJNt1RKo3RJiwoEb&#10;onIeumNb7c423QEqv97Fi14meXkv731TLEbXqSMNofVsIJ0koIgrb1uuDby9ru5moIIgW+w8k4Fv&#10;CrAor68KzK0/8Qsdt1KrWMIhRwONSJ9rHaqGHIaJ74mj9+EHhxLlUGs74CmWu07fJ8lUO2w5LjTY&#10;03ND1df24Ay02dJLSu/r1efOpT49b9bZeWPM7c24fAIlNMpfGC74ER3KyLT3B7ZBdQbiI/J7L142&#10;ewS1NzB9mIMuC/0fvvwBAAD//wMAUEsBAi0AFAAGAAgAAAAhALaDOJL+AAAA4QEAABMAAAAAAAAA&#10;AAAAAAAAAAAAAFtDb250ZW50X1R5cGVzXS54bWxQSwECLQAUAAYACAAAACEAOP0h/9YAAACUAQAA&#10;CwAAAAAAAAAAAAAAAAAvAQAAX3JlbHMvLnJlbHNQSwECLQAUAAYACAAAACEAPuAuvgwCAAAdBAAA&#10;DgAAAAAAAAAAAAAAAAAuAgAAZHJzL2Uyb0RvYy54bWxQSwECLQAUAAYACAAAACEAV6Jq9doAAAAE&#10;AQAADwAAAAAAAAAAAAAAAABmBAAAZHJzL2Rvd25yZXYueG1sUEsFBgAAAAAEAAQA8wAAAG0FAAAA&#10;AA==&#10;" filled="f" stroked="f">
              <v:fill o:detectmouseclick="t"/>
              <v:textbox style="mso-fit-shape-to-text:t" inset="0,15pt,0,0">
                <w:txbxContent>
                  <w:p w14:paraId="78699095" w14:textId="04DC9367"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6E694" w14:textId="686DCF95" w:rsidR="00E21D39" w:rsidRDefault="00E21D39">
    <w:pPr>
      <w:pStyle w:val="Header"/>
    </w:pPr>
    <w:r>
      <w:rPr>
        <w:noProof/>
      </w:rPr>
      <mc:AlternateContent>
        <mc:Choice Requires="wps">
          <w:drawing>
            <wp:anchor distT="0" distB="0" distL="0" distR="0" simplePos="0" relativeHeight="251658240" behindDoc="0" locked="0" layoutInCell="1" allowOverlap="1" wp14:anchorId="57C17559" wp14:editId="7C5C092A">
              <wp:simplePos x="635" y="635"/>
              <wp:positionH relativeFrom="page">
                <wp:align>center</wp:align>
              </wp:positionH>
              <wp:positionV relativeFrom="page">
                <wp:align>top</wp:align>
              </wp:positionV>
              <wp:extent cx="1005840" cy="405765"/>
              <wp:effectExtent l="0" t="0" r="3810" b="13335"/>
              <wp:wrapNone/>
              <wp:docPr id="88724059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05840" cy="405765"/>
                      </a:xfrm>
                      <a:prstGeom prst="rect">
                        <a:avLst/>
                      </a:prstGeom>
                      <a:noFill/>
                      <a:ln>
                        <a:noFill/>
                      </a:ln>
                    </wps:spPr>
                    <wps:txbx>
                      <w:txbxContent>
                        <w:p w14:paraId="2E331799" w14:textId="791D1588"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C17559" id="_x0000_t202" coordsize="21600,21600" o:spt="202" path="m,l,21600r21600,l21600,xe">
              <v:stroke joinstyle="miter"/>
              <v:path gradientshapeok="t" o:connecttype="rect"/>
            </v:shapetype>
            <v:shape id="Text Box 1" o:spid="_x0000_s1030" type="#_x0000_t202" alt="UNCLASSIFIED" style="position:absolute;margin-left:0;margin-top:0;width:79.2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Z1DQIAAB0EAAAOAAAAZHJzL2Uyb0RvYy54bWysU8Fu2zAMvQ/YPwi6L3aKpmuNOEXWIsOA&#10;oC2QDj0rshwbkERBYmJnXz9KjpOt22nYRaZJ6pF8fJrf90azg/KhBVvy6STnTFkJVWt3Jf/+uvp0&#10;y1lAYSuhwaqSH1Xg94uPH+adK9QVNKAr5RmB2FB0ruQNoiuyLMhGGREm4JSlYA3eCKRfv8sqLzpC&#10;Nzq7yvObrANfOQ9ShUDexyHIFwm/rpXE57oOCpkuOfWG6fTp3MYzW8xFsfPCNa08tSH+oQsjWktF&#10;z1CPAgXb+/YPKNNKDwFqnEgwGdR1K1WagaaZ5u+m2TTCqTQLkRPcmabw/2Dl02HjXjzD/gv0tMBI&#10;SOdCEcgZ5+lrb+KXOmUUJwqPZ9pUj0zGS3k+u72mkKTYdT77fDOLMNnltvMBvyowLBol97SWxJY4&#10;rAMOqWNKLGZh1WqdVqPtbw7CjJ7s0mK0sN/2rK2o+Nj+FqojTeVhWHhwctVS6bUI+CI8bZi6JdXi&#10;Mx21hq7kcLI4a8D/+Js/5hPxFOWsI8WU3JKkOdPfLC0kiisZ07t8ltOfH93b0bB78wCkwyk9CSeT&#10;GfNQj2btwbyRnpexEIWElVSu5DiaDzhIl96DVMtlSiIdOYFru3EyQke6Ipev/Zvw7kQ40qqeYJST&#10;KN7xPuTGm8Et90jsp6VEagciT4yTBtNaT+8livzX/5R1edWLnwAAAP//AwBQSwMEFAAGAAgAAAAh&#10;AFeiavXaAAAABAEAAA8AAABkcnMvZG93bnJldi54bWxMj0FPwkAQhe8m/ofNmHiTbdUSqN0SYsKB&#10;G6JyHrpjW+3ONt0BKr/exYteJnl5L+99UyxG16kjDaH1bCCdJKCIK29brg28va7uZqCCIFvsPJOB&#10;bwqwKK+vCsytP/ELHbdSq1jCIUcDjUifax2qhhyGie+Jo/fhB4cS5VBrO+AplrtO3yfJVDtsOS40&#10;2NNzQ9XX9uAMtNnSS0rv69XnzqU+PW/W2XljzO3NuHwCJTTKXxgu+BEdysi09we2QXUG4iPyey9e&#10;NnsEtTcwfZiDLgv9H778AQAA//8DAFBLAQItABQABgAIAAAAIQC2gziS/gAAAOEBAAATAAAAAAAA&#10;AAAAAAAAAAAAAABbQ29udGVudF9UeXBlc10ueG1sUEsBAi0AFAAGAAgAAAAhADj9If/WAAAAlAEA&#10;AAsAAAAAAAAAAAAAAAAALwEAAF9yZWxzLy5yZWxzUEsBAi0AFAAGAAgAAAAhAOeiVnUNAgAAHQQA&#10;AA4AAAAAAAAAAAAAAAAALgIAAGRycy9lMm9Eb2MueG1sUEsBAi0AFAAGAAgAAAAhAFeiavXaAAAA&#10;BAEAAA8AAAAAAAAAAAAAAAAAZwQAAGRycy9kb3ducmV2LnhtbFBLBQYAAAAABAAEAPMAAABuBQAA&#10;AAA=&#10;" filled="f" stroked="f">
              <v:fill o:detectmouseclick="t"/>
              <v:textbox style="mso-fit-shape-to-text:t" inset="0,15pt,0,0">
                <w:txbxContent>
                  <w:p w14:paraId="2E331799" w14:textId="791D1588" w:rsidR="00E21D39" w:rsidRPr="00E21D39" w:rsidRDefault="00E21D39" w:rsidP="00E21D39">
                    <w:pPr>
                      <w:spacing w:after="0"/>
                      <w:rPr>
                        <w:rFonts w:ascii="Aptos" w:eastAsia="Aptos" w:hAnsi="Aptos" w:cs="Aptos"/>
                        <w:noProof/>
                        <w:color w:val="000000"/>
                      </w:rPr>
                    </w:pPr>
                    <w:r w:rsidRPr="00E21D39">
                      <w:rPr>
                        <w:rFonts w:ascii="Aptos" w:eastAsia="Aptos" w:hAnsi="Aptos" w:cs="Aptos"/>
                        <w:noProof/>
                        <w:color w:val="000000"/>
                      </w:rPr>
                      <w:t>UNCLASSIFIED</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FA5"/>
    <w:rsid w:val="003452D1"/>
    <w:rsid w:val="003E365E"/>
    <w:rsid w:val="00505F27"/>
    <w:rsid w:val="005B4711"/>
    <w:rsid w:val="00612FE5"/>
    <w:rsid w:val="0074013C"/>
    <w:rsid w:val="00885FA5"/>
    <w:rsid w:val="00A153DF"/>
    <w:rsid w:val="00A4603A"/>
    <w:rsid w:val="00A728EE"/>
    <w:rsid w:val="00B11203"/>
    <w:rsid w:val="00C65256"/>
    <w:rsid w:val="00E21D39"/>
    <w:rsid w:val="00EC1290"/>
    <w:rsid w:val="00F7186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BA81"/>
  <w15:chartTrackingRefBased/>
  <w15:docId w15:val="{8F3A6564-D151-4209-9407-9D777776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F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F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F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F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F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F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F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F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F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F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F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F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F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F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F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FA5"/>
    <w:rPr>
      <w:rFonts w:eastAsiaTheme="majorEastAsia" w:cstheme="majorBidi"/>
      <w:color w:val="272727" w:themeColor="text1" w:themeTint="D8"/>
    </w:rPr>
  </w:style>
  <w:style w:type="paragraph" w:styleId="Title">
    <w:name w:val="Title"/>
    <w:basedOn w:val="Normal"/>
    <w:next w:val="Normal"/>
    <w:link w:val="TitleChar"/>
    <w:uiPriority w:val="10"/>
    <w:qFormat/>
    <w:rsid w:val="00885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F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F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FA5"/>
    <w:pPr>
      <w:spacing w:before="160"/>
      <w:jc w:val="center"/>
    </w:pPr>
    <w:rPr>
      <w:i/>
      <w:iCs/>
      <w:color w:val="404040" w:themeColor="text1" w:themeTint="BF"/>
    </w:rPr>
  </w:style>
  <w:style w:type="character" w:customStyle="1" w:styleId="QuoteChar">
    <w:name w:val="Quote Char"/>
    <w:basedOn w:val="DefaultParagraphFont"/>
    <w:link w:val="Quote"/>
    <w:uiPriority w:val="29"/>
    <w:rsid w:val="00885FA5"/>
    <w:rPr>
      <w:i/>
      <w:iCs/>
      <w:color w:val="404040" w:themeColor="text1" w:themeTint="BF"/>
    </w:rPr>
  </w:style>
  <w:style w:type="paragraph" w:styleId="ListParagraph">
    <w:name w:val="List Paragraph"/>
    <w:basedOn w:val="Normal"/>
    <w:uiPriority w:val="34"/>
    <w:qFormat/>
    <w:rsid w:val="00885FA5"/>
    <w:pPr>
      <w:ind w:left="720"/>
      <w:contextualSpacing/>
    </w:pPr>
  </w:style>
  <w:style w:type="character" w:styleId="IntenseEmphasis">
    <w:name w:val="Intense Emphasis"/>
    <w:basedOn w:val="DefaultParagraphFont"/>
    <w:uiPriority w:val="21"/>
    <w:qFormat/>
    <w:rsid w:val="00885FA5"/>
    <w:rPr>
      <w:i/>
      <w:iCs/>
      <w:color w:val="0F4761" w:themeColor="accent1" w:themeShade="BF"/>
    </w:rPr>
  </w:style>
  <w:style w:type="paragraph" w:styleId="IntenseQuote">
    <w:name w:val="Intense Quote"/>
    <w:basedOn w:val="Normal"/>
    <w:next w:val="Normal"/>
    <w:link w:val="IntenseQuoteChar"/>
    <w:uiPriority w:val="30"/>
    <w:qFormat/>
    <w:rsid w:val="00885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FA5"/>
    <w:rPr>
      <w:i/>
      <w:iCs/>
      <w:color w:val="0F4761" w:themeColor="accent1" w:themeShade="BF"/>
    </w:rPr>
  </w:style>
  <w:style w:type="character" w:styleId="IntenseReference">
    <w:name w:val="Intense Reference"/>
    <w:basedOn w:val="DefaultParagraphFont"/>
    <w:uiPriority w:val="32"/>
    <w:qFormat/>
    <w:rsid w:val="00885FA5"/>
    <w:rPr>
      <w:b/>
      <w:bCs/>
      <w:smallCaps/>
      <w:color w:val="0F4761" w:themeColor="accent1" w:themeShade="BF"/>
      <w:spacing w:val="5"/>
    </w:rPr>
  </w:style>
  <w:style w:type="character" w:styleId="Hyperlink">
    <w:name w:val="Hyperlink"/>
    <w:basedOn w:val="DefaultParagraphFont"/>
    <w:uiPriority w:val="99"/>
    <w:unhideWhenUsed/>
    <w:rsid w:val="0074013C"/>
    <w:rPr>
      <w:color w:val="467886" w:themeColor="hyperlink"/>
      <w:u w:val="single"/>
    </w:rPr>
  </w:style>
  <w:style w:type="character" w:styleId="UnresolvedMention">
    <w:name w:val="Unresolved Mention"/>
    <w:basedOn w:val="DefaultParagraphFont"/>
    <w:uiPriority w:val="99"/>
    <w:semiHidden/>
    <w:unhideWhenUsed/>
    <w:rsid w:val="0074013C"/>
    <w:rPr>
      <w:color w:val="605E5C"/>
      <w:shd w:val="clear" w:color="auto" w:fill="E1DFDD"/>
    </w:rPr>
  </w:style>
  <w:style w:type="paragraph" w:styleId="Header">
    <w:name w:val="header"/>
    <w:basedOn w:val="Normal"/>
    <w:link w:val="HeaderChar"/>
    <w:uiPriority w:val="99"/>
    <w:unhideWhenUsed/>
    <w:rsid w:val="00E21D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D39"/>
  </w:style>
  <w:style w:type="paragraph" w:styleId="Footer">
    <w:name w:val="footer"/>
    <w:basedOn w:val="Normal"/>
    <w:link w:val="FooterChar"/>
    <w:uiPriority w:val="99"/>
    <w:unhideWhenUsed/>
    <w:rsid w:val="00E21D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hatu.govt.nz/career-practice-hub"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orkresearch.aut.ac.nz/__data/assets/pdf_%20f%20ile/0010/436177/working-paper-20_15.pdf" TargetMode="External"/><Relationship Id="rId12" Type="http://schemas.openxmlformats.org/officeDocument/2006/relationships/hyperlink" Target="https://www.tec.govt.nz/strategic-initiatives/careers-system/national-careers-system-strategy/national-careers-system-strategy"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victoria.metcalf@tec.govt.nz" TargetMode="External"/><Relationship Id="rId11" Type="http://schemas.openxmlformats.org/officeDocument/2006/relationships/hyperlink" Target="https://www.tec.govt.nz/strategic-initiatives/careers-system/national-careers-system-strategy/national-careers-system-strategy"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tahatu.govt.nz/"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1787/9a94bfad-e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f842e77-a06d-4e27-a278-e9985af635b7}" enabled="1" method="Standard" siteId="{e8e4d407-812f-46ec-8e96-0358754f4085}" removed="0"/>
</clbl:labelList>
</file>

<file path=docProps/app.xml><?xml version="1.0" encoding="utf-8"?>
<Properties xmlns="http://schemas.openxmlformats.org/officeDocument/2006/extended-properties" xmlns:vt="http://schemas.openxmlformats.org/officeDocument/2006/docPropsVTypes">
  <Template>Normal</Template>
  <TotalTime>79</TotalTime>
  <Pages>3</Pages>
  <Words>742</Words>
  <Characters>5547</Characters>
  <Application>Microsoft Office Word</Application>
  <DocSecurity>0</DocSecurity>
  <Lines>82</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Metcalf</dc:creator>
  <cp:keywords/>
  <dc:description/>
  <cp:lastModifiedBy>Victoria Metcalf</cp:lastModifiedBy>
  <cp:revision>2</cp:revision>
  <dcterms:created xsi:type="dcterms:W3CDTF">2026-04-17T09:12:00Z</dcterms:created>
  <dcterms:modified xsi:type="dcterms:W3CDTF">2026-04-17T11:04:00Z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34e2378f,be1b841,1a19a0ae</vt:lpwstr>
  </property>
  <property fmtid="{D5CDD505-2E9C-101B-9397-08002B2CF9AE}" pid="3" name="ClassificationContentMarkingHeaderFontProps">
    <vt:lpwstr>#000000,12,Aptos</vt:lpwstr>
  </property>
  <property fmtid="{D5CDD505-2E9C-101B-9397-08002B2CF9AE}" pid="4" name="ClassificationContentMarkingHeaderText">
    <vt:lpwstr>UNCLASSIFIED</vt:lpwstr>
  </property>
  <property fmtid="{D5CDD505-2E9C-101B-9397-08002B2CF9AE}" pid="5" name="ClassificationContentMarkingFooterShapeIds">
    <vt:lpwstr>4a5638d9,309dbf0,491413cb</vt:lpwstr>
  </property>
  <property fmtid="{D5CDD505-2E9C-101B-9397-08002B2CF9AE}" pid="6" name="ClassificationContentMarkingFooterFontProps">
    <vt:lpwstr>#000000,12,Aptos</vt:lpwstr>
  </property>
  <property fmtid="{D5CDD505-2E9C-101B-9397-08002B2CF9AE}" pid="7" name="ClassificationContentMarkingFooterText">
    <vt:lpwstr>UNCLASSIFIED</vt:lpwstr>
  </property>
</Properties>
</file>