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96CF1" w14:textId="77777777" w:rsidR="00F51A7E" w:rsidRPr="00476F6D" w:rsidRDefault="00000000">
      <w:pPr>
        <w:spacing w:after="160" w:line="360" w:lineRule="auto"/>
        <w:rPr>
          <w:sz w:val="24"/>
          <w:szCs w:val="24"/>
          <w:lang w:val="en-GB"/>
        </w:rPr>
      </w:pPr>
      <w:r w:rsidRPr="00476F6D">
        <w:rPr>
          <w:b/>
          <w:bCs/>
          <w:sz w:val="24"/>
          <w:szCs w:val="24"/>
          <w:lang w:val="en-GB"/>
        </w:rPr>
        <w:t>Workshop submission – A Practitioner’s View on Challenges Guidance Counsellors Face in Higher Education</w:t>
      </w:r>
    </w:p>
    <w:p w14:paraId="024544C7" w14:textId="77777777" w:rsidR="00F51A7E" w:rsidRPr="00F31266" w:rsidRDefault="00000000">
      <w:pPr>
        <w:spacing w:after="60" w:line="360" w:lineRule="auto"/>
        <w:rPr>
          <w:lang w:val="en-GB"/>
        </w:rPr>
      </w:pPr>
      <w:r w:rsidRPr="00F31266">
        <w:rPr>
          <w:b/>
          <w:bCs/>
          <w:lang w:val="en-GB"/>
        </w:rPr>
        <w:t xml:space="preserve">First contributor / presenter / facilitator: </w:t>
      </w:r>
      <w:r w:rsidRPr="00F31266">
        <w:rPr>
          <w:lang w:val="en-GB"/>
        </w:rPr>
        <w:t>Lindqvist, Paula, MA, Guidance and Career Counsellor / Special Education Counsellor, Metropolia University of Applied Sciences, Helsinki, Finland, paula.lindqvist@metropolia.fi</w:t>
      </w:r>
    </w:p>
    <w:p w14:paraId="366C36FF" w14:textId="77777777" w:rsidR="00F51A7E" w:rsidRPr="00F31266" w:rsidRDefault="00000000">
      <w:pPr>
        <w:spacing w:after="60" w:line="360" w:lineRule="auto"/>
        <w:rPr>
          <w:lang w:val="en-GB"/>
        </w:rPr>
      </w:pPr>
      <w:r w:rsidRPr="00F31266">
        <w:rPr>
          <w:b/>
          <w:bCs/>
          <w:lang w:val="en-GB"/>
        </w:rPr>
        <w:t xml:space="preserve">Additional roles: </w:t>
      </w:r>
      <w:r w:rsidRPr="00F31266">
        <w:rPr>
          <w:lang w:val="en-GB"/>
        </w:rPr>
        <w:t xml:space="preserve">Member of the HEI committee and the </w:t>
      </w:r>
      <w:proofErr w:type="gramStart"/>
      <w:r w:rsidRPr="00F31266">
        <w:rPr>
          <w:lang w:val="en-GB"/>
        </w:rPr>
        <w:t>International</w:t>
      </w:r>
      <w:proofErr w:type="gramEnd"/>
      <w:r w:rsidRPr="00F31266">
        <w:rPr>
          <w:lang w:val="en-GB"/>
        </w:rPr>
        <w:t xml:space="preserve"> committee of the Finnish guidance counsellors’ association (SOPO); President of the national guidance counsellors’ association in Finland (2022–2026)</w:t>
      </w:r>
    </w:p>
    <w:p w14:paraId="7A422298" w14:textId="77777777" w:rsidR="00F51A7E" w:rsidRPr="00F31266" w:rsidRDefault="00000000">
      <w:pPr>
        <w:spacing w:after="60" w:line="360" w:lineRule="auto"/>
        <w:rPr>
          <w:lang w:val="en-GB"/>
        </w:rPr>
      </w:pPr>
      <w:r w:rsidRPr="00F31266">
        <w:rPr>
          <w:b/>
          <w:bCs/>
          <w:lang w:val="en-GB"/>
        </w:rPr>
        <w:t xml:space="preserve">Conference theme: </w:t>
      </w:r>
      <w:r w:rsidRPr="00F31266">
        <w:rPr>
          <w:lang w:val="en-GB"/>
        </w:rPr>
        <w:t xml:space="preserve">Well-being – </w:t>
      </w:r>
      <w:proofErr w:type="spellStart"/>
      <w:r w:rsidRPr="00F31266">
        <w:rPr>
          <w:lang w:val="en-GB"/>
        </w:rPr>
        <w:t>Matariki</w:t>
      </w:r>
      <w:proofErr w:type="spellEnd"/>
    </w:p>
    <w:p w14:paraId="56362551" w14:textId="77777777" w:rsidR="00F51A7E" w:rsidRPr="00F31266" w:rsidRDefault="00000000">
      <w:pPr>
        <w:spacing w:after="60" w:line="360" w:lineRule="auto"/>
        <w:rPr>
          <w:lang w:val="en-GB"/>
        </w:rPr>
      </w:pPr>
      <w:r w:rsidRPr="00F31266">
        <w:rPr>
          <w:b/>
          <w:bCs/>
          <w:lang w:val="en-GB"/>
        </w:rPr>
        <w:t xml:space="preserve">Presentation language: </w:t>
      </w:r>
      <w:r w:rsidRPr="00F31266">
        <w:rPr>
          <w:lang w:val="en-GB"/>
        </w:rPr>
        <w:t>English</w:t>
      </w:r>
    </w:p>
    <w:p w14:paraId="76427741" w14:textId="77777777" w:rsidR="00F51A7E" w:rsidRPr="00F31266" w:rsidRDefault="00000000">
      <w:pPr>
        <w:spacing w:after="60" w:line="360" w:lineRule="auto"/>
        <w:rPr>
          <w:lang w:val="en-GB"/>
        </w:rPr>
      </w:pPr>
      <w:r w:rsidRPr="00F31266">
        <w:rPr>
          <w:b/>
          <w:bCs/>
          <w:lang w:val="en-GB"/>
        </w:rPr>
        <w:t xml:space="preserve">Session format: </w:t>
      </w:r>
      <w:r w:rsidRPr="00F31266">
        <w:rPr>
          <w:lang w:val="en-GB"/>
        </w:rPr>
        <w:t>Workshop of practices – interactive (60 minutes)</w:t>
      </w:r>
    </w:p>
    <w:p w14:paraId="6EE5E8DA" w14:textId="77777777" w:rsidR="00F51A7E" w:rsidRPr="00F31266" w:rsidRDefault="00000000">
      <w:pPr>
        <w:spacing w:after="60" w:line="360" w:lineRule="auto"/>
        <w:rPr>
          <w:lang w:val="en-GB"/>
        </w:rPr>
      </w:pPr>
      <w:r w:rsidRPr="00F31266">
        <w:rPr>
          <w:b/>
          <w:bCs/>
          <w:lang w:val="en-GB"/>
        </w:rPr>
        <w:t xml:space="preserve">Target audience: </w:t>
      </w:r>
      <w:r w:rsidRPr="00F31266">
        <w:rPr>
          <w:lang w:val="en-GB"/>
        </w:rPr>
        <w:t>Guidance counsellors and student-support practitioners working in universities and universities of applied sciences whose role includes supporting students’ transition, engagement, and well-being</w:t>
      </w:r>
    </w:p>
    <w:p w14:paraId="468622CA" w14:textId="77777777" w:rsidR="00003ECC" w:rsidRPr="00F31266" w:rsidRDefault="00003ECC">
      <w:pPr>
        <w:spacing w:after="60" w:line="360" w:lineRule="auto"/>
        <w:rPr>
          <w:lang w:val="en-GB"/>
        </w:rPr>
      </w:pPr>
    </w:p>
    <w:p w14:paraId="29701B56" w14:textId="77777777" w:rsidR="00F51A7E" w:rsidRPr="00F31266" w:rsidRDefault="00000000">
      <w:pPr>
        <w:spacing w:after="60" w:line="360" w:lineRule="auto"/>
        <w:rPr>
          <w:lang w:val="en-GB"/>
        </w:rPr>
      </w:pPr>
      <w:r w:rsidRPr="00F31266">
        <w:rPr>
          <w:b/>
          <w:bCs/>
          <w:lang w:val="en-GB"/>
        </w:rPr>
        <w:t xml:space="preserve">Keywords: </w:t>
      </w:r>
      <w:r w:rsidRPr="00F31266">
        <w:rPr>
          <w:lang w:val="en-GB"/>
        </w:rPr>
        <w:t>higher education; guidance counselling; student well-being; first-year transition; community of practice</w:t>
      </w:r>
    </w:p>
    <w:p w14:paraId="4CD5845D" w14:textId="0F95075E" w:rsidR="00F51A7E" w:rsidRPr="00F31266" w:rsidRDefault="00F72ADA" w:rsidP="00F72ADA">
      <w:pPr>
        <w:spacing w:after="60"/>
        <w:rPr>
          <w:lang w:val="en-GB"/>
        </w:rPr>
      </w:pPr>
      <w:r w:rsidRPr="00F31266">
        <w:rPr>
          <w:b/>
          <w:bCs/>
          <w:lang w:val="en-GB"/>
        </w:rPr>
        <w:t xml:space="preserve">Abstract: </w:t>
      </w:r>
      <w:r w:rsidRPr="00F31266">
        <w:rPr>
          <w:lang w:val="en-GB"/>
        </w:rPr>
        <w:t xml:space="preserve">Students beginning their studies at a higher education institution (HEI) face multiple simultaneous transitions — new institution, new city, new living situation, new social environment, and ways of studying that differ from secondary education. How students are engaged during the first terms is a key predictor of whether they complete their </w:t>
      </w:r>
      <w:proofErr w:type="gramStart"/>
      <w:r w:rsidRPr="00F31266">
        <w:rPr>
          <w:lang w:val="en-GB"/>
        </w:rPr>
        <w:t>studies ,</w:t>
      </w:r>
      <w:proofErr w:type="gramEnd"/>
      <w:r w:rsidRPr="00F31266">
        <w:rPr>
          <w:lang w:val="en-GB"/>
        </w:rPr>
        <w:t xml:space="preserve"> and guidance counsellors play a central role in that process. They also occupy a vantage point on students’ broader well-being, often being the first professional to become aware of academic, social, personal, or mental-health challenges. This interactive workshop creates a structured peer-learning space for HEI guidance counsellors internationally. A short framing introduction is followed by participant-led identification of the most acute challenges in current practice, a fishbowl discussion on the prioritised themes, and a synthesis of practical takeaways.</w:t>
      </w:r>
    </w:p>
    <w:p w14:paraId="497A039C" w14:textId="77777777" w:rsidR="00F72ADA" w:rsidRPr="00F31266" w:rsidRDefault="00F72ADA">
      <w:pPr>
        <w:spacing w:after="60" w:line="360" w:lineRule="auto"/>
        <w:rPr>
          <w:lang w:val="en-GB"/>
        </w:rPr>
      </w:pPr>
    </w:p>
    <w:p w14:paraId="536F2CF9" w14:textId="17CAB8C5" w:rsidR="00003ECC" w:rsidRPr="00F31266" w:rsidRDefault="00000000">
      <w:pPr>
        <w:spacing w:after="60" w:line="360" w:lineRule="auto"/>
        <w:rPr>
          <w:b/>
          <w:bCs/>
          <w:lang w:val="en-GB"/>
        </w:rPr>
      </w:pPr>
      <w:r w:rsidRPr="00F31266">
        <w:rPr>
          <w:b/>
          <w:bCs/>
          <w:lang w:val="en-GB"/>
        </w:rPr>
        <w:t>Introduction</w:t>
      </w:r>
    </w:p>
    <w:p w14:paraId="60416F9F" w14:textId="04FADA43" w:rsidR="00F51A7E" w:rsidRPr="00F31266" w:rsidRDefault="00000000">
      <w:pPr>
        <w:spacing w:after="160" w:line="360" w:lineRule="auto"/>
        <w:jc w:val="both"/>
        <w:rPr>
          <w:lang w:val="en-GB"/>
        </w:rPr>
      </w:pPr>
      <w:r w:rsidRPr="00F31266">
        <w:rPr>
          <w:lang w:val="en-GB"/>
        </w:rPr>
        <w:t xml:space="preserve">Young people starting their studies at a higher education institution (HEI) face a new situation on several fronts simultaneously. They enter a new institutional environment — a university or a university of applied sciences — often in another town. Many </w:t>
      </w:r>
      <w:proofErr w:type="gramStart"/>
      <w:r w:rsidRPr="00F31266">
        <w:rPr>
          <w:lang w:val="en-GB"/>
        </w:rPr>
        <w:t>move</w:t>
      </w:r>
      <w:proofErr w:type="gramEnd"/>
      <w:r w:rsidRPr="00F31266">
        <w:rPr>
          <w:lang w:val="en-GB"/>
        </w:rPr>
        <w:t xml:space="preserve"> into student accommodation for the first time, </w:t>
      </w:r>
      <w:proofErr w:type="gramStart"/>
      <w:r w:rsidRPr="00F31266">
        <w:rPr>
          <w:lang w:val="en-GB"/>
        </w:rPr>
        <w:t>have to</w:t>
      </w:r>
      <w:proofErr w:type="gramEnd"/>
      <w:r w:rsidRPr="00F31266">
        <w:rPr>
          <w:lang w:val="en-GB"/>
        </w:rPr>
        <w:t xml:space="preserve"> find their way in a new city, and need to build a new social network. The studies they are about to begin may differ substantially from what they were used to in their secondary education. A key question in predicting whether students will complete their studies is how they are engaged during the first terms</w:t>
      </w:r>
      <w:r w:rsidR="00003ECC" w:rsidRPr="00F31266">
        <w:rPr>
          <w:lang w:val="en-GB"/>
        </w:rPr>
        <w:t xml:space="preserve">. </w:t>
      </w:r>
      <w:r w:rsidRPr="00F31266">
        <w:rPr>
          <w:lang w:val="en-GB"/>
        </w:rPr>
        <w:t xml:space="preserve">This requires systematic institutional measures, and the guidance </w:t>
      </w:r>
      <w:r w:rsidRPr="00F31266">
        <w:rPr>
          <w:lang w:val="en-GB"/>
        </w:rPr>
        <w:lastRenderedPageBreak/>
        <w:t>counsellor plays a central role in helping students settle in, orient themselves, and feel at home in their new learning environment. Guidance counsellors also occupy a vantage point on student well-being more broadly: they are often the first professional to become aware of academic, social, personal, or mental-health challenges that students are navigating. This workshop takes a practitioner’s view on those challenges and creates a structured peer space for guidance counsellors from HEIs internationally to work on them together.</w:t>
      </w:r>
    </w:p>
    <w:p w14:paraId="49641B20" w14:textId="77777777" w:rsidR="00F51A7E" w:rsidRPr="00F31266" w:rsidRDefault="00000000">
      <w:pPr>
        <w:spacing w:after="60" w:line="360" w:lineRule="auto"/>
        <w:rPr>
          <w:lang w:val="en-GB"/>
        </w:rPr>
      </w:pPr>
      <w:r w:rsidRPr="00F31266">
        <w:rPr>
          <w:b/>
          <w:bCs/>
          <w:lang w:val="en-GB"/>
        </w:rPr>
        <w:t>Objectives</w:t>
      </w:r>
    </w:p>
    <w:p w14:paraId="207177D7" w14:textId="77777777" w:rsidR="00F51A7E" w:rsidRPr="00F31266" w:rsidRDefault="00000000">
      <w:pPr>
        <w:pStyle w:val="Luettelokappale"/>
        <w:numPr>
          <w:ilvl w:val="0"/>
          <w:numId w:val="2"/>
        </w:numPr>
        <w:spacing w:after="60" w:line="360" w:lineRule="auto"/>
        <w:jc w:val="both"/>
        <w:rPr>
          <w:lang w:val="en-GB"/>
        </w:rPr>
      </w:pPr>
      <w:r w:rsidRPr="00F31266">
        <w:rPr>
          <w:lang w:val="en-GB"/>
        </w:rPr>
        <w:t>To provide an international peer-discussion platform for guidance counselling practitioners working in universities and universities of applied sciences.</w:t>
      </w:r>
    </w:p>
    <w:p w14:paraId="3C0F2515" w14:textId="77777777" w:rsidR="00F51A7E" w:rsidRPr="00F31266" w:rsidRDefault="00000000">
      <w:pPr>
        <w:pStyle w:val="Luettelokappale"/>
        <w:numPr>
          <w:ilvl w:val="0"/>
          <w:numId w:val="2"/>
        </w:numPr>
        <w:spacing w:after="60" w:line="360" w:lineRule="auto"/>
        <w:jc w:val="both"/>
        <w:rPr>
          <w:lang w:val="en-GB"/>
        </w:rPr>
      </w:pPr>
      <w:r w:rsidRPr="00F31266">
        <w:rPr>
          <w:lang w:val="en-GB"/>
        </w:rPr>
        <w:t>To surface and share the most acute challenges that guidance counsellors currently face in their day-to-day work with HEI students.</w:t>
      </w:r>
    </w:p>
    <w:p w14:paraId="2C0E7664" w14:textId="77777777" w:rsidR="00F51A7E" w:rsidRPr="00F31266" w:rsidRDefault="00000000">
      <w:pPr>
        <w:pStyle w:val="Luettelokappale"/>
        <w:numPr>
          <w:ilvl w:val="0"/>
          <w:numId w:val="2"/>
        </w:numPr>
        <w:spacing w:after="60" w:line="360" w:lineRule="auto"/>
        <w:jc w:val="both"/>
        <w:rPr>
          <w:lang w:val="en-GB"/>
        </w:rPr>
      </w:pPr>
      <w:r w:rsidRPr="00F31266">
        <w:rPr>
          <w:lang w:val="en-GB"/>
        </w:rPr>
        <w:t>To enable participants to exchange practical strategies and approaches for supporting students’ engagement and well-being at the start of, and throughout, their higher education studies.</w:t>
      </w:r>
    </w:p>
    <w:p w14:paraId="41E0930D" w14:textId="77777777" w:rsidR="00F51A7E" w:rsidRPr="00F31266" w:rsidRDefault="00000000">
      <w:pPr>
        <w:pStyle w:val="Luettelokappale"/>
        <w:numPr>
          <w:ilvl w:val="0"/>
          <w:numId w:val="2"/>
        </w:numPr>
        <w:spacing w:after="60" w:line="360" w:lineRule="auto"/>
        <w:jc w:val="both"/>
        <w:rPr>
          <w:lang w:val="en-GB"/>
        </w:rPr>
      </w:pPr>
      <w:r w:rsidRPr="00F31266">
        <w:rPr>
          <w:lang w:val="en-GB"/>
        </w:rPr>
        <w:t>To contribute to an emerging international community of practice among HEI guidance counsellors that can continue after the conference.</w:t>
      </w:r>
    </w:p>
    <w:p w14:paraId="5F762074" w14:textId="77777777" w:rsidR="00F51A7E" w:rsidRPr="00F31266" w:rsidRDefault="00000000">
      <w:pPr>
        <w:spacing w:after="60" w:line="360" w:lineRule="auto"/>
        <w:rPr>
          <w:lang w:val="en-GB"/>
        </w:rPr>
      </w:pPr>
      <w:r w:rsidRPr="00F31266">
        <w:rPr>
          <w:b/>
          <w:bCs/>
          <w:lang w:val="en-GB"/>
        </w:rPr>
        <w:t>Theoretical basis</w:t>
      </w:r>
    </w:p>
    <w:p w14:paraId="51C7EDF6" w14:textId="677D5729" w:rsidR="00F51A7E" w:rsidRPr="00F31266" w:rsidRDefault="00000000">
      <w:pPr>
        <w:spacing w:after="160" w:line="360" w:lineRule="auto"/>
        <w:jc w:val="both"/>
        <w:rPr>
          <w:lang w:val="en-GB"/>
        </w:rPr>
      </w:pPr>
      <w:r w:rsidRPr="00F31266">
        <w:rPr>
          <w:lang w:val="en-GB"/>
        </w:rPr>
        <w:t>The workshop draws on three connected bodies of work. First, models of student integration and retention argue that students’ academic and social integration during the first year is a key determinant of persistence and completion, and that institutional guidance and support are pivotal in that process. Second, contemporary student engagement frameworks conceptualise engagement as a dynamic relationship between the student and the institutional environment, mediated by structural factors (including support services) and psychosocial factors (including belonging and well-being). Third, the workshop is grounded in communities of practice theory, which treats professional learning as situated, social, and dialogical — particularly valuable for guidance counsellors, whose expertise is built partly through exchange with peers working in comparable roles across different contexts. The fishbowl method operationalises this orientation, producing a structured but flexible dialogue in which knowledge is co-constructed by the participants themselves.</w:t>
      </w:r>
    </w:p>
    <w:p w14:paraId="7E00DED0" w14:textId="77777777" w:rsidR="00F51A7E" w:rsidRPr="00F31266" w:rsidRDefault="00000000">
      <w:pPr>
        <w:spacing w:after="60" w:line="360" w:lineRule="auto"/>
        <w:rPr>
          <w:lang w:val="en-GB"/>
        </w:rPr>
      </w:pPr>
      <w:r w:rsidRPr="00F31266">
        <w:rPr>
          <w:b/>
          <w:bCs/>
          <w:lang w:val="en-GB"/>
        </w:rPr>
        <w:t>Methodology</w:t>
      </w:r>
    </w:p>
    <w:p w14:paraId="0270D9B6" w14:textId="77777777" w:rsidR="00F51A7E" w:rsidRPr="00F31266" w:rsidRDefault="00000000">
      <w:pPr>
        <w:spacing w:after="160" w:line="360" w:lineRule="auto"/>
        <w:jc w:val="both"/>
        <w:rPr>
          <w:lang w:val="en-GB"/>
        </w:rPr>
      </w:pPr>
      <w:r w:rsidRPr="00F31266">
        <w:rPr>
          <w:lang w:val="en-GB"/>
        </w:rPr>
        <w:t>The workshop is interactive and runs for 60 minutes in the following sequence.</w:t>
      </w:r>
    </w:p>
    <w:p w14:paraId="3E5CD03E" w14:textId="77777777" w:rsidR="00F51A7E" w:rsidRPr="00F31266" w:rsidRDefault="00000000">
      <w:pPr>
        <w:pStyle w:val="Luettelokappale"/>
        <w:numPr>
          <w:ilvl w:val="0"/>
          <w:numId w:val="2"/>
        </w:numPr>
        <w:spacing w:after="60" w:line="360" w:lineRule="auto"/>
        <w:jc w:val="both"/>
        <w:rPr>
          <w:lang w:val="en-GB"/>
        </w:rPr>
      </w:pPr>
      <w:r w:rsidRPr="00F31266">
        <w:rPr>
          <w:lang w:val="en-GB"/>
        </w:rPr>
        <w:t>Introduction (10 minutes). A short framing presentation by the facilitator introducing the first-year HEI transition and the role of guidance counsellors in student engagement and well-</w:t>
      </w:r>
      <w:r w:rsidRPr="00F31266">
        <w:rPr>
          <w:lang w:val="en-GB"/>
        </w:rPr>
        <w:lastRenderedPageBreak/>
        <w:t>being, drawing on the literature above and on practitioner experience from the Finnish HEI context.</w:t>
      </w:r>
    </w:p>
    <w:p w14:paraId="09ADAC0D" w14:textId="77777777" w:rsidR="00F51A7E" w:rsidRPr="00F31266" w:rsidRDefault="00000000">
      <w:pPr>
        <w:pStyle w:val="Luettelokappale"/>
        <w:numPr>
          <w:ilvl w:val="0"/>
          <w:numId w:val="2"/>
        </w:numPr>
        <w:spacing w:after="60" w:line="360" w:lineRule="auto"/>
        <w:jc w:val="both"/>
        <w:rPr>
          <w:lang w:val="en-GB"/>
        </w:rPr>
      </w:pPr>
      <w:r w:rsidRPr="00F31266">
        <w:rPr>
          <w:lang w:val="en-GB"/>
        </w:rPr>
        <w:t>Issue identification (15 minutes). Participants work in pairs and small groups to identify the most acute challenges they wish the workshop to address. Contributions are collected on a shared visible surface (flipchart / digital board) and clustered by the facilitator, who selects the order in which themes are taken up.</w:t>
      </w:r>
    </w:p>
    <w:p w14:paraId="66AE2AD0" w14:textId="784D5D1C" w:rsidR="00F51A7E" w:rsidRPr="00F31266" w:rsidRDefault="00000000">
      <w:pPr>
        <w:pStyle w:val="Luettelokappale"/>
        <w:numPr>
          <w:ilvl w:val="0"/>
          <w:numId w:val="2"/>
        </w:numPr>
        <w:spacing w:after="60" w:line="360" w:lineRule="auto"/>
        <w:jc w:val="both"/>
        <w:rPr>
          <w:lang w:val="en-GB"/>
        </w:rPr>
      </w:pPr>
      <w:r w:rsidRPr="00F31266">
        <w:rPr>
          <w:lang w:val="en-GB"/>
        </w:rPr>
        <w:t>Fishbowl discussion (25 minutes). A fishbowl format is used to address the prioritised challenges. A small inner circle of participants discusses a theme while the outer circle listens; seats in the inner circle rotate so that everyone who wishes can contribute. The facilitator keeps the discussion focused and moves between themes as time allows.</w:t>
      </w:r>
    </w:p>
    <w:p w14:paraId="42AD6154" w14:textId="77777777" w:rsidR="00F51A7E" w:rsidRPr="00F31266" w:rsidRDefault="00000000">
      <w:pPr>
        <w:pStyle w:val="Luettelokappale"/>
        <w:numPr>
          <w:ilvl w:val="0"/>
          <w:numId w:val="2"/>
        </w:numPr>
        <w:spacing w:after="60" w:line="360" w:lineRule="auto"/>
        <w:jc w:val="both"/>
        <w:rPr>
          <w:lang w:val="en-GB"/>
        </w:rPr>
      </w:pPr>
      <w:r w:rsidRPr="00F31266">
        <w:rPr>
          <w:lang w:val="en-GB"/>
        </w:rPr>
        <w:t>Synthesis (10 minutes). The facilitator synthesises the main insights, practical strategies, and open questions that have emerged, and invites participants to co-draft a short set of takeaways and a potential follow-up mechanism for staying in contact after the conference.</w:t>
      </w:r>
    </w:p>
    <w:p w14:paraId="107B9F59" w14:textId="77777777" w:rsidR="00F51A7E" w:rsidRPr="00F31266" w:rsidRDefault="00000000">
      <w:pPr>
        <w:spacing w:after="160" w:line="360" w:lineRule="auto"/>
        <w:jc w:val="both"/>
        <w:rPr>
          <w:lang w:val="en-GB"/>
        </w:rPr>
      </w:pPr>
      <w:r w:rsidRPr="00F31266">
        <w:rPr>
          <w:lang w:val="en-GB"/>
        </w:rPr>
        <w:t>The workshop is designed to work with groups from around ten to approximately forty participants. Materials required are minimal: flipcharts and markers or an equivalent shared digital surface, and a room layout that allows an inner and outer circle to be formed.</w:t>
      </w:r>
    </w:p>
    <w:p w14:paraId="719CC5E9" w14:textId="65FDE7A3" w:rsidR="00F51A7E" w:rsidRPr="00F31266" w:rsidRDefault="00DA5A64">
      <w:pPr>
        <w:spacing w:after="60" w:line="360" w:lineRule="auto"/>
        <w:rPr>
          <w:lang w:val="en-GB"/>
        </w:rPr>
      </w:pPr>
      <w:r w:rsidRPr="00F31266">
        <w:rPr>
          <w:b/>
          <w:bCs/>
          <w:lang w:val="en-GB"/>
        </w:rPr>
        <w:t>Outcomes</w:t>
      </w:r>
    </w:p>
    <w:p w14:paraId="6C2959D3" w14:textId="77777777" w:rsidR="00DA5A64" w:rsidRPr="00F31266" w:rsidRDefault="00DA5A64" w:rsidP="00DA5A64">
      <w:pPr>
        <w:spacing w:after="60" w:line="360" w:lineRule="auto"/>
        <w:rPr>
          <w:lang w:val="en-GB"/>
        </w:rPr>
      </w:pPr>
      <w:r w:rsidRPr="00F31266">
        <w:rPr>
          <w:lang w:val="en-GB"/>
        </w:rPr>
        <w:t>The workshop aims to provide a discussion platform for guidance counselling practitioners, those who work hands-on with students at universities or universities of applied sciences.</w:t>
      </w:r>
    </w:p>
    <w:p w14:paraId="3EEE5A58" w14:textId="77777777" w:rsidR="00DA5A64" w:rsidRPr="00F31266" w:rsidRDefault="00DA5A64" w:rsidP="00DA5A64">
      <w:pPr>
        <w:spacing w:after="160" w:line="360" w:lineRule="auto"/>
        <w:jc w:val="both"/>
        <w:rPr>
          <w:lang w:val="en-GB"/>
        </w:rPr>
      </w:pPr>
      <w:r w:rsidRPr="00F31266">
        <w:rPr>
          <w:lang w:val="en-GB"/>
        </w:rPr>
        <w:t>The participants will have an opportunity to discuss their day-to-day work with colleagues from all over the world, and - hopefully - find out that challenges shared, are challenges solved. The workshop contributes to the conference theme of well-being (</w:t>
      </w:r>
      <w:proofErr w:type="spellStart"/>
      <w:r w:rsidRPr="00F31266">
        <w:rPr>
          <w:lang w:val="en-GB"/>
        </w:rPr>
        <w:t>Matariki</w:t>
      </w:r>
      <w:proofErr w:type="spellEnd"/>
      <w:r w:rsidRPr="00F31266">
        <w:rPr>
          <w:lang w:val="en-GB"/>
        </w:rPr>
        <w:t>) by centring the practice of those who support students’ holistic well-being, and it aligns with IAEVG’s longstanding commitment to strengthening the capacity and connectedness of the guidance profession worldwide.</w:t>
      </w:r>
    </w:p>
    <w:p w14:paraId="310EAAFF" w14:textId="596C3B56" w:rsidR="00F51A7E" w:rsidRPr="00F31266" w:rsidRDefault="00F51A7E">
      <w:pPr>
        <w:spacing w:after="120" w:line="360" w:lineRule="auto"/>
        <w:ind w:left="720" w:hanging="720"/>
        <w:rPr>
          <w:lang w:val="en-GB"/>
        </w:rPr>
      </w:pPr>
    </w:p>
    <w:sectPr w:rsidR="00F51A7E" w:rsidRPr="00F312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13B14"/>
    <w:multiLevelType w:val="hybridMultilevel"/>
    <w:tmpl w:val="461E6FCE"/>
    <w:lvl w:ilvl="0" w:tplc="9CFC11C8">
      <w:start w:val="1"/>
      <w:numFmt w:val="bullet"/>
      <w:lvlText w:val="●"/>
      <w:lvlJc w:val="left"/>
      <w:pPr>
        <w:ind w:left="720" w:hanging="360"/>
      </w:pPr>
    </w:lvl>
    <w:lvl w:ilvl="1" w:tplc="85BAC03C">
      <w:start w:val="1"/>
      <w:numFmt w:val="bullet"/>
      <w:lvlText w:val="○"/>
      <w:lvlJc w:val="left"/>
      <w:pPr>
        <w:ind w:left="1440" w:hanging="360"/>
      </w:pPr>
    </w:lvl>
    <w:lvl w:ilvl="2" w:tplc="4E22CC8C">
      <w:start w:val="1"/>
      <w:numFmt w:val="bullet"/>
      <w:lvlText w:val="■"/>
      <w:lvlJc w:val="left"/>
      <w:pPr>
        <w:ind w:left="2160" w:hanging="360"/>
      </w:pPr>
    </w:lvl>
    <w:lvl w:ilvl="3" w:tplc="8D66F9C4">
      <w:start w:val="1"/>
      <w:numFmt w:val="bullet"/>
      <w:lvlText w:val="●"/>
      <w:lvlJc w:val="left"/>
      <w:pPr>
        <w:ind w:left="2880" w:hanging="360"/>
      </w:pPr>
    </w:lvl>
    <w:lvl w:ilvl="4" w:tplc="6A64F13C">
      <w:start w:val="1"/>
      <w:numFmt w:val="bullet"/>
      <w:lvlText w:val="○"/>
      <w:lvlJc w:val="left"/>
      <w:pPr>
        <w:ind w:left="3600" w:hanging="360"/>
      </w:pPr>
    </w:lvl>
    <w:lvl w:ilvl="5" w:tplc="15908168">
      <w:start w:val="1"/>
      <w:numFmt w:val="bullet"/>
      <w:lvlText w:val="■"/>
      <w:lvlJc w:val="left"/>
      <w:pPr>
        <w:ind w:left="4320" w:hanging="360"/>
      </w:pPr>
    </w:lvl>
    <w:lvl w:ilvl="6" w:tplc="FFB4576E">
      <w:start w:val="1"/>
      <w:numFmt w:val="bullet"/>
      <w:lvlText w:val="●"/>
      <w:lvlJc w:val="left"/>
      <w:pPr>
        <w:ind w:left="5040" w:hanging="360"/>
      </w:pPr>
    </w:lvl>
    <w:lvl w:ilvl="7" w:tplc="9AA64832">
      <w:start w:val="1"/>
      <w:numFmt w:val="bullet"/>
      <w:lvlText w:val="●"/>
      <w:lvlJc w:val="left"/>
      <w:pPr>
        <w:ind w:left="5760" w:hanging="360"/>
      </w:pPr>
    </w:lvl>
    <w:lvl w:ilvl="8" w:tplc="F4AE81E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6BF0C45"/>
    <w:multiLevelType w:val="hybridMultilevel"/>
    <w:tmpl w:val="C4E2C7E8"/>
    <w:lvl w:ilvl="0" w:tplc="AFBE79CC">
      <w:start w:val="1"/>
      <w:numFmt w:val="bullet"/>
      <w:lvlText w:val="●"/>
      <w:lvlJc w:val="left"/>
      <w:pPr>
        <w:ind w:left="720" w:hanging="360"/>
      </w:pPr>
    </w:lvl>
    <w:lvl w:ilvl="1" w:tplc="29646CB4">
      <w:numFmt w:val="decimal"/>
      <w:lvlText w:val=""/>
      <w:lvlJc w:val="left"/>
    </w:lvl>
    <w:lvl w:ilvl="2" w:tplc="D2162776">
      <w:numFmt w:val="decimal"/>
      <w:lvlText w:val=""/>
      <w:lvlJc w:val="left"/>
    </w:lvl>
    <w:lvl w:ilvl="3" w:tplc="5F84DBD0">
      <w:numFmt w:val="decimal"/>
      <w:lvlText w:val=""/>
      <w:lvlJc w:val="left"/>
    </w:lvl>
    <w:lvl w:ilvl="4" w:tplc="62BAEBD6">
      <w:numFmt w:val="decimal"/>
      <w:lvlText w:val=""/>
      <w:lvlJc w:val="left"/>
    </w:lvl>
    <w:lvl w:ilvl="5" w:tplc="183C0C48">
      <w:numFmt w:val="decimal"/>
      <w:lvlText w:val=""/>
      <w:lvlJc w:val="left"/>
    </w:lvl>
    <w:lvl w:ilvl="6" w:tplc="8F24EB94">
      <w:numFmt w:val="decimal"/>
      <w:lvlText w:val=""/>
      <w:lvlJc w:val="left"/>
    </w:lvl>
    <w:lvl w:ilvl="7" w:tplc="47866A86">
      <w:numFmt w:val="decimal"/>
      <w:lvlText w:val=""/>
      <w:lvlJc w:val="left"/>
    </w:lvl>
    <w:lvl w:ilvl="8" w:tplc="0108CB16">
      <w:numFmt w:val="decimal"/>
      <w:lvlText w:val=""/>
      <w:lvlJc w:val="left"/>
    </w:lvl>
  </w:abstractNum>
  <w:num w:numId="1" w16cid:durableId="1583418052">
    <w:abstractNumId w:val="0"/>
    <w:lvlOverride w:ilvl="0">
      <w:startOverride w:val="1"/>
    </w:lvlOverride>
  </w:num>
  <w:num w:numId="2" w16cid:durableId="163290534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A7E"/>
    <w:rsid w:val="00003ECC"/>
    <w:rsid w:val="00102BE9"/>
    <w:rsid w:val="002B108B"/>
    <w:rsid w:val="00476F6D"/>
    <w:rsid w:val="007B6BE0"/>
    <w:rsid w:val="0080460F"/>
    <w:rsid w:val="00832335"/>
    <w:rsid w:val="00DA5A64"/>
    <w:rsid w:val="00E465C4"/>
    <w:rsid w:val="00E51BA8"/>
    <w:rsid w:val="00F31266"/>
    <w:rsid w:val="00F51A7E"/>
    <w:rsid w:val="00F72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D2CC6"/>
  <w15:docId w15:val="{43D4B334-694E-664A-BC46-EF6639D8D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Otsikk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Otsikk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Otsikk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Otsikk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Otsikk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Otsikko">
    <w:name w:val="Title"/>
    <w:uiPriority w:val="10"/>
    <w:qFormat/>
    <w:rPr>
      <w:sz w:val="56"/>
      <w:szCs w:val="56"/>
    </w:rPr>
  </w:style>
  <w:style w:type="paragraph" w:customStyle="1" w:styleId="Voimakas1">
    <w:name w:val="Voimakas1"/>
    <w:qFormat/>
    <w:rPr>
      <w:b/>
      <w:bCs/>
    </w:rPr>
  </w:style>
  <w:style w:type="paragraph" w:styleId="Luettelokappale">
    <w:name w:val="List Paragraph"/>
    <w:qFormat/>
  </w:style>
  <w:style w:type="character" w:styleId="Hyperlinkki">
    <w:name w:val="Hyperlink"/>
    <w:uiPriority w:val="99"/>
    <w:unhideWhenUsed/>
    <w:rPr>
      <w:color w:val="0563C1"/>
      <w:u w:val="single"/>
    </w:rPr>
  </w:style>
  <w:style w:type="character" w:styleId="Alaviitteenviite">
    <w:name w:val="footnote reference"/>
    <w:uiPriority w:val="99"/>
    <w:semiHidden/>
    <w:unhideWhenUsed/>
    <w:rPr>
      <w:vertAlign w:val="superscript"/>
    </w:rPr>
  </w:style>
  <w:style w:type="paragraph" w:styleId="Alaviitteenteksti">
    <w:name w:val="footnote text"/>
    <w:link w:val="AlaviitteentekstiChar"/>
    <w:uiPriority w:val="99"/>
    <w:semiHidden/>
    <w:unhideWhenUsed/>
    <w:rPr>
      <w:sz w:val="20"/>
      <w:szCs w:val="20"/>
    </w:rPr>
  </w:style>
  <w:style w:type="character" w:customStyle="1" w:styleId="AlaviitteentekstiChar">
    <w:name w:val="Alaviitteen teksti Char"/>
    <w:link w:val="Alaviitteenteksti"/>
    <w:uiPriority w:val="99"/>
    <w:semiHidden/>
    <w:unhideWhenUsed/>
    <w:rPr>
      <w:sz w:val="20"/>
      <w:szCs w:val="20"/>
    </w:rPr>
  </w:style>
  <w:style w:type="character" w:styleId="Loppuviitteenviite">
    <w:name w:val="endnote reference"/>
    <w:uiPriority w:val="99"/>
    <w:semiHidden/>
    <w:unhideWhenUsed/>
    <w:rPr>
      <w:vertAlign w:val="superscript"/>
    </w:rPr>
  </w:style>
  <w:style w:type="paragraph" w:styleId="Loppuviitteenteksti">
    <w:name w:val="endnote text"/>
    <w:link w:val="LoppuviitteentekstiChar"/>
    <w:uiPriority w:val="99"/>
    <w:semiHidden/>
    <w:unhideWhenUsed/>
    <w:rPr>
      <w:sz w:val="20"/>
      <w:szCs w:val="20"/>
    </w:rPr>
  </w:style>
  <w:style w:type="character" w:customStyle="1" w:styleId="LoppuviitteentekstiChar">
    <w:name w:val="Loppuviitteen teksti Char"/>
    <w:link w:val="Loppuviitteentekst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c167213-36fa-43ce-a5b8-f5dde8fe5ad3}" enabled="1" method="Standard" siteId="{e9662d58-caa4-4bc1-b138-c8b1acab5a1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783</Words>
  <Characters>6348</Characters>
  <Application>Microsoft Office Word</Application>
  <DocSecurity>0</DocSecurity>
  <Lines>52</Lines>
  <Paragraphs>14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Paula Lindqvist</cp:lastModifiedBy>
  <cp:revision>3</cp:revision>
  <dcterms:created xsi:type="dcterms:W3CDTF">2026-04-18T18:54:00Z</dcterms:created>
  <dcterms:modified xsi:type="dcterms:W3CDTF">2026-04-18T18:55:00Z</dcterms:modified>
</cp:coreProperties>
</file>