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8C266" w14:textId="5FD800C1" w:rsidR="005D1000" w:rsidRDefault="005D1000" w:rsidP="006A3069">
      <w:pPr>
        <w:spacing w:line="360" w:lineRule="auto"/>
        <w:jc w:val="center"/>
        <w:rPr>
          <w:rFonts w:ascii="Calibri" w:hAnsi="Calibri" w:cs="Calibri"/>
          <w:b/>
          <w:bCs/>
        </w:rPr>
      </w:pPr>
      <w:r w:rsidRPr="00123AC5">
        <w:rPr>
          <w:rFonts w:ascii="Calibri" w:hAnsi="Calibri" w:cs="Calibri"/>
          <w:b/>
          <w:bCs/>
        </w:rPr>
        <w:t>Title of paper</w:t>
      </w:r>
    </w:p>
    <w:p w14:paraId="4AECAFA1" w14:textId="4AC81884" w:rsidR="00123AC5" w:rsidRDefault="009B3B1B" w:rsidP="006A3069">
      <w:pPr>
        <w:spacing w:line="360" w:lineRule="auto"/>
        <w:jc w:val="both"/>
        <w:rPr>
          <w:rFonts w:ascii="Calibri" w:hAnsi="Calibri" w:cs="Calibri"/>
        </w:rPr>
      </w:pPr>
      <w:r w:rsidRPr="009B3B1B">
        <w:rPr>
          <w:rFonts w:ascii="Calibri" w:hAnsi="Calibri" w:cs="Calibri"/>
        </w:rPr>
        <w:t>The Credential Trap and the Community Response: Rethinking International Student Employability Support in Higher Education</w:t>
      </w:r>
    </w:p>
    <w:p w14:paraId="32261CBB" w14:textId="448A6C61" w:rsidR="00D730CC" w:rsidRPr="000139DF" w:rsidRDefault="000139DF" w:rsidP="006A3069">
      <w:pPr>
        <w:spacing w:line="360" w:lineRule="auto"/>
        <w:jc w:val="center"/>
        <w:rPr>
          <w:rFonts w:ascii="Calibri" w:hAnsi="Calibri" w:cs="Calibri"/>
          <w:b/>
          <w:bCs/>
        </w:rPr>
      </w:pPr>
      <w:r w:rsidRPr="000139DF">
        <w:rPr>
          <w:rFonts w:ascii="Calibri" w:hAnsi="Calibri" w:cs="Calibri"/>
          <w:b/>
          <w:bCs/>
        </w:rPr>
        <w:t>Abstract</w:t>
      </w:r>
    </w:p>
    <w:p w14:paraId="0210312F" w14:textId="77777777" w:rsidR="000139DF" w:rsidRDefault="000139DF" w:rsidP="006A3069">
      <w:pPr>
        <w:spacing w:line="360" w:lineRule="auto"/>
        <w:jc w:val="both"/>
        <w:rPr>
          <w:rFonts w:ascii="Calibri" w:hAnsi="Calibri" w:cs="Calibri"/>
        </w:rPr>
      </w:pPr>
      <w:r w:rsidRPr="000139DF">
        <w:rPr>
          <w:rFonts w:ascii="Calibri" w:hAnsi="Calibri" w:cs="Calibri"/>
          <w:b/>
          <w:bCs/>
        </w:rPr>
        <w:t>Introduction</w:t>
      </w:r>
      <w:r w:rsidRPr="000139DF">
        <w:rPr>
          <w:rFonts w:ascii="Calibri" w:hAnsi="Calibri" w:cs="Calibri"/>
          <w:b/>
          <w:bCs/>
        </w:rPr>
        <w:br/>
      </w:r>
      <w:r w:rsidRPr="000139DF">
        <w:rPr>
          <w:rFonts w:ascii="Calibri" w:hAnsi="Calibri" w:cs="Calibri"/>
        </w:rPr>
        <w:t>New Zealand has one of the highest proportions of international students globally (Universities New Zealand, 2025b), with postgraduate students comprising 45% of international enrolments (Universities New Zealand, 2025a). At Victoria University of Wellington (VUW), international enrolments have increased notably, particularly in professional postgraduate programmes with clearly defined immigration pathways such as accounting, health, and teaching (VUW, 2026). While in</w:t>
      </w:r>
      <w:r w:rsidRPr="000139DF">
        <w:rPr>
          <w:rFonts w:ascii="Calibri" w:hAnsi="Calibri" w:cs="Calibri"/>
        </w:rPr>
        <w:noBreakHyphen/>
        <w:t>study and post</w:t>
      </w:r>
      <w:r w:rsidRPr="000139DF">
        <w:rPr>
          <w:rFonts w:ascii="Calibri" w:hAnsi="Calibri" w:cs="Calibri"/>
        </w:rPr>
        <w:noBreakHyphen/>
        <w:t>study work rights are central to international education recruitment strategies (Education New Zealand, 2025), international student employability outcomes in New Zealand remain under</w:t>
      </w:r>
      <w:r w:rsidRPr="000139DF">
        <w:rPr>
          <w:rFonts w:ascii="Calibri" w:hAnsi="Calibri" w:cs="Calibri"/>
        </w:rPr>
        <w:noBreakHyphen/>
        <w:t>researched. Many students pursue higher education as part of an education–migration (</w:t>
      </w:r>
      <w:r w:rsidRPr="000139DF">
        <w:rPr>
          <w:rFonts w:ascii="Calibri" w:hAnsi="Calibri" w:cs="Calibri"/>
          <w:i/>
          <w:iCs/>
        </w:rPr>
        <w:t>edugration</w:t>
      </w:r>
      <w:r w:rsidRPr="000139DF">
        <w:rPr>
          <w:rFonts w:ascii="Calibri" w:hAnsi="Calibri" w:cs="Calibri"/>
        </w:rPr>
        <w:t>) trajectory, a phenomenon examined across migration studies, sociology, career development, and international education (Brunner, 2022; Brunner et al., 2024; King et al., 2024; Page &amp; Ho, 2025; Udayanga, 2024). Brunner (2022) cautions against an oversimplified two</w:t>
      </w:r>
      <w:r w:rsidRPr="000139DF">
        <w:rPr>
          <w:rFonts w:ascii="Calibri" w:hAnsi="Calibri" w:cs="Calibri"/>
        </w:rPr>
        <w:noBreakHyphen/>
        <w:t>step narrative of study to permanent residency, highlighting an under</w:t>
      </w:r>
      <w:r w:rsidRPr="000139DF">
        <w:rPr>
          <w:rFonts w:ascii="Calibri" w:hAnsi="Calibri" w:cs="Calibri"/>
        </w:rPr>
        <w:noBreakHyphen/>
        <w:t>examined middle stage characterised by uncertainty between study, employment, visa transitions, and residency outcomes (Brunner et al., 2024).</w:t>
      </w:r>
    </w:p>
    <w:p w14:paraId="423B870E" w14:textId="77777777" w:rsidR="000139DF" w:rsidRPr="000139DF" w:rsidRDefault="000139DF" w:rsidP="006A3069">
      <w:pPr>
        <w:spacing w:line="360" w:lineRule="auto"/>
        <w:jc w:val="both"/>
        <w:rPr>
          <w:rFonts w:ascii="Calibri" w:hAnsi="Calibri" w:cs="Calibri"/>
        </w:rPr>
      </w:pPr>
      <w:r w:rsidRPr="000139DF">
        <w:rPr>
          <w:rFonts w:ascii="Calibri" w:hAnsi="Calibri" w:cs="Calibri"/>
          <w:b/>
          <w:bCs/>
        </w:rPr>
        <w:t>Objective</w:t>
      </w:r>
      <w:r w:rsidRPr="000139DF">
        <w:rPr>
          <w:rFonts w:ascii="Calibri" w:hAnsi="Calibri" w:cs="Calibri"/>
          <w:b/>
          <w:bCs/>
        </w:rPr>
        <w:br/>
      </w:r>
      <w:r w:rsidRPr="000139DF">
        <w:rPr>
          <w:rFonts w:ascii="Calibri" w:hAnsi="Calibri" w:cs="Calibri"/>
        </w:rPr>
        <w:t>This paper offers a reflective career</w:t>
      </w:r>
      <w:r w:rsidRPr="000139DF">
        <w:rPr>
          <w:rFonts w:ascii="Calibri" w:hAnsi="Calibri" w:cs="Calibri"/>
        </w:rPr>
        <w:noBreakHyphen/>
        <w:t>practitioner analysis of the design and delivery of the pilot International Student Employability Programme at VUW in 2026. Consistent with Schön’s (1983) conception of reflective practice, professional action in complex and uncertain contexts is treated as a site of knowledge generation. The paper examines: (1) how the concepts of employability capital and the credential trap explain international student employability challenges; (2) how employability support for mature, career</w:t>
      </w:r>
      <w:r w:rsidRPr="000139DF">
        <w:rPr>
          <w:rFonts w:ascii="Calibri" w:hAnsi="Calibri" w:cs="Calibri"/>
        </w:rPr>
        <w:noBreakHyphen/>
        <w:t>changer international students differs from domestic student provision; and (3) how sustainable employability support can be fostered through institutional collaboration and industry and community partnerships.</w:t>
      </w:r>
    </w:p>
    <w:p w14:paraId="7B2E57B7" w14:textId="77777777" w:rsidR="00464D39" w:rsidRDefault="000139DF" w:rsidP="006A3069">
      <w:pPr>
        <w:spacing w:line="360" w:lineRule="auto"/>
        <w:jc w:val="both"/>
        <w:rPr>
          <w:rFonts w:ascii="Calibri" w:hAnsi="Calibri" w:cs="Calibri"/>
          <w:b/>
          <w:bCs/>
        </w:rPr>
      </w:pPr>
      <w:r w:rsidRPr="000139DF">
        <w:rPr>
          <w:rFonts w:ascii="Calibri" w:hAnsi="Calibri" w:cs="Calibri"/>
          <w:b/>
          <w:bCs/>
        </w:rPr>
        <w:t>Theoretical Basis</w:t>
      </w:r>
    </w:p>
    <w:p w14:paraId="00B8F9A9" w14:textId="3BE81339" w:rsidR="000139DF" w:rsidRPr="000139DF" w:rsidRDefault="000139DF" w:rsidP="006A3069">
      <w:pPr>
        <w:spacing w:line="360" w:lineRule="auto"/>
        <w:jc w:val="both"/>
        <w:rPr>
          <w:rFonts w:ascii="Calibri" w:hAnsi="Calibri" w:cs="Calibri"/>
        </w:rPr>
      </w:pPr>
      <w:r w:rsidRPr="000139DF">
        <w:rPr>
          <w:rFonts w:ascii="Calibri" w:hAnsi="Calibri" w:cs="Calibri"/>
        </w:rPr>
        <w:t>The analysis is framed by the Employability Capital Growth Model (Donald, 2025), which identifies nine interrelated forms of capital, including scholastic, market</w:t>
      </w:r>
      <w:r w:rsidRPr="000139DF">
        <w:rPr>
          <w:rFonts w:ascii="Calibri" w:hAnsi="Calibri" w:cs="Calibri"/>
        </w:rPr>
        <w:noBreakHyphen/>
        <w:t xml:space="preserve">value, career identity, social, and cultural capital. Reflecting on programme design and delivery, a recurring imbalance was evident among </w:t>
      </w:r>
      <w:r w:rsidRPr="000139DF">
        <w:rPr>
          <w:rFonts w:ascii="Calibri" w:hAnsi="Calibri" w:cs="Calibri"/>
        </w:rPr>
        <w:lastRenderedPageBreak/>
        <w:t>mature international students on edugration pathways: strong scholastic and market</w:t>
      </w:r>
      <w:r w:rsidRPr="000139DF">
        <w:rPr>
          <w:rFonts w:ascii="Calibri" w:hAnsi="Calibri" w:cs="Calibri"/>
        </w:rPr>
        <w:noBreakHyphen/>
        <w:t>value capital contrasted with limited social and cultural capital relevant to the New Zealand labour market. Many students demonstrated a persistent belief that local qualifications alone would secure employment. However, research shows that foreign credentials are frequently devalued in destination labour markets (Han et al., 2022; Zikic &amp; Klehe, 2021) and that New Zealand’s skills</w:t>
      </w:r>
      <w:r w:rsidRPr="000139DF">
        <w:rPr>
          <w:rFonts w:ascii="Calibri" w:hAnsi="Calibri" w:cs="Calibri"/>
        </w:rPr>
        <w:noBreakHyphen/>
        <w:t>focused, relationship</w:t>
      </w:r>
      <w:r w:rsidRPr="000139DF">
        <w:rPr>
          <w:rFonts w:ascii="Calibri" w:hAnsi="Calibri" w:cs="Calibri"/>
        </w:rPr>
        <w:noBreakHyphen/>
        <w:t xml:space="preserve">driven labour market places greater emphasis on local networks, cultural familiarity, and trust (Pham et al., 2024). This mismatch is conceptualised here as the </w:t>
      </w:r>
      <w:r w:rsidRPr="000139DF">
        <w:rPr>
          <w:rFonts w:ascii="Calibri" w:hAnsi="Calibri" w:cs="Calibri"/>
          <w:i/>
          <w:iCs/>
        </w:rPr>
        <w:t>credential trap</w:t>
      </w:r>
      <w:r w:rsidRPr="000139DF">
        <w:rPr>
          <w:rFonts w:ascii="Calibri" w:hAnsi="Calibri" w:cs="Calibri"/>
        </w:rPr>
        <w:t>.</w:t>
      </w:r>
    </w:p>
    <w:p w14:paraId="534E7D25" w14:textId="1394B666" w:rsidR="000139DF" w:rsidRPr="000139DF" w:rsidRDefault="000139DF" w:rsidP="006A3069">
      <w:pPr>
        <w:spacing w:line="360" w:lineRule="auto"/>
        <w:jc w:val="both"/>
        <w:rPr>
          <w:rFonts w:ascii="Calibri" w:hAnsi="Calibri" w:cs="Calibri"/>
        </w:rPr>
      </w:pPr>
      <w:r w:rsidRPr="000139DF">
        <w:rPr>
          <w:rFonts w:ascii="Calibri" w:hAnsi="Calibri" w:cs="Calibri"/>
          <w:b/>
          <w:bCs/>
        </w:rPr>
        <w:t>Results</w:t>
      </w:r>
      <w:r w:rsidRPr="000139DF">
        <w:rPr>
          <w:rFonts w:ascii="Calibri" w:hAnsi="Calibri" w:cs="Calibri"/>
          <w:b/>
          <w:bCs/>
        </w:rPr>
        <w:br/>
      </w:r>
      <w:r w:rsidRPr="000139DF">
        <w:rPr>
          <w:rFonts w:ascii="Calibri" w:hAnsi="Calibri" w:cs="Calibri"/>
        </w:rPr>
        <w:t>Drawing on reflection</w:t>
      </w:r>
      <w:r w:rsidRPr="000139DF">
        <w:rPr>
          <w:rFonts w:ascii="Calibri" w:hAnsi="Calibri" w:cs="Calibri"/>
        </w:rPr>
        <w:noBreakHyphen/>
        <w:t>on</w:t>
      </w:r>
      <w:r w:rsidRPr="000139DF">
        <w:rPr>
          <w:rFonts w:ascii="Calibri" w:hAnsi="Calibri" w:cs="Calibri"/>
        </w:rPr>
        <w:noBreakHyphen/>
        <w:t>action (Schön, 1983), analysis of programme interactions indicated that traditional university career support models which often focus on exploratory career development are insufficient for mature, career</w:t>
      </w:r>
      <w:r w:rsidRPr="000139DF">
        <w:rPr>
          <w:rFonts w:ascii="Calibri" w:hAnsi="Calibri" w:cs="Calibri"/>
        </w:rPr>
        <w:noBreakHyphen/>
        <w:t>changer international students facing significant financial, familial, and immigration pressures. Effective employability support required proactive, culturally responsive career planning, including reality</w:t>
      </w:r>
      <w:r w:rsidRPr="000139DF">
        <w:rPr>
          <w:rFonts w:ascii="Calibri" w:hAnsi="Calibri" w:cs="Calibri"/>
        </w:rPr>
        <w:noBreakHyphen/>
        <w:t>checking and recalibration of expectations (Zikic &amp; Klehe, 2021). Students consistently underestimated the role of social and cultural capital, such as relationship</w:t>
      </w:r>
      <w:r w:rsidRPr="000139DF">
        <w:rPr>
          <w:rFonts w:ascii="Calibri" w:hAnsi="Calibri" w:cs="Calibri"/>
        </w:rPr>
        <w:noBreakHyphen/>
        <w:t>building, unwritten workplace norms, and New Zealand</w:t>
      </w:r>
      <w:r w:rsidRPr="000139DF">
        <w:rPr>
          <w:rFonts w:ascii="Calibri" w:hAnsi="Calibri" w:cs="Calibri"/>
        </w:rPr>
        <w:noBreakHyphen/>
        <w:t>specific communication styles (ISANA NZ, n.d.-b</w:t>
      </w:r>
      <w:r w:rsidR="00C56095">
        <w:rPr>
          <w:rFonts w:ascii="Calibri" w:hAnsi="Calibri" w:cs="Calibri"/>
        </w:rPr>
        <w:t xml:space="preserve">; </w:t>
      </w:r>
      <w:r w:rsidR="00C56095" w:rsidRPr="000139DF">
        <w:rPr>
          <w:rFonts w:ascii="Calibri" w:hAnsi="Calibri" w:cs="Calibri"/>
        </w:rPr>
        <w:t>Jackson, 2017</w:t>
      </w:r>
      <w:r w:rsidRPr="000139DF">
        <w:rPr>
          <w:rFonts w:ascii="Calibri" w:hAnsi="Calibri" w:cs="Calibri"/>
        </w:rPr>
        <w:t>). Opportunities to build these capitals emerged most strongly through engagement in volunteering, student networks, and community</w:t>
      </w:r>
      <w:r w:rsidRPr="000139DF">
        <w:rPr>
          <w:rFonts w:ascii="Calibri" w:hAnsi="Calibri" w:cs="Calibri"/>
        </w:rPr>
        <w:noBreakHyphen/>
        <w:t>based activities (ISANA NZ, n.d.-a; Soltani &amp; Donald, 2024), as well as structured alumni and employer networking initiatives.</w:t>
      </w:r>
    </w:p>
    <w:p w14:paraId="0523C97D" w14:textId="77777777" w:rsidR="000139DF" w:rsidRPr="000139DF" w:rsidRDefault="000139DF" w:rsidP="006A3069">
      <w:pPr>
        <w:spacing w:line="360" w:lineRule="auto"/>
        <w:jc w:val="both"/>
        <w:rPr>
          <w:rFonts w:ascii="Calibri" w:hAnsi="Calibri" w:cs="Calibri"/>
        </w:rPr>
      </w:pPr>
      <w:r w:rsidRPr="000139DF">
        <w:rPr>
          <w:rFonts w:ascii="Calibri" w:hAnsi="Calibri" w:cs="Calibri"/>
          <w:b/>
          <w:bCs/>
        </w:rPr>
        <w:t>Conclusion</w:t>
      </w:r>
      <w:r w:rsidRPr="000139DF">
        <w:rPr>
          <w:rFonts w:ascii="Calibri" w:hAnsi="Calibri" w:cs="Calibri"/>
          <w:b/>
          <w:bCs/>
        </w:rPr>
        <w:br/>
      </w:r>
      <w:r w:rsidRPr="000139DF">
        <w:rPr>
          <w:rFonts w:ascii="Calibri" w:hAnsi="Calibri" w:cs="Calibri"/>
        </w:rPr>
        <w:t>International student employability outcomes cannot be delivered through career services alone. In alignment with Schön’s (1983) view of professional practice as situated and relational, employability capital is built primarily through participation in local communities, supported by institutions that actively broker access to employers, alumni, and inclusive community organisations. In the New Zealand context, sustainable international student employability support requires shared institutional responsibility and collaboration across higher education, industry, and community sectors.</w:t>
      </w:r>
    </w:p>
    <w:p w14:paraId="7568DF77" w14:textId="77777777" w:rsidR="003944AC" w:rsidRDefault="003944AC" w:rsidP="006A3069">
      <w:pPr>
        <w:spacing w:line="360" w:lineRule="auto"/>
        <w:jc w:val="both"/>
        <w:rPr>
          <w:rFonts w:ascii="Calibri" w:hAnsi="Calibri" w:cs="Calibri"/>
          <w:b/>
          <w:bCs/>
        </w:rPr>
      </w:pPr>
    </w:p>
    <w:p w14:paraId="48F58592" w14:textId="0DCFBBEB" w:rsidR="000139DF" w:rsidRPr="000139DF" w:rsidRDefault="000139DF" w:rsidP="006A3069">
      <w:pPr>
        <w:spacing w:line="360" w:lineRule="auto"/>
        <w:jc w:val="both"/>
        <w:rPr>
          <w:rFonts w:ascii="Calibri" w:hAnsi="Calibri" w:cs="Calibri"/>
        </w:rPr>
      </w:pPr>
      <w:r w:rsidRPr="000139DF">
        <w:rPr>
          <w:rFonts w:ascii="Calibri" w:hAnsi="Calibri" w:cs="Calibri"/>
          <w:b/>
          <w:bCs/>
        </w:rPr>
        <w:t>5</w:t>
      </w:r>
      <w:r w:rsidR="008D13CA">
        <w:rPr>
          <w:rFonts w:ascii="Calibri" w:hAnsi="Calibri" w:cs="Calibri"/>
          <w:b/>
          <w:bCs/>
        </w:rPr>
        <w:t>70</w:t>
      </w:r>
      <w:r w:rsidRPr="000139DF">
        <w:rPr>
          <w:rFonts w:ascii="Calibri" w:hAnsi="Calibri" w:cs="Calibri"/>
          <w:b/>
          <w:bCs/>
        </w:rPr>
        <w:t xml:space="preserve"> words</w:t>
      </w:r>
    </w:p>
    <w:p w14:paraId="3384EEF3" w14:textId="77777777" w:rsidR="003944AC" w:rsidRDefault="003944AC" w:rsidP="006A3069">
      <w:pPr>
        <w:spacing w:line="360" w:lineRule="auto"/>
        <w:jc w:val="both"/>
        <w:rPr>
          <w:rFonts w:ascii="Calibri" w:hAnsi="Calibri" w:cs="Calibri"/>
          <w:b/>
          <w:bCs/>
        </w:rPr>
      </w:pPr>
    </w:p>
    <w:p w14:paraId="6361BF4D" w14:textId="7B8B8BF3" w:rsidR="000139DF" w:rsidRPr="000139DF" w:rsidRDefault="000139DF" w:rsidP="006A3069">
      <w:pPr>
        <w:spacing w:line="360" w:lineRule="auto"/>
        <w:jc w:val="both"/>
        <w:rPr>
          <w:rFonts w:ascii="Calibri" w:hAnsi="Calibri" w:cs="Calibri"/>
        </w:rPr>
      </w:pPr>
      <w:r w:rsidRPr="000139DF">
        <w:rPr>
          <w:rFonts w:ascii="Calibri" w:hAnsi="Calibri" w:cs="Calibri"/>
          <w:b/>
          <w:bCs/>
        </w:rPr>
        <w:t>Keywords:</w:t>
      </w:r>
      <w:r w:rsidR="00622908">
        <w:rPr>
          <w:rFonts w:ascii="Calibri" w:hAnsi="Calibri" w:cs="Calibri"/>
        </w:rPr>
        <w:t xml:space="preserve"> </w:t>
      </w:r>
      <w:r w:rsidRPr="000139DF">
        <w:rPr>
          <w:rFonts w:ascii="Calibri" w:hAnsi="Calibri" w:cs="Calibri"/>
        </w:rPr>
        <w:t xml:space="preserve">Employability capital, </w:t>
      </w:r>
      <w:r w:rsidR="00CF537F">
        <w:rPr>
          <w:rFonts w:ascii="Calibri" w:hAnsi="Calibri" w:cs="Calibri"/>
        </w:rPr>
        <w:t>e</w:t>
      </w:r>
      <w:r w:rsidRPr="000139DF">
        <w:rPr>
          <w:rFonts w:ascii="Calibri" w:hAnsi="Calibri" w:cs="Calibri"/>
        </w:rPr>
        <w:t xml:space="preserve">ducation–migration (edugration), </w:t>
      </w:r>
      <w:r w:rsidR="00CF537F">
        <w:rPr>
          <w:rFonts w:ascii="Calibri" w:hAnsi="Calibri" w:cs="Calibri"/>
        </w:rPr>
        <w:t>i</w:t>
      </w:r>
      <w:r w:rsidRPr="000139DF">
        <w:rPr>
          <w:rFonts w:ascii="Calibri" w:hAnsi="Calibri" w:cs="Calibri"/>
        </w:rPr>
        <w:t xml:space="preserve">nternational student employability, </w:t>
      </w:r>
      <w:r w:rsidR="00CF537F">
        <w:rPr>
          <w:rFonts w:ascii="Calibri" w:hAnsi="Calibri" w:cs="Calibri"/>
        </w:rPr>
        <w:t>r</w:t>
      </w:r>
      <w:r w:rsidRPr="000139DF">
        <w:rPr>
          <w:rFonts w:ascii="Calibri" w:hAnsi="Calibri" w:cs="Calibri"/>
        </w:rPr>
        <w:t xml:space="preserve">eflective practitioner, </w:t>
      </w:r>
      <w:r w:rsidR="00CF537F">
        <w:rPr>
          <w:rFonts w:ascii="Calibri" w:hAnsi="Calibri" w:cs="Calibri"/>
        </w:rPr>
        <w:t>su</w:t>
      </w:r>
      <w:r w:rsidRPr="000139DF">
        <w:rPr>
          <w:rFonts w:ascii="Calibri" w:hAnsi="Calibri" w:cs="Calibri"/>
        </w:rPr>
        <w:t>stainable career ecosystems</w:t>
      </w:r>
    </w:p>
    <w:p w14:paraId="2B51C8A7" w14:textId="77777777" w:rsidR="003944AC" w:rsidRDefault="003944AC" w:rsidP="006A3069">
      <w:pPr>
        <w:spacing w:before="240" w:after="240" w:line="360" w:lineRule="auto"/>
        <w:rPr>
          <w:rFonts w:ascii="Calibri" w:eastAsia="Times New Roman" w:hAnsi="Calibri" w:cs="Calibri"/>
          <w:b/>
          <w:bCs/>
          <w:color w:val="000000"/>
          <w:kern w:val="0"/>
          <w:lang w:eastAsia="en-NZ"/>
          <w14:ligatures w14:val="none"/>
        </w:rPr>
      </w:pPr>
    </w:p>
    <w:p w14:paraId="61FBA4EE" w14:textId="3356FDC2" w:rsidR="00120AE9" w:rsidRPr="00240CCB" w:rsidRDefault="00120AE9" w:rsidP="006A3069">
      <w:pPr>
        <w:spacing w:before="240" w:after="240" w:line="360" w:lineRule="auto"/>
        <w:rPr>
          <w:rFonts w:ascii="Calibri" w:eastAsia="Times New Roman" w:hAnsi="Calibri" w:cs="Calibri"/>
          <w:kern w:val="0"/>
          <w:lang w:eastAsia="en-NZ"/>
          <w14:ligatures w14:val="none"/>
        </w:rPr>
      </w:pPr>
      <w:r w:rsidRPr="00240CCB">
        <w:rPr>
          <w:rFonts w:ascii="Calibri" w:eastAsia="Times New Roman" w:hAnsi="Calibri" w:cs="Calibri"/>
          <w:b/>
          <w:bCs/>
          <w:color w:val="000000"/>
          <w:kern w:val="0"/>
          <w:lang w:eastAsia="en-NZ"/>
          <w14:ligatures w14:val="none"/>
        </w:rPr>
        <w:lastRenderedPageBreak/>
        <w:t>References</w:t>
      </w:r>
    </w:p>
    <w:p w14:paraId="0DF3384C" w14:textId="211DE4A7" w:rsidR="00120AE9" w:rsidRPr="00240CCB" w:rsidRDefault="00120AE9" w:rsidP="006A3069">
      <w:pPr>
        <w:spacing w:after="200" w:line="360" w:lineRule="auto"/>
        <w:ind w:left="567" w:hanging="567"/>
        <w:rPr>
          <w:rFonts w:ascii="Calibri" w:eastAsia="Times New Roman" w:hAnsi="Calibri" w:cs="Calibri"/>
          <w:kern w:val="0"/>
          <w:lang w:eastAsia="en-NZ"/>
          <w14:ligatures w14:val="none"/>
        </w:rPr>
      </w:pPr>
      <w:r w:rsidRPr="00240CCB">
        <w:rPr>
          <w:rFonts w:ascii="Calibri" w:eastAsia="Times New Roman" w:hAnsi="Calibri" w:cs="Calibri"/>
          <w:color w:val="000000"/>
          <w:kern w:val="0"/>
          <w:lang w:eastAsia="en-NZ"/>
          <w14:ligatures w14:val="none"/>
        </w:rPr>
        <w:t xml:space="preserve">Brunner, L. R. (2022). “Edugration” as a wicked problem: Higher education and three-step immigration. </w:t>
      </w:r>
      <w:r w:rsidRPr="00240CCB">
        <w:rPr>
          <w:rFonts w:ascii="Calibri" w:eastAsia="Times New Roman" w:hAnsi="Calibri" w:cs="Calibri"/>
          <w:i/>
          <w:iCs/>
          <w:color w:val="000000"/>
          <w:kern w:val="0"/>
          <w:lang w:eastAsia="en-NZ"/>
          <w14:ligatures w14:val="none"/>
        </w:rPr>
        <w:t>Journal of Comparative &amp; International Higher Education, 13</w:t>
      </w:r>
      <w:r w:rsidRPr="00240CCB">
        <w:rPr>
          <w:rFonts w:ascii="Calibri" w:eastAsia="Times New Roman" w:hAnsi="Calibri" w:cs="Calibri"/>
          <w:color w:val="000000"/>
          <w:kern w:val="0"/>
          <w:lang w:eastAsia="en-NZ"/>
          <w14:ligatures w14:val="none"/>
        </w:rPr>
        <w:t xml:space="preserve">(5S), 25–37. </w:t>
      </w:r>
      <w:hyperlink r:id="rId6" w:history="1">
        <w:r w:rsidR="00D114B2" w:rsidRPr="00240CCB">
          <w:rPr>
            <w:rStyle w:val="Hyperlink"/>
            <w:rFonts w:ascii="Calibri" w:eastAsia="Times New Roman" w:hAnsi="Calibri" w:cs="Calibri"/>
            <w:kern w:val="0"/>
            <w:lang w:eastAsia="en-NZ"/>
            <w14:ligatures w14:val="none"/>
          </w:rPr>
          <w:t>https://10.32674/jcihe.v13i5.4061</w:t>
        </w:r>
      </w:hyperlink>
      <w:r w:rsidR="00D114B2" w:rsidRPr="00240CCB">
        <w:rPr>
          <w:rFonts w:ascii="Calibri" w:eastAsia="Times New Roman" w:hAnsi="Calibri" w:cs="Calibri"/>
          <w:color w:val="000000"/>
          <w:kern w:val="0"/>
          <w:lang w:eastAsia="en-NZ"/>
          <w14:ligatures w14:val="none"/>
        </w:rPr>
        <w:t xml:space="preserve"> </w:t>
      </w:r>
    </w:p>
    <w:p w14:paraId="46C37C6C" w14:textId="7DB4455F" w:rsidR="00120AE9" w:rsidRPr="00240CCB" w:rsidRDefault="00120AE9" w:rsidP="006A3069">
      <w:pPr>
        <w:spacing w:after="200" w:line="360" w:lineRule="auto"/>
        <w:ind w:left="567" w:hanging="567"/>
        <w:rPr>
          <w:rFonts w:ascii="Calibri" w:eastAsia="Times New Roman" w:hAnsi="Calibri" w:cs="Calibri"/>
          <w:kern w:val="0"/>
          <w:lang w:eastAsia="en-NZ"/>
          <w14:ligatures w14:val="none"/>
        </w:rPr>
      </w:pPr>
      <w:r w:rsidRPr="00240CCB">
        <w:rPr>
          <w:rFonts w:ascii="Calibri" w:eastAsia="Times New Roman" w:hAnsi="Calibri" w:cs="Calibri"/>
          <w:color w:val="000000"/>
          <w:kern w:val="0"/>
          <w:lang w:eastAsia="en-NZ"/>
          <w14:ligatures w14:val="none"/>
        </w:rPr>
        <w:t xml:space="preserve">Brunner, L. R., Karki, K. K., Valizadeh, N., Shokirova, T., &amp; Coustere, C. (2024). Unfamiliarities, Uncertainties, and Ambivalent Long-Term Intentions: Conceptualizing International Student-Migrant Settlement and Integration. </w:t>
      </w:r>
      <w:r w:rsidRPr="00240CCB">
        <w:rPr>
          <w:rFonts w:ascii="Calibri" w:eastAsia="Times New Roman" w:hAnsi="Calibri" w:cs="Calibri"/>
          <w:i/>
          <w:iCs/>
          <w:color w:val="000000"/>
          <w:kern w:val="0"/>
          <w:lang w:eastAsia="en-NZ"/>
          <w14:ligatures w14:val="none"/>
        </w:rPr>
        <w:t>Journal of International Migration and Integration</w:t>
      </w:r>
      <w:r w:rsidRPr="00240CCB">
        <w:rPr>
          <w:rFonts w:ascii="Calibri" w:eastAsia="Times New Roman" w:hAnsi="Calibri" w:cs="Calibri"/>
          <w:color w:val="000000"/>
          <w:kern w:val="0"/>
          <w:lang w:eastAsia="en-NZ"/>
          <w14:ligatures w14:val="none"/>
        </w:rPr>
        <w:t xml:space="preserve">, </w:t>
      </w:r>
      <w:r w:rsidRPr="00240CCB">
        <w:rPr>
          <w:rFonts w:ascii="Calibri" w:eastAsia="Times New Roman" w:hAnsi="Calibri" w:cs="Calibri"/>
          <w:i/>
          <w:iCs/>
          <w:color w:val="000000"/>
          <w:kern w:val="0"/>
          <w:lang w:eastAsia="en-NZ"/>
          <w14:ligatures w14:val="none"/>
        </w:rPr>
        <w:t>25</w:t>
      </w:r>
      <w:r w:rsidRPr="00240CCB">
        <w:rPr>
          <w:rFonts w:ascii="Calibri" w:eastAsia="Times New Roman" w:hAnsi="Calibri" w:cs="Calibri"/>
          <w:color w:val="000000"/>
          <w:kern w:val="0"/>
          <w:lang w:eastAsia="en-NZ"/>
          <w14:ligatures w14:val="none"/>
        </w:rPr>
        <w:t xml:space="preserve">(2), 973–996. </w:t>
      </w:r>
      <w:hyperlink r:id="rId7" w:history="1">
        <w:r w:rsidR="00D114B2" w:rsidRPr="00240CCB">
          <w:rPr>
            <w:rStyle w:val="Hyperlink"/>
            <w:rFonts w:ascii="Calibri" w:eastAsia="Times New Roman" w:hAnsi="Calibri" w:cs="Calibri"/>
            <w:kern w:val="0"/>
            <w:lang w:eastAsia="en-NZ"/>
            <w14:ligatures w14:val="none"/>
          </w:rPr>
          <w:t>https://doi.org/10.1007/s12134-024-01116-1</w:t>
        </w:r>
      </w:hyperlink>
      <w:r w:rsidR="00D114B2" w:rsidRPr="00240CCB">
        <w:rPr>
          <w:rFonts w:ascii="Calibri" w:eastAsia="Times New Roman" w:hAnsi="Calibri" w:cs="Calibri"/>
          <w:color w:val="000000"/>
          <w:kern w:val="0"/>
          <w:lang w:eastAsia="en-NZ"/>
          <w14:ligatures w14:val="none"/>
        </w:rPr>
        <w:t xml:space="preserve"> </w:t>
      </w:r>
    </w:p>
    <w:p w14:paraId="548919A5" w14:textId="007AC103" w:rsidR="00120AE9" w:rsidRPr="00240CCB" w:rsidRDefault="00120AE9" w:rsidP="006A3069">
      <w:pPr>
        <w:spacing w:after="200" w:line="360" w:lineRule="auto"/>
        <w:ind w:left="567" w:hanging="567"/>
        <w:rPr>
          <w:rFonts w:ascii="Calibri" w:eastAsia="Times New Roman" w:hAnsi="Calibri" w:cs="Calibri"/>
          <w:kern w:val="0"/>
          <w:lang w:eastAsia="en-NZ"/>
          <w14:ligatures w14:val="none"/>
        </w:rPr>
      </w:pPr>
      <w:r w:rsidRPr="00240CCB">
        <w:rPr>
          <w:rFonts w:ascii="Calibri" w:eastAsia="Times New Roman" w:hAnsi="Calibri" w:cs="Calibri"/>
          <w:color w:val="000000"/>
          <w:kern w:val="0"/>
          <w:lang w:eastAsia="en-NZ"/>
          <w14:ligatures w14:val="none"/>
        </w:rPr>
        <w:t xml:space="preserve">Donald, W. E. (2025). Developing Employability Capital in University Students: A Practical Guide (1st ed.). Routledge. </w:t>
      </w:r>
      <w:hyperlink r:id="rId8" w:history="1">
        <w:r w:rsidR="00D114B2" w:rsidRPr="00240CCB">
          <w:rPr>
            <w:rStyle w:val="Hyperlink"/>
            <w:rFonts w:ascii="Calibri" w:eastAsia="Times New Roman" w:hAnsi="Calibri" w:cs="Calibri"/>
            <w:kern w:val="0"/>
            <w:lang w:eastAsia="en-NZ"/>
            <w14:ligatures w14:val="none"/>
          </w:rPr>
          <w:t>https://doi.org/10.4324/9781003562429</w:t>
        </w:r>
      </w:hyperlink>
      <w:r w:rsidR="00D114B2" w:rsidRPr="00240CCB">
        <w:rPr>
          <w:rFonts w:ascii="Calibri" w:eastAsia="Times New Roman" w:hAnsi="Calibri" w:cs="Calibri"/>
          <w:color w:val="000000"/>
          <w:kern w:val="0"/>
          <w:lang w:eastAsia="en-NZ"/>
          <w14:ligatures w14:val="none"/>
        </w:rPr>
        <w:t xml:space="preserve"> </w:t>
      </w:r>
    </w:p>
    <w:p w14:paraId="2AA9A3B0" w14:textId="30AB9625" w:rsidR="00120AE9" w:rsidRPr="00240CCB" w:rsidRDefault="00120AE9" w:rsidP="006A3069">
      <w:pPr>
        <w:spacing w:after="200" w:line="360" w:lineRule="auto"/>
        <w:ind w:left="567" w:hanging="567"/>
        <w:rPr>
          <w:rFonts w:ascii="Calibri" w:eastAsia="Times New Roman" w:hAnsi="Calibri" w:cs="Calibri"/>
          <w:kern w:val="0"/>
          <w:lang w:eastAsia="en-NZ"/>
          <w14:ligatures w14:val="none"/>
        </w:rPr>
      </w:pPr>
      <w:r w:rsidRPr="00240CCB">
        <w:rPr>
          <w:rFonts w:ascii="Calibri" w:eastAsia="Times New Roman" w:hAnsi="Calibri" w:cs="Calibri"/>
          <w:color w:val="000000"/>
          <w:kern w:val="0"/>
          <w:lang w:eastAsia="en-NZ"/>
          <w14:ligatures w14:val="none"/>
        </w:rPr>
        <w:t xml:space="preserve">Education New Zealand. (2025). International Education: Going for Growth Plan 2025. New Zealand Government. </w:t>
      </w:r>
      <w:hyperlink r:id="rId9" w:history="1">
        <w:r w:rsidR="00D114B2" w:rsidRPr="00240CCB">
          <w:rPr>
            <w:rStyle w:val="Hyperlink"/>
            <w:rFonts w:ascii="Calibri" w:eastAsia="Times New Roman" w:hAnsi="Calibri" w:cs="Calibri"/>
            <w:kern w:val="0"/>
            <w:lang w:eastAsia="en-NZ"/>
            <w14:ligatures w14:val="none"/>
          </w:rPr>
          <w:t>https://www.enz.govt.nz/assets/International-Education-Going-for-Growth-Plan-2025.pdf</w:t>
        </w:r>
      </w:hyperlink>
      <w:r w:rsidR="00D114B2" w:rsidRPr="00240CCB">
        <w:rPr>
          <w:rFonts w:ascii="Calibri" w:eastAsia="Times New Roman" w:hAnsi="Calibri" w:cs="Calibri"/>
          <w:color w:val="000000"/>
          <w:kern w:val="0"/>
          <w:lang w:eastAsia="en-NZ"/>
          <w14:ligatures w14:val="none"/>
        </w:rPr>
        <w:t xml:space="preserve"> </w:t>
      </w:r>
    </w:p>
    <w:p w14:paraId="48F95B1F" w14:textId="3EF89C00" w:rsidR="00120AE9" w:rsidRPr="00240CCB" w:rsidRDefault="00120AE9" w:rsidP="006A3069">
      <w:pPr>
        <w:spacing w:after="200" w:line="360" w:lineRule="auto"/>
        <w:ind w:left="567" w:hanging="567"/>
        <w:rPr>
          <w:rFonts w:ascii="Calibri" w:eastAsia="Times New Roman" w:hAnsi="Calibri" w:cs="Calibri"/>
          <w:kern w:val="0"/>
          <w:lang w:eastAsia="en-NZ"/>
          <w14:ligatures w14:val="none"/>
        </w:rPr>
      </w:pPr>
      <w:r w:rsidRPr="00240CCB">
        <w:rPr>
          <w:rFonts w:ascii="Calibri" w:eastAsia="Times New Roman" w:hAnsi="Calibri" w:cs="Calibri"/>
          <w:color w:val="000000"/>
          <w:kern w:val="0"/>
          <w:lang w:eastAsia="en-NZ"/>
          <w14:ligatures w14:val="none"/>
        </w:rPr>
        <w:t>Han, Y., Gulanowski, D., &amp; Sears, G. J. (2022). International student graduates' workforce integration: A systematic review.</w:t>
      </w:r>
      <w:r w:rsidRPr="00240CCB">
        <w:rPr>
          <w:rFonts w:ascii="Calibri" w:eastAsia="Times New Roman" w:hAnsi="Calibri" w:cs="Calibri"/>
          <w:i/>
          <w:iCs/>
          <w:color w:val="000000"/>
          <w:kern w:val="0"/>
          <w:lang w:eastAsia="en-NZ"/>
          <w14:ligatures w14:val="none"/>
        </w:rPr>
        <w:t xml:space="preserve"> International Journal of Intercultural Relations, 86</w:t>
      </w:r>
      <w:r w:rsidRPr="00240CCB">
        <w:rPr>
          <w:rFonts w:ascii="Calibri" w:eastAsia="Times New Roman" w:hAnsi="Calibri" w:cs="Calibri"/>
          <w:color w:val="000000"/>
          <w:kern w:val="0"/>
          <w:lang w:eastAsia="en-NZ"/>
          <w14:ligatures w14:val="none"/>
        </w:rPr>
        <w:t xml:space="preserve">, 163–189. </w:t>
      </w:r>
      <w:hyperlink r:id="rId10" w:history="1">
        <w:r w:rsidR="00D114B2" w:rsidRPr="00240CCB">
          <w:rPr>
            <w:rStyle w:val="Hyperlink"/>
            <w:rFonts w:ascii="Calibri" w:eastAsia="Times New Roman" w:hAnsi="Calibri" w:cs="Calibri"/>
            <w:kern w:val="0"/>
            <w:lang w:eastAsia="en-NZ"/>
            <w14:ligatures w14:val="none"/>
          </w:rPr>
          <w:t>https://doi.org/10.1016/j.ijintrel.2021.11.003</w:t>
        </w:r>
      </w:hyperlink>
      <w:r w:rsidR="00D114B2" w:rsidRPr="00240CCB">
        <w:rPr>
          <w:rFonts w:ascii="Calibri" w:eastAsia="Times New Roman" w:hAnsi="Calibri" w:cs="Calibri"/>
          <w:color w:val="000000"/>
          <w:kern w:val="0"/>
          <w:lang w:eastAsia="en-NZ"/>
          <w14:ligatures w14:val="none"/>
        </w:rPr>
        <w:t xml:space="preserve"> </w:t>
      </w:r>
    </w:p>
    <w:p w14:paraId="21299958" w14:textId="11C56504" w:rsidR="00120AE9" w:rsidRPr="00240CCB" w:rsidRDefault="00120AE9" w:rsidP="006A3069">
      <w:pPr>
        <w:spacing w:after="200" w:line="360" w:lineRule="auto"/>
        <w:ind w:left="567" w:hanging="567"/>
        <w:rPr>
          <w:rFonts w:ascii="Calibri" w:eastAsia="Times New Roman" w:hAnsi="Calibri" w:cs="Calibri"/>
          <w:kern w:val="0"/>
          <w:lang w:eastAsia="en-NZ"/>
          <w14:ligatures w14:val="none"/>
        </w:rPr>
      </w:pPr>
      <w:r w:rsidRPr="00240CCB">
        <w:rPr>
          <w:rFonts w:ascii="Calibri" w:eastAsia="Times New Roman" w:hAnsi="Calibri" w:cs="Calibri"/>
          <w:color w:val="000000"/>
          <w:kern w:val="0"/>
          <w:lang w:eastAsia="en-NZ"/>
          <w14:ligatures w14:val="none"/>
        </w:rPr>
        <w:t xml:space="preserve">ISANA NZ. (n.d.-a). </w:t>
      </w:r>
      <w:r w:rsidRPr="00240CCB">
        <w:rPr>
          <w:rFonts w:ascii="Calibri" w:eastAsia="Times New Roman" w:hAnsi="Calibri" w:cs="Calibri"/>
          <w:i/>
          <w:iCs/>
          <w:color w:val="000000"/>
          <w:kern w:val="0"/>
          <w:lang w:eastAsia="en-NZ"/>
          <w14:ligatures w14:val="none"/>
        </w:rPr>
        <w:t xml:space="preserve">Encouraging international student engagement with the community. </w:t>
      </w:r>
      <w:hyperlink r:id="rId11" w:history="1">
        <w:r w:rsidR="00D114B2" w:rsidRPr="00240CCB">
          <w:rPr>
            <w:rStyle w:val="Hyperlink"/>
            <w:rFonts w:ascii="Calibri" w:eastAsia="Times New Roman" w:hAnsi="Calibri" w:cs="Calibri"/>
            <w:kern w:val="0"/>
            <w:lang w:eastAsia="en-NZ"/>
            <w14:ligatures w14:val="none"/>
          </w:rPr>
          <w:t>https://www.isana.nz/toolkit/student-experience-information/encouraging-international-student-engagement-with-the-community</w:t>
        </w:r>
      </w:hyperlink>
      <w:r w:rsidR="00D114B2" w:rsidRPr="00240CCB">
        <w:rPr>
          <w:rFonts w:ascii="Calibri" w:eastAsia="Times New Roman" w:hAnsi="Calibri" w:cs="Calibri"/>
          <w:color w:val="000000"/>
          <w:kern w:val="0"/>
          <w:lang w:eastAsia="en-NZ"/>
          <w14:ligatures w14:val="none"/>
        </w:rPr>
        <w:t xml:space="preserve"> </w:t>
      </w:r>
    </w:p>
    <w:p w14:paraId="53EC79B8" w14:textId="2C739A4F" w:rsidR="00120AE9" w:rsidRPr="00240CCB" w:rsidRDefault="00120AE9" w:rsidP="006A3069">
      <w:pPr>
        <w:spacing w:after="200" w:line="360" w:lineRule="auto"/>
        <w:ind w:left="567" w:hanging="567"/>
        <w:rPr>
          <w:rFonts w:ascii="Calibri" w:eastAsia="Times New Roman" w:hAnsi="Calibri" w:cs="Calibri"/>
          <w:kern w:val="0"/>
          <w:lang w:eastAsia="en-NZ"/>
          <w14:ligatures w14:val="none"/>
        </w:rPr>
      </w:pPr>
      <w:r w:rsidRPr="00240CCB">
        <w:rPr>
          <w:rFonts w:ascii="Calibri" w:eastAsia="Times New Roman" w:hAnsi="Calibri" w:cs="Calibri"/>
          <w:color w:val="000000"/>
          <w:kern w:val="0"/>
          <w:lang w:eastAsia="en-NZ"/>
          <w14:ligatures w14:val="none"/>
        </w:rPr>
        <w:t xml:space="preserve">ISANA NZ. (n.d.-b). </w:t>
      </w:r>
      <w:r w:rsidRPr="00240CCB">
        <w:rPr>
          <w:rFonts w:ascii="Calibri" w:eastAsia="Times New Roman" w:hAnsi="Calibri" w:cs="Calibri"/>
          <w:i/>
          <w:iCs/>
          <w:color w:val="000000"/>
          <w:kern w:val="0"/>
          <w:lang w:eastAsia="en-NZ"/>
          <w14:ligatures w14:val="none"/>
        </w:rPr>
        <w:t xml:space="preserve">Understand New Zealand’s Cultural Values. </w:t>
      </w:r>
      <w:hyperlink r:id="rId12" w:history="1">
        <w:r w:rsidR="00D114B2" w:rsidRPr="00240CCB">
          <w:rPr>
            <w:rStyle w:val="Hyperlink"/>
            <w:rFonts w:ascii="Calibri" w:eastAsia="Times New Roman" w:hAnsi="Calibri" w:cs="Calibri"/>
            <w:kern w:val="0"/>
            <w:lang w:eastAsia="en-NZ"/>
            <w14:ligatures w14:val="none"/>
          </w:rPr>
          <w:t>https://www.isana.nz/toolkit/student-experience-information/understand-new-zealands-cultural-values</w:t>
        </w:r>
      </w:hyperlink>
      <w:r w:rsidR="00D114B2" w:rsidRPr="00240CCB">
        <w:rPr>
          <w:rFonts w:ascii="Calibri" w:eastAsia="Times New Roman" w:hAnsi="Calibri" w:cs="Calibri"/>
          <w:color w:val="000000"/>
          <w:kern w:val="0"/>
          <w:lang w:eastAsia="en-NZ"/>
          <w14:ligatures w14:val="none"/>
        </w:rPr>
        <w:t xml:space="preserve"> </w:t>
      </w:r>
    </w:p>
    <w:p w14:paraId="32065CE3" w14:textId="6679A02D" w:rsidR="00120AE9" w:rsidRPr="00240CCB" w:rsidRDefault="00120AE9" w:rsidP="006A3069">
      <w:pPr>
        <w:spacing w:after="200" w:line="360" w:lineRule="auto"/>
        <w:ind w:left="567" w:hanging="567"/>
        <w:rPr>
          <w:rFonts w:ascii="Calibri" w:eastAsia="Times New Roman" w:hAnsi="Calibri" w:cs="Calibri"/>
          <w:kern w:val="0"/>
          <w:lang w:eastAsia="en-NZ"/>
          <w14:ligatures w14:val="none"/>
        </w:rPr>
      </w:pPr>
      <w:r w:rsidRPr="00240CCB">
        <w:rPr>
          <w:rFonts w:ascii="Calibri" w:eastAsia="Times New Roman" w:hAnsi="Calibri" w:cs="Calibri"/>
          <w:color w:val="000000"/>
          <w:kern w:val="0"/>
          <w:lang w:eastAsia="en-NZ"/>
          <w14:ligatures w14:val="none"/>
        </w:rPr>
        <w:t xml:space="preserve">Jackson, D. (2017). Exploring the challenges experienced by international students during work-integrated learning in Australia. </w:t>
      </w:r>
      <w:r w:rsidRPr="00240CCB">
        <w:rPr>
          <w:rFonts w:ascii="Calibri" w:eastAsia="Times New Roman" w:hAnsi="Calibri" w:cs="Calibri"/>
          <w:i/>
          <w:iCs/>
          <w:color w:val="000000"/>
          <w:kern w:val="0"/>
          <w:lang w:eastAsia="en-NZ"/>
          <w14:ligatures w14:val="none"/>
        </w:rPr>
        <w:t>Asia Pacific Journal of Education, 37</w:t>
      </w:r>
      <w:r w:rsidRPr="00240CCB">
        <w:rPr>
          <w:rFonts w:ascii="Calibri" w:eastAsia="Times New Roman" w:hAnsi="Calibri" w:cs="Calibri"/>
          <w:color w:val="000000"/>
          <w:kern w:val="0"/>
          <w:lang w:eastAsia="en-NZ"/>
          <w14:ligatures w14:val="none"/>
        </w:rPr>
        <w:t xml:space="preserve">(3), 344–359. </w:t>
      </w:r>
      <w:hyperlink r:id="rId13" w:history="1">
        <w:r w:rsidR="00D114B2" w:rsidRPr="00240CCB">
          <w:rPr>
            <w:rStyle w:val="Hyperlink"/>
            <w:rFonts w:ascii="Calibri" w:eastAsia="Times New Roman" w:hAnsi="Calibri" w:cs="Calibri"/>
            <w:kern w:val="0"/>
            <w:lang w:eastAsia="en-NZ"/>
            <w14:ligatures w14:val="none"/>
          </w:rPr>
          <w:t>https://doi.org/10.1080/02188791.2017.1298515</w:t>
        </w:r>
      </w:hyperlink>
      <w:r w:rsidR="00D114B2" w:rsidRPr="00240CCB">
        <w:rPr>
          <w:rFonts w:ascii="Calibri" w:eastAsia="Times New Roman" w:hAnsi="Calibri" w:cs="Calibri"/>
          <w:color w:val="000000"/>
          <w:kern w:val="0"/>
          <w:lang w:eastAsia="en-NZ"/>
          <w14:ligatures w14:val="none"/>
        </w:rPr>
        <w:t xml:space="preserve"> </w:t>
      </w:r>
    </w:p>
    <w:p w14:paraId="39265086" w14:textId="51770A05" w:rsidR="00120AE9" w:rsidRPr="00240CCB" w:rsidRDefault="00120AE9" w:rsidP="006A3069">
      <w:pPr>
        <w:spacing w:after="200" w:line="360" w:lineRule="auto"/>
        <w:ind w:left="567" w:hanging="567"/>
        <w:rPr>
          <w:rFonts w:ascii="Calibri" w:eastAsia="Times New Roman" w:hAnsi="Calibri" w:cs="Calibri"/>
          <w:kern w:val="0"/>
          <w:lang w:eastAsia="en-NZ"/>
          <w14:ligatures w14:val="none"/>
        </w:rPr>
      </w:pPr>
      <w:r w:rsidRPr="00240CCB">
        <w:rPr>
          <w:rFonts w:ascii="Calibri" w:eastAsia="Times New Roman" w:hAnsi="Calibri" w:cs="Calibri"/>
          <w:color w:val="000000"/>
          <w:kern w:val="0"/>
          <w:lang w:eastAsia="en-NZ"/>
          <w14:ligatures w14:val="none"/>
        </w:rPr>
        <w:t xml:space="preserve">King, C., Gomes, C., Shannon, W., &amp; Lu, R. (2024). International </w:t>
      </w:r>
      <w:r w:rsidR="00CC67F7">
        <w:rPr>
          <w:rFonts w:ascii="Calibri" w:eastAsia="Times New Roman" w:hAnsi="Calibri" w:cs="Calibri"/>
          <w:color w:val="000000"/>
          <w:kern w:val="0"/>
          <w:lang w:eastAsia="en-NZ"/>
          <w14:ligatures w14:val="none"/>
        </w:rPr>
        <w:t>s</w:t>
      </w:r>
      <w:r w:rsidRPr="00240CCB">
        <w:rPr>
          <w:rFonts w:ascii="Calibri" w:eastAsia="Times New Roman" w:hAnsi="Calibri" w:cs="Calibri"/>
          <w:color w:val="000000"/>
          <w:kern w:val="0"/>
          <w:lang w:eastAsia="en-NZ"/>
          <w14:ligatures w14:val="none"/>
        </w:rPr>
        <w:t xml:space="preserve">tudent </w:t>
      </w:r>
      <w:r w:rsidR="00CC67F7">
        <w:rPr>
          <w:rFonts w:ascii="Calibri" w:eastAsia="Times New Roman" w:hAnsi="Calibri" w:cs="Calibri"/>
          <w:color w:val="000000"/>
          <w:kern w:val="0"/>
          <w:lang w:eastAsia="en-NZ"/>
          <w14:ligatures w14:val="none"/>
        </w:rPr>
        <w:t>m</w:t>
      </w:r>
      <w:r w:rsidRPr="00240CCB">
        <w:rPr>
          <w:rFonts w:ascii="Calibri" w:eastAsia="Times New Roman" w:hAnsi="Calibri" w:cs="Calibri"/>
          <w:color w:val="000000"/>
          <w:kern w:val="0"/>
          <w:lang w:eastAsia="en-NZ"/>
          <w14:ligatures w14:val="none"/>
        </w:rPr>
        <w:t xml:space="preserve">obility to Canada and New Zealand: “Edugration” or “Transience”? </w:t>
      </w:r>
      <w:r w:rsidRPr="00240CCB">
        <w:rPr>
          <w:rFonts w:ascii="Calibri" w:eastAsia="Times New Roman" w:hAnsi="Calibri" w:cs="Calibri"/>
          <w:i/>
          <w:iCs/>
          <w:color w:val="000000"/>
          <w:kern w:val="0"/>
          <w:lang w:eastAsia="en-NZ"/>
          <w14:ligatures w14:val="none"/>
        </w:rPr>
        <w:t>Comparative and International Education, 53</w:t>
      </w:r>
      <w:r w:rsidRPr="00240CCB">
        <w:rPr>
          <w:rFonts w:ascii="Calibri" w:eastAsia="Times New Roman" w:hAnsi="Calibri" w:cs="Calibri"/>
          <w:color w:val="000000"/>
          <w:kern w:val="0"/>
          <w:lang w:eastAsia="en-NZ"/>
          <w14:ligatures w14:val="none"/>
        </w:rPr>
        <w:t xml:space="preserve">(2). </w:t>
      </w:r>
      <w:hyperlink r:id="rId14" w:history="1">
        <w:r w:rsidR="00D114B2" w:rsidRPr="00240CCB">
          <w:rPr>
            <w:rStyle w:val="Hyperlink"/>
            <w:rFonts w:ascii="Calibri" w:eastAsia="Times New Roman" w:hAnsi="Calibri" w:cs="Calibri"/>
            <w:kern w:val="0"/>
            <w:lang w:eastAsia="en-NZ"/>
            <w14:ligatures w14:val="none"/>
          </w:rPr>
          <w:t>https://doi.org/10.5206/cie-eci.v53i2.17001</w:t>
        </w:r>
      </w:hyperlink>
      <w:r w:rsidR="00D114B2" w:rsidRPr="00240CCB">
        <w:rPr>
          <w:rFonts w:ascii="Calibri" w:eastAsia="Times New Roman" w:hAnsi="Calibri" w:cs="Calibri"/>
          <w:color w:val="000000"/>
          <w:kern w:val="0"/>
          <w:lang w:eastAsia="en-NZ"/>
          <w14:ligatures w14:val="none"/>
        </w:rPr>
        <w:t xml:space="preserve"> </w:t>
      </w:r>
    </w:p>
    <w:p w14:paraId="0DEBF947" w14:textId="4E17C304" w:rsidR="00120AE9" w:rsidRPr="00240CCB" w:rsidRDefault="00120AE9" w:rsidP="006A3069">
      <w:pPr>
        <w:spacing w:after="200" w:line="360" w:lineRule="auto"/>
        <w:ind w:left="567" w:hanging="567"/>
        <w:rPr>
          <w:rFonts w:ascii="Calibri" w:eastAsia="Times New Roman" w:hAnsi="Calibri" w:cs="Calibri"/>
          <w:kern w:val="0"/>
          <w:lang w:eastAsia="en-NZ"/>
          <w14:ligatures w14:val="none"/>
        </w:rPr>
      </w:pPr>
      <w:r w:rsidRPr="00240CCB">
        <w:rPr>
          <w:rFonts w:ascii="Calibri" w:eastAsia="Times New Roman" w:hAnsi="Calibri" w:cs="Calibri"/>
          <w:color w:val="000000"/>
          <w:kern w:val="0"/>
          <w:lang w:eastAsia="en-NZ"/>
          <w14:ligatures w14:val="none"/>
        </w:rPr>
        <w:lastRenderedPageBreak/>
        <w:t xml:space="preserve">Page, C., &amp; Ho, C. (2025). Global </w:t>
      </w:r>
      <w:r w:rsidR="007B3545">
        <w:rPr>
          <w:rFonts w:ascii="Calibri" w:eastAsia="Times New Roman" w:hAnsi="Calibri" w:cs="Calibri"/>
          <w:color w:val="000000"/>
          <w:kern w:val="0"/>
          <w:lang w:eastAsia="en-NZ"/>
          <w14:ligatures w14:val="none"/>
        </w:rPr>
        <w:t>a</w:t>
      </w:r>
      <w:r w:rsidRPr="00240CCB">
        <w:rPr>
          <w:rFonts w:ascii="Calibri" w:eastAsia="Times New Roman" w:hAnsi="Calibri" w:cs="Calibri"/>
          <w:color w:val="000000"/>
          <w:kern w:val="0"/>
          <w:lang w:eastAsia="en-NZ"/>
          <w14:ligatures w14:val="none"/>
        </w:rPr>
        <w:t xml:space="preserve">mbitions, </w:t>
      </w:r>
      <w:r w:rsidR="007B3545">
        <w:rPr>
          <w:rFonts w:ascii="Calibri" w:eastAsia="Times New Roman" w:hAnsi="Calibri" w:cs="Calibri"/>
          <w:color w:val="000000"/>
          <w:kern w:val="0"/>
          <w:lang w:eastAsia="en-NZ"/>
          <w14:ligatures w14:val="none"/>
        </w:rPr>
        <w:t>l</w:t>
      </w:r>
      <w:r w:rsidRPr="00240CCB">
        <w:rPr>
          <w:rFonts w:ascii="Calibri" w:eastAsia="Times New Roman" w:hAnsi="Calibri" w:cs="Calibri"/>
          <w:color w:val="000000"/>
          <w:kern w:val="0"/>
          <w:lang w:eastAsia="en-NZ"/>
          <w14:ligatures w14:val="none"/>
        </w:rPr>
        <w:t xml:space="preserve">ocal </w:t>
      </w:r>
      <w:r w:rsidR="007B3545">
        <w:rPr>
          <w:rFonts w:ascii="Calibri" w:eastAsia="Times New Roman" w:hAnsi="Calibri" w:cs="Calibri"/>
          <w:color w:val="000000"/>
          <w:kern w:val="0"/>
          <w:lang w:eastAsia="en-NZ"/>
          <w14:ligatures w14:val="none"/>
        </w:rPr>
        <w:t>s</w:t>
      </w:r>
      <w:r w:rsidRPr="00240CCB">
        <w:rPr>
          <w:rFonts w:ascii="Calibri" w:eastAsia="Times New Roman" w:hAnsi="Calibri" w:cs="Calibri"/>
          <w:color w:val="000000"/>
          <w:kern w:val="0"/>
          <w:lang w:eastAsia="en-NZ"/>
          <w14:ligatures w14:val="none"/>
        </w:rPr>
        <w:t>upport</w:t>
      </w:r>
      <w:r w:rsidR="007B3545">
        <w:rPr>
          <w:rFonts w:ascii="Calibri" w:eastAsia="Times New Roman" w:hAnsi="Calibri" w:cs="Calibri"/>
          <w:color w:val="000000"/>
          <w:kern w:val="0"/>
          <w:lang w:eastAsia="en-NZ"/>
          <w14:ligatures w14:val="none"/>
        </w:rPr>
        <w:t>:</w:t>
      </w:r>
      <w:r w:rsidRPr="00240CCB">
        <w:rPr>
          <w:rFonts w:ascii="Calibri" w:eastAsia="Times New Roman" w:hAnsi="Calibri" w:cs="Calibri"/>
          <w:color w:val="000000"/>
          <w:kern w:val="0"/>
          <w:lang w:eastAsia="en-NZ"/>
          <w14:ligatures w14:val="none"/>
        </w:rPr>
        <w:t xml:space="preserve"> Understanding </w:t>
      </w:r>
      <w:r w:rsidR="007B3545">
        <w:rPr>
          <w:rFonts w:ascii="Calibri" w:eastAsia="Times New Roman" w:hAnsi="Calibri" w:cs="Calibri"/>
          <w:color w:val="000000"/>
          <w:kern w:val="0"/>
          <w:lang w:eastAsia="en-NZ"/>
          <w14:ligatures w14:val="none"/>
        </w:rPr>
        <w:t>f</w:t>
      </w:r>
      <w:r w:rsidRPr="00240CCB">
        <w:rPr>
          <w:rFonts w:ascii="Calibri" w:eastAsia="Times New Roman" w:hAnsi="Calibri" w:cs="Calibri"/>
          <w:color w:val="000000"/>
          <w:kern w:val="0"/>
          <w:lang w:eastAsia="en-NZ"/>
          <w14:ligatures w14:val="none"/>
        </w:rPr>
        <w:t xml:space="preserve">aculty </w:t>
      </w:r>
      <w:r w:rsidR="007B3545">
        <w:rPr>
          <w:rFonts w:ascii="Calibri" w:eastAsia="Times New Roman" w:hAnsi="Calibri" w:cs="Calibri"/>
          <w:color w:val="000000"/>
          <w:kern w:val="0"/>
          <w:lang w:eastAsia="en-NZ"/>
          <w14:ligatures w14:val="none"/>
        </w:rPr>
        <w:t>i</w:t>
      </w:r>
      <w:r w:rsidRPr="00240CCB">
        <w:rPr>
          <w:rFonts w:ascii="Calibri" w:eastAsia="Times New Roman" w:hAnsi="Calibri" w:cs="Calibri"/>
          <w:color w:val="000000"/>
          <w:kern w:val="0"/>
          <w:lang w:eastAsia="en-NZ"/>
          <w14:ligatures w14:val="none"/>
        </w:rPr>
        <w:t xml:space="preserve">nfluence on </w:t>
      </w:r>
      <w:r w:rsidR="007B3545">
        <w:rPr>
          <w:rFonts w:ascii="Calibri" w:eastAsia="Times New Roman" w:hAnsi="Calibri" w:cs="Calibri"/>
          <w:color w:val="000000"/>
          <w:kern w:val="0"/>
          <w:lang w:eastAsia="en-NZ"/>
          <w14:ligatures w14:val="none"/>
        </w:rPr>
        <w:t>i</w:t>
      </w:r>
      <w:r w:rsidRPr="00240CCB">
        <w:rPr>
          <w:rFonts w:ascii="Calibri" w:eastAsia="Times New Roman" w:hAnsi="Calibri" w:cs="Calibri"/>
          <w:color w:val="000000"/>
          <w:kern w:val="0"/>
          <w:lang w:eastAsia="en-NZ"/>
          <w14:ligatures w14:val="none"/>
        </w:rPr>
        <w:t xml:space="preserve">nternational </w:t>
      </w:r>
      <w:r w:rsidR="007B3545">
        <w:rPr>
          <w:rFonts w:ascii="Calibri" w:eastAsia="Times New Roman" w:hAnsi="Calibri" w:cs="Calibri"/>
          <w:color w:val="000000"/>
          <w:kern w:val="0"/>
          <w:lang w:eastAsia="en-NZ"/>
          <w14:ligatures w14:val="none"/>
        </w:rPr>
        <w:t>s</w:t>
      </w:r>
      <w:r w:rsidRPr="00240CCB">
        <w:rPr>
          <w:rFonts w:ascii="Calibri" w:eastAsia="Times New Roman" w:hAnsi="Calibri" w:cs="Calibri"/>
          <w:color w:val="000000"/>
          <w:kern w:val="0"/>
          <w:lang w:eastAsia="en-NZ"/>
          <w14:ligatures w14:val="none"/>
        </w:rPr>
        <w:t xml:space="preserve">tudents’ </w:t>
      </w:r>
      <w:r w:rsidR="007B3545">
        <w:rPr>
          <w:rFonts w:ascii="Calibri" w:eastAsia="Times New Roman" w:hAnsi="Calibri" w:cs="Calibri"/>
          <w:color w:val="000000"/>
          <w:kern w:val="0"/>
          <w:lang w:eastAsia="en-NZ"/>
          <w14:ligatures w14:val="none"/>
        </w:rPr>
        <w:t>c</w:t>
      </w:r>
      <w:r w:rsidRPr="00240CCB">
        <w:rPr>
          <w:rFonts w:ascii="Calibri" w:eastAsia="Times New Roman" w:hAnsi="Calibri" w:cs="Calibri"/>
          <w:color w:val="000000"/>
          <w:kern w:val="0"/>
          <w:lang w:eastAsia="en-NZ"/>
          <w14:ligatures w14:val="none"/>
        </w:rPr>
        <w:t xml:space="preserve">areer </w:t>
      </w:r>
      <w:r w:rsidR="007B3545">
        <w:rPr>
          <w:rFonts w:ascii="Calibri" w:eastAsia="Times New Roman" w:hAnsi="Calibri" w:cs="Calibri"/>
          <w:color w:val="000000"/>
          <w:kern w:val="0"/>
          <w:lang w:eastAsia="en-NZ"/>
          <w14:ligatures w14:val="none"/>
        </w:rPr>
        <w:t>d</w:t>
      </w:r>
      <w:r w:rsidRPr="00240CCB">
        <w:rPr>
          <w:rFonts w:ascii="Calibri" w:eastAsia="Times New Roman" w:hAnsi="Calibri" w:cs="Calibri"/>
          <w:color w:val="000000"/>
          <w:kern w:val="0"/>
          <w:lang w:eastAsia="en-NZ"/>
          <w14:ligatures w14:val="none"/>
        </w:rPr>
        <w:t xml:space="preserve">evelopment. </w:t>
      </w:r>
      <w:r w:rsidRPr="00240CCB">
        <w:rPr>
          <w:rFonts w:ascii="Calibri" w:eastAsia="Times New Roman" w:hAnsi="Calibri" w:cs="Calibri"/>
          <w:i/>
          <w:iCs/>
          <w:color w:val="000000"/>
          <w:kern w:val="0"/>
          <w:lang w:eastAsia="en-NZ"/>
          <w14:ligatures w14:val="none"/>
        </w:rPr>
        <w:t>Canadian Journal of Career Development</w:t>
      </w:r>
      <w:r w:rsidRPr="00240CCB">
        <w:rPr>
          <w:rFonts w:ascii="Calibri" w:eastAsia="Times New Roman" w:hAnsi="Calibri" w:cs="Calibri"/>
          <w:color w:val="000000"/>
          <w:kern w:val="0"/>
          <w:lang w:eastAsia="en-NZ"/>
          <w14:ligatures w14:val="none"/>
        </w:rPr>
        <w:t xml:space="preserve">, </w:t>
      </w:r>
      <w:r w:rsidRPr="00240CCB">
        <w:rPr>
          <w:rFonts w:ascii="Calibri" w:eastAsia="Times New Roman" w:hAnsi="Calibri" w:cs="Calibri"/>
          <w:i/>
          <w:iCs/>
          <w:color w:val="000000"/>
          <w:kern w:val="0"/>
          <w:lang w:eastAsia="en-NZ"/>
          <w14:ligatures w14:val="none"/>
        </w:rPr>
        <w:t>24</w:t>
      </w:r>
      <w:r w:rsidRPr="00240CCB">
        <w:rPr>
          <w:rFonts w:ascii="Calibri" w:eastAsia="Times New Roman" w:hAnsi="Calibri" w:cs="Calibri"/>
          <w:color w:val="000000"/>
          <w:kern w:val="0"/>
          <w:lang w:eastAsia="en-NZ"/>
          <w14:ligatures w14:val="none"/>
        </w:rPr>
        <w:t xml:space="preserve">(1), 33–49. </w:t>
      </w:r>
      <w:hyperlink r:id="rId15" w:history="1">
        <w:r w:rsidR="00D114B2" w:rsidRPr="00240CCB">
          <w:rPr>
            <w:rStyle w:val="Hyperlink"/>
            <w:rFonts w:ascii="Calibri" w:eastAsia="Times New Roman" w:hAnsi="Calibri" w:cs="Calibri"/>
            <w:kern w:val="0"/>
            <w:lang w:eastAsia="en-NZ"/>
            <w14:ligatures w14:val="none"/>
          </w:rPr>
          <w:t>https://doi.org/10.53379/cjcd.2025.410</w:t>
        </w:r>
      </w:hyperlink>
      <w:r w:rsidR="00D114B2" w:rsidRPr="00240CCB">
        <w:rPr>
          <w:rFonts w:ascii="Calibri" w:eastAsia="Times New Roman" w:hAnsi="Calibri" w:cs="Calibri"/>
          <w:color w:val="000000"/>
          <w:kern w:val="0"/>
          <w:lang w:eastAsia="en-NZ"/>
          <w14:ligatures w14:val="none"/>
        </w:rPr>
        <w:t xml:space="preserve"> </w:t>
      </w:r>
    </w:p>
    <w:p w14:paraId="30C6CF0B" w14:textId="7926617D" w:rsidR="00120AE9" w:rsidRPr="00240CCB" w:rsidRDefault="00120AE9" w:rsidP="006A3069">
      <w:pPr>
        <w:spacing w:after="200" w:line="360" w:lineRule="auto"/>
        <w:ind w:left="567" w:hanging="567"/>
        <w:rPr>
          <w:rFonts w:ascii="Calibri" w:eastAsia="Times New Roman" w:hAnsi="Calibri" w:cs="Calibri"/>
          <w:kern w:val="0"/>
          <w:lang w:eastAsia="en-NZ"/>
          <w14:ligatures w14:val="none"/>
        </w:rPr>
      </w:pPr>
      <w:r w:rsidRPr="00240CCB">
        <w:rPr>
          <w:rFonts w:ascii="Calibri" w:eastAsia="Times New Roman" w:hAnsi="Calibri" w:cs="Calibri"/>
          <w:color w:val="000000"/>
          <w:kern w:val="0"/>
          <w:lang w:eastAsia="en-NZ"/>
          <w14:ligatures w14:val="none"/>
        </w:rPr>
        <w:t xml:space="preserve">Pham, T., Soltani, B., &amp; Singh, J. K. N. (2024). Employability capitals as essential resources for employment obtainment and career sustainability of international graduates. </w:t>
      </w:r>
      <w:r w:rsidRPr="00240CCB">
        <w:rPr>
          <w:rFonts w:ascii="Calibri" w:eastAsia="Times New Roman" w:hAnsi="Calibri" w:cs="Calibri"/>
          <w:i/>
          <w:iCs/>
          <w:color w:val="000000"/>
          <w:kern w:val="0"/>
          <w:lang w:eastAsia="en-NZ"/>
          <w14:ligatures w14:val="none"/>
        </w:rPr>
        <w:t>Journal of Further and Higher Education, 48</w:t>
      </w:r>
      <w:r w:rsidRPr="00240CCB">
        <w:rPr>
          <w:rFonts w:ascii="Calibri" w:eastAsia="Times New Roman" w:hAnsi="Calibri" w:cs="Calibri"/>
          <w:color w:val="000000"/>
          <w:kern w:val="0"/>
          <w:lang w:eastAsia="en-NZ"/>
          <w14:ligatures w14:val="none"/>
        </w:rPr>
        <w:t xml:space="preserve">(4), 436–448. </w:t>
      </w:r>
      <w:hyperlink r:id="rId16" w:history="1">
        <w:r w:rsidR="00D114B2" w:rsidRPr="00240CCB">
          <w:rPr>
            <w:rStyle w:val="Hyperlink"/>
            <w:rFonts w:ascii="Calibri" w:eastAsia="Times New Roman" w:hAnsi="Calibri" w:cs="Calibri"/>
            <w:kern w:val="0"/>
            <w:lang w:eastAsia="en-NZ"/>
            <w14:ligatures w14:val="none"/>
          </w:rPr>
          <w:t>https://doi.org/10.1080/0309877x.2024.2344771</w:t>
        </w:r>
      </w:hyperlink>
      <w:r w:rsidR="00D114B2" w:rsidRPr="00240CCB">
        <w:rPr>
          <w:rFonts w:ascii="Calibri" w:eastAsia="Times New Roman" w:hAnsi="Calibri" w:cs="Calibri"/>
          <w:color w:val="000000"/>
          <w:kern w:val="0"/>
          <w:lang w:eastAsia="en-NZ"/>
          <w14:ligatures w14:val="none"/>
        </w:rPr>
        <w:t xml:space="preserve"> </w:t>
      </w:r>
    </w:p>
    <w:p w14:paraId="56019FF4" w14:textId="77777777" w:rsidR="00120AE9" w:rsidRPr="00240CCB" w:rsidRDefault="00120AE9" w:rsidP="006A3069">
      <w:pPr>
        <w:spacing w:after="200" w:line="360" w:lineRule="auto"/>
        <w:ind w:left="567" w:hanging="567"/>
        <w:rPr>
          <w:rFonts w:ascii="Calibri" w:eastAsia="Times New Roman" w:hAnsi="Calibri" w:cs="Calibri"/>
          <w:kern w:val="0"/>
          <w:lang w:eastAsia="en-NZ"/>
          <w14:ligatures w14:val="none"/>
        </w:rPr>
      </w:pPr>
      <w:r w:rsidRPr="00240CCB">
        <w:rPr>
          <w:rFonts w:ascii="Calibri" w:eastAsia="Times New Roman" w:hAnsi="Calibri" w:cs="Calibri"/>
          <w:color w:val="000000"/>
          <w:kern w:val="0"/>
          <w:lang w:eastAsia="en-NZ"/>
          <w14:ligatures w14:val="none"/>
        </w:rPr>
        <w:t xml:space="preserve">Schön, D. A. (1983). </w:t>
      </w:r>
      <w:r w:rsidRPr="00240CCB">
        <w:rPr>
          <w:rFonts w:ascii="Calibri" w:eastAsia="Times New Roman" w:hAnsi="Calibri" w:cs="Calibri"/>
          <w:i/>
          <w:iCs/>
          <w:color w:val="000000"/>
          <w:kern w:val="0"/>
          <w:lang w:eastAsia="en-NZ"/>
          <w14:ligatures w14:val="none"/>
        </w:rPr>
        <w:t>The reflective practitioner: How professionals think in action</w:t>
      </w:r>
      <w:r w:rsidRPr="00240CCB">
        <w:rPr>
          <w:rFonts w:ascii="Calibri" w:eastAsia="Times New Roman" w:hAnsi="Calibri" w:cs="Calibri"/>
          <w:color w:val="000000"/>
          <w:kern w:val="0"/>
          <w:lang w:eastAsia="en-NZ"/>
          <w14:ligatures w14:val="none"/>
        </w:rPr>
        <w:t>. Basic Books.</w:t>
      </w:r>
    </w:p>
    <w:p w14:paraId="17622E02" w14:textId="2FB28331" w:rsidR="00120AE9" w:rsidRPr="00240CCB" w:rsidRDefault="00120AE9" w:rsidP="006A3069">
      <w:pPr>
        <w:spacing w:after="200" w:line="360" w:lineRule="auto"/>
        <w:ind w:left="567" w:hanging="567"/>
        <w:rPr>
          <w:rFonts w:ascii="Calibri" w:eastAsia="Times New Roman" w:hAnsi="Calibri" w:cs="Calibri"/>
          <w:kern w:val="0"/>
          <w:lang w:eastAsia="en-NZ"/>
          <w14:ligatures w14:val="none"/>
        </w:rPr>
      </w:pPr>
      <w:r w:rsidRPr="00240CCB">
        <w:rPr>
          <w:rFonts w:ascii="Calibri" w:eastAsia="Times New Roman" w:hAnsi="Calibri" w:cs="Calibri"/>
          <w:color w:val="000000"/>
          <w:kern w:val="0"/>
          <w:lang w:eastAsia="en-NZ"/>
          <w14:ligatures w14:val="none"/>
        </w:rPr>
        <w:t xml:space="preserve">Soltani, B., &amp; Donald, W. E. (2024). A landscape of practice approach to enhance employability: Insights from domestic and international postgraduates. </w:t>
      </w:r>
      <w:r w:rsidRPr="00240CCB">
        <w:rPr>
          <w:rFonts w:ascii="Calibri" w:eastAsia="Times New Roman" w:hAnsi="Calibri" w:cs="Calibri"/>
          <w:i/>
          <w:iCs/>
          <w:color w:val="000000"/>
          <w:kern w:val="0"/>
          <w:lang w:eastAsia="en-NZ"/>
          <w14:ligatures w14:val="none"/>
        </w:rPr>
        <w:t>Higher Education, Skills and Work-Based Learning, 14</w:t>
      </w:r>
      <w:r w:rsidRPr="00240CCB">
        <w:rPr>
          <w:rFonts w:ascii="Calibri" w:eastAsia="Times New Roman" w:hAnsi="Calibri" w:cs="Calibri"/>
          <w:color w:val="000000"/>
          <w:kern w:val="0"/>
          <w:lang w:eastAsia="en-NZ"/>
          <w14:ligatures w14:val="none"/>
        </w:rPr>
        <w:t xml:space="preserve">(6), 1340–1353. </w:t>
      </w:r>
      <w:hyperlink r:id="rId17" w:history="1">
        <w:r w:rsidR="00D114B2" w:rsidRPr="00240CCB">
          <w:rPr>
            <w:rStyle w:val="Hyperlink"/>
            <w:rFonts w:ascii="Calibri" w:eastAsia="Times New Roman" w:hAnsi="Calibri" w:cs="Calibri"/>
            <w:kern w:val="0"/>
            <w:lang w:eastAsia="en-NZ"/>
            <w14:ligatures w14:val="none"/>
          </w:rPr>
          <w:t>https://doi.org/10.1108/heswbl-11-2023-0320</w:t>
        </w:r>
      </w:hyperlink>
      <w:r w:rsidR="00D114B2" w:rsidRPr="00240CCB">
        <w:rPr>
          <w:rFonts w:ascii="Calibri" w:eastAsia="Times New Roman" w:hAnsi="Calibri" w:cs="Calibri"/>
          <w:color w:val="000000"/>
          <w:kern w:val="0"/>
          <w:lang w:eastAsia="en-NZ"/>
          <w14:ligatures w14:val="none"/>
        </w:rPr>
        <w:t xml:space="preserve"> </w:t>
      </w:r>
    </w:p>
    <w:p w14:paraId="2C8BB874" w14:textId="6A63BFD6" w:rsidR="00120AE9" w:rsidRPr="00240CCB" w:rsidRDefault="00120AE9" w:rsidP="006A3069">
      <w:pPr>
        <w:spacing w:after="200" w:line="360" w:lineRule="auto"/>
        <w:ind w:left="567" w:hanging="567"/>
        <w:rPr>
          <w:rFonts w:ascii="Calibri" w:eastAsia="Times New Roman" w:hAnsi="Calibri" w:cs="Calibri"/>
          <w:kern w:val="0"/>
          <w:lang w:eastAsia="en-NZ"/>
          <w14:ligatures w14:val="none"/>
        </w:rPr>
      </w:pPr>
      <w:r w:rsidRPr="00240CCB">
        <w:rPr>
          <w:rFonts w:ascii="Calibri" w:eastAsia="Times New Roman" w:hAnsi="Calibri" w:cs="Calibri"/>
          <w:color w:val="000000"/>
          <w:kern w:val="0"/>
          <w:lang w:eastAsia="en-NZ"/>
          <w14:ligatures w14:val="none"/>
        </w:rPr>
        <w:t xml:space="preserve">Udayanga, S. (2024). Challenges in navigating the education-migration pathways, and subjective well-being of highly educated immigrants: The case of Indian student immigrants in the United Kingdom. </w:t>
      </w:r>
      <w:r w:rsidRPr="00240CCB">
        <w:rPr>
          <w:rFonts w:ascii="Calibri" w:eastAsia="Times New Roman" w:hAnsi="Calibri" w:cs="Calibri"/>
          <w:i/>
          <w:iCs/>
          <w:color w:val="000000"/>
          <w:kern w:val="0"/>
          <w:lang w:eastAsia="en-NZ"/>
          <w14:ligatures w14:val="none"/>
        </w:rPr>
        <w:t>Frontiers in Sociology, 9</w:t>
      </w:r>
      <w:r w:rsidRPr="00240CCB">
        <w:rPr>
          <w:rFonts w:ascii="Calibri" w:eastAsia="Times New Roman" w:hAnsi="Calibri" w:cs="Calibri"/>
          <w:color w:val="000000"/>
          <w:kern w:val="0"/>
          <w:lang w:eastAsia="en-NZ"/>
          <w14:ligatures w14:val="none"/>
        </w:rPr>
        <w:t xml:space="preserve">. </w:t>
      </w:r>
      <w:hyperlink r:id="rId18" w:history="1">
        <w:r w:rsidR="00D114B2" w:rsidRPr="00240CCB">
          <w:rPr>
            <w:rStyle w:val="Hyperlink"/>
            <w:rFonts w:ascii="Calibri" w:eastAsia="Times New Roman" w:hAnsi="Calibri" w:cs="Calibri"/>
            <w:kern w:val="0"/>
            <w:lang w:eastAsia="en-NZ"/>
            <w14:ligatures w14:val="none"/>
          </w:rPr>
          <w:t>https://doi.org/10.3389/fsoc.2024.1385664</w:t>
        </w:r>
      </w:hyperlink>
      <w:r w:rsidR="00D114B2" w:rsidRPr="00240CCB">
        <w:rPr>
          <w:rFonts w:ascii="Calibri" w:eastAsia="Times New Roman" w:hAnsi="Calibri" w:cs="Calibri"/>
          <w:color w:val="000000"/>
          <w:kern w:val="0"/>
          <w:lang w:eastAsia="en-NZ"/>
          <w14:ligatures w14:val="none"/>
        </w:rPr>
        <w:t xml:space="preserve"> </w:t>
      </w:r>
    </w:p>
    <w:p w14:paraId="072FF6B0" w14:textId="29EB47EA" w:rsidR="00120AE9" w:rsidRPr="00240CCB" w:rsidRDefault="00120AE9" w:rsidP="006A3069">
      <w:pPr>
        <w:spacing w:after="200" w:line="360" w:lineRule="auto"/>
        <w:ind w:left="567" w:hanging="567"/>
        <w:rPr>
          <w:rFonts w:ascii="Calibri" w:eastAsia="Times New Roman" w:hAnsi="Calibri" w:cs="Calibri"/>
          <w:kern w:val="0"/>
          <w:lang w:eastAsia="en-NZ"/>
          <w14:ligatures w14:val="none"/>
        </w:rPr>
      </w:pPr>
      <w:r w:rsidRPr="00240CCB">
        <w:rPr>
          <w:rFonts w:ascii="Calibri" w:eastAsia="Times New Roman" w:hAnsi="Calibri" w:cs="Calibri"/>
          <w:color w:val="000000"/>
          <w:kern w:val="0"/>
          <w:lang w:eastAsia="en-NZ"/>
          <w14:ligatures w14:val="none"/>
        </w:rPr>
        <w:t xml:space="preserve">Universities New Zealand. (2025a). </w:t>
      </w:r>
      <w:r w:rsidRPr="00240CCB">
        <w:rPr>
          <w:rFonts w:ascii="Calibri" w:eastAsia="Times New Roman" w:hAnsi="Calibri" w:cs="Calibri"/>
          <w:i/>
          <w:iCs/>
          <w:color w:val="000000"/>
          <w:kern w:val="0"/>
          <w:lang w:eastAsia="en-NZ"/>
          <w14:ligatures w14:val="none"/>
        </w:rPr>
        <w:t>Advancing international education</w:t>
      </w:r>
      <w:r w:rsidRPr="00240CCB">
        <w:rPr>
          <w:rFonts w:ascii="Calibri" w:eastAsia="Times New Roman" w:hAnsi="Calibri" w:cs="Calibri"/>
          <w:color w:val="000000"/>
          <w:kern w:val="0"/>
          <w:lang w:eastAsia="en-NZ"/>
          <w14:ligatures w14:val="none"/>
        </w:rPr>
        <w:t xml:space="preserve">. </w:t>
      </w:r>
      <w:hyperlink r:id="rId19" w:history="1">
        <w:r w:rsidR="00D114B2" w:rsidRPr="00240CCB">
          <w:rPr>
            <w:rStyle w:val="Hyperlink"/>
            <w:rFonts w:ascii="Calibri" w:eastAsia="Times New Roman" w:hAnsi="Calibri" w:cs="Calibri"/>
            <w:kern w:val="0"/>
            <w:lang w:eastAsia="en-NZ"/>
            <w14:ligatures w14:val="none"/>
          </w:rPr>
          <w:t>https://www.universitiesnz.ac.nz/sector-research/advancing-international-education</w:t>
        </w:r>
      </w:hyperlink>
      <w:r w:rsidR="00D114B2" w:rsidRPr="00240CCB">
        <w:rPr>
          <w:rFonts w:ascii="Calibri" w:eastAsia="Times New Roman" w:hAnsi="Calibri" w:cs="Calibri"/>
          <w:color w:val="000000"/>
          <w:kern w:val="0"/>
          <w:lang w:eastAsia="en-NZ"/>
          <w14:ligatures w14:val="none"/>
        </w:rPr>
        <w:t xml:space="preserve"> </w:t>
      </w:r>
    </w:p>
    <w:p w14:paraId="5617686C" w14:textId="095AB59B" w:rsidR="00120AE9" w:rsidRPr="00240CCB" w:rsidRDefault="00120AE9" w:rsidP="006A3069">
      <w:pPr>
        <w:spacing w:after="200" w:line="360" w:lineRule="auto"/>
        <w:ind w:left="567" w:hanging="567"/>
        <w:rPr>
          <w:rFonts w:ascii="Calibri" w:eastAsia="Times New Roman" w:hAnsi="Calibri" w:cs="Calibri"/>
          <w:kern w:val="0"/>
          <w:lang w:eastAsia="en-NZ"/>
          <w14:ligatures w14:val="none"/>
        </w:rPr>
      </w:pPr>
      <w:r w:rsidRPr="00240CCB">
        <w:rPr>
          <w:rFonts w:ascii="Calibri" w:eastAsia="Times New Roman" w:hAnsi="Calibri" w:cs="Calibri"/>
          <w:color w:val="000000"/>
          <w:kern w:val="0"/>
          <w:lang w:eastAsia="en-NZ"/>
          <w14:ligatures w14:val="none"/>
        </w:rPr>
        <w:t xml:space="preserve">Universities New Zealand. (2025b, February 5). </w:t>
      </w:r>
      <w:r w:rsidRPr="00240CCB">
        <w:rPr>
          <w:rFonts w:ascii="Calibri" w:eastAsia="Times New Roman" w:hAnsi="Calibri" w:cs="Calibri"/>
          <w:i/>
          <w:iCs/>
          <w:color w:val="000000"/>
          <w:kern w:val="0"/>
          <w:lang w:eastAsia="en-NZ"/>
          <w14:ligatures w14:val="none"/>
        </w:rPr>
        <w:t>Briefing to the Incoming Minister for Universities</w:t>
      </w:r>
      <w:r w:rsidRPr="00240CCB">
        <w:rPr>
          <w:rFonts w:ascii="Calibri" w:eastAsia="Times New Roman" w:hAnsi="Calibri" w:cs="Calibri"/>
          <w:color w:val="000000"/>
          <w:kern w:val="0"/>
          <w:lang w:eastAsia="en-NZ"/>
          <w14:ligatures w14:val="none"/>
        </w:rPr>
        <w:t xml:space="preserve">. </w:t>
      </w:r>
      <w:hyperlink r:id="rId20" w:history="1">
        <w:r w:rsidR="00D114B2" w:rsidRPr="00240CCB">
          <w:rPr>
            <w:rStyle w:val="Hyperlink"/>
            <w:rFonts w:ascii="Calibri" w:eastAsia="Times New Roman" w:hAnsi="Calibri" w:cs="Calibri"/>
            <w:kern w:val="0"/>
            <w:lang w:eastAsia="en-NZ"/>
            <w14:ligatures w14:val="none"/>
          </w:rPr>
          <w:t>https://www.universitiesnz.ac.nz/latest-news-and-publications/briefing-incoming-minister-universities</w:t>
        </w:r>
      </w:hyperlink>
      <w:r w:rsidR="00D114B2" w:rsidRPr="00240CCB">
        <w:rPr>
          <w:rFonts w:ascii="Calibri" w:eastAsia="Times New Roman" w:hAnsi="Calibri" w:cs="Calibri"/>
          <w:color w:val="000000"/>
          <w:kern w:val="0"/>
          <w:lang w:eastAsia="en-NZ"/>
          <w14:ligatures w14:val="none"/>
        </w:rPr>
        <w:t xml:space="preserve"> </w:t>
      </w:r>
    </w:p>
    <w:p w14:paraId="5B0DD0B3" w14:textId="35F59580" w:rsidR="00120AE9" w:rsidRPr="00240CCB" w:rsidRDefault="00120AE9" w:rsidP="006A3069">
      <w:pPr>
        <w:spacing w:after="200" w:line="360" w:lineRule="auto"/>
        <w:ind w:left="567" w:hanging="567"/>
        <w:rPr>
          <w:rFonts w:ascii="Calibri" w:eastAsia="Times New Roman" w:hAnsi="Calibri" w:cs="Calibri"/>
          <w:kern w:val="0"/>
          <w:lang w:eastAsia="en-NZ"/>
          <w14:ligatures w14:val="none"/>
        </w:rPr>
      </w:pPr>
      <w:r w:rsidRPr="00240CCB">
        <w:rPr>
          <w:rFonts w:ascii="Calibri" w:eastAsia="Times New Roman" w:hAnsi="Calibri" w:cs="Calibri"/>
          <w:color w:val="000000"/>
          <w:kern w:val="0"/>
          <w:lang w:eastAsia="en-NZ"/>
          <w14:ligatures w14:val="none"/>
        </w:rPr>
        <w:t xml:space="preserve">Victoria University of Wellington. (2026). International student numbers surge at Vic Uni. </w:t>
      </w:r>
      <w:hyperlink r:id="rId21" w:history="1">
        <w:r w:rsidR="00D114B2" w:rsidRPr="00240CCB">
          <w:rPr>
            <w:rStyle w:val="Hyperlink"/>
            <w:rFonts w:ascii="Calibri" w:eastAsia="Times New Roman" w:hAnsi="Calibri" w:cs="Calibri"/>
            <w:kern w:val="0"/>
            <w:lang w:eastAsia="en-NZ"/>
            <w14:ligatures w14:val="none"/>
          </w:rPr>
          <w:t>https://www.wgtn.ac.nz/news/2026/03/international-student-numbers-surge-at-vic-uni</w:t>
        </w:r>
      </w:hyperlink>
      <w:r w:rsidR="00D114B2" w:rsidRPr="00240CCB">
        <w:rPr>
          <w:rFonts w:ascii="Calibri" w:eastAsia="Times New Roman" w:hAnsi="Calibri" w:cs="Calibri"/>
          <w:color w:val="000000"/>
          <w:kern w:val="0"/>
          <w:lang w:eastAsia="en-NZ"/>
          <w14:ligatures w14:val="none"/>
        </w:rPr>
        <w:t xml:space="preserve"> </w:t>
      </w:r>
    </w:p>
    <w:p w14:paraId="77A053FA" w14:textId="7F6E4CC8" w:rsidR="000139DF" w:rsidRPr="00240CCB" w:rsidRDefault="00120AE9" w:rsidP="006A3069">
      <w:pPr>
        <w:spacing w:line="360" w:lineRule="auto"/>
        <w:ind w:left="567" w:hanging="567"/>
        <w:jc w:val="both"/>
        <w:rPr>
          <w:rFonts w:ascii="Calibri" w:hAnsi="Calibri" w:cs="Calibri"/>
        </w:rPr>
      </w:pPr>
      <w:r w:rsidRPr="00240CCB">
        <w:rPr>
          <w:rFonts w:ascii="Calibri" w:eastAsia="Times New Roman" w:hAnsi="Calibri" w:cs="Calibri"/>
          <w:color w:val="000000"/>
          <w:kern w:val="0"/>
          <w:lang w:eastAsia="en-NZ"/>
          <w14:ligatures w14:val="none"/>
        </w:rPr>
        <w:t xml:space="preserve">Zikic, J., &amp; Klehe, U. (2021). Going against the grain: The role of skilled migrants' self-regulation in finding quality employment. </w:t>
      </w:r>
      <w:r w:rsidRPr="00240CCB">
        <w:rPr>
          <w:rFonts w:ascii="Calibri" w:eastAsia="Times New Roman" w:hAnsi="Calibri" w:cs="Calibri"/>
          <w:i/>
          <w:iCs/>
          <w:color w:val="000000"/>
          <w:kern w:val="0"/>
          <w:lang w:eastAsia="en-NZ"/>
          <w14:ligatures w14:val="none"/>
        </w:rPr>
        <w:t>Journal of Organizational Behavior, 42</w:t>
      </w:r>
      <w:r w:rsidRPr="00240CCB">
        <w:rPr>
          <w:rFonts w:ascii="Calibri" w:eastAsia="Times New Roman" w:hAnsi="Calibri" w:cs="Calibri"/>
          <w:color w:val="000000"/>
          <w:kern w:val="0"/>
          <w:lang w:eastAsia="en-NZ"/>
          <w14:ligatures w14:val="none"/>
        </w:rPr>
        <w:t xml:space="preserve">(8), 1023–1041. </w:t>
      </w:r>
      <w:hyperlink r:id="rId22" w:history="1">
        <w:r w:rsidR="00D114B2" w:rsidRPr="00240CCB">
          <w:rPr>
            <w:rStyle w:val="Hyperlink"/>
            <w:rFonts w:ascii="Calibri" w:eastAsia="Times New Roman" w:hAnsi="Calibri" w:cs="Calibri"/>
            <w:kern w:val="0"/>
            <w:lang w:eastAsia="en-NZ"/>
            <w14:ligatures w14:val="none"/>
          </w:rPr>
          <w:t>https://doi.org/10.1002/job.2550</w:t>
        </w:r>
      </w:hyperlink>
      <w:r w:rsidR="00D114B2" w:rsidRPr="00240CCB">
        <w:rPr>
          <w:rFonts w:ascii="Calibri" w:eastAsia="Times New Roman" w:hAnsi="Calibri" w:cs="Calibri"/>
          <w:color w:val="000000"/>
          <w:kern w:val="0"/>
          <w:lang w:eastAsia="en-NZ"/>
          <w14:ligatures w14:val="none"/>
        </w:rPr>
        <w:t xml:space="preserve"> </w:t>
      </w:r>
    </w:p>
    <w:sectPr w:rsidR="000139DF" w:rsidRPr="00240CC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047B0" w14:textId="77777777" w:rsidR="00473FDD" w:rsidRDefault="00473FDD" w:rsidP="00481A57">
      <w:pPr>
        <w:spacing w:after="0" w:line="240" w:lineRule="auto"/>
      </w:pPr>
      <w:r>
        <w:separator/>
      </w:r>
    </w:p>
  </w:endnote>
  <w:endnote w:type="continuationSeparator" w:id="0">
    <w:p w14:paraId="40937963" w14:textId="77777777" w:rsidR="00473FDD" w:rsidRDefault="00473FDD" w:rsidP="00481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1D605" w14:textId="77777777" w:rsidR="00473FDD" w:rsidRDefault="00473FDD" w:rsidP="00481A57">
      <w:pPr>
        <w:spacing w:after="0" w:line="240" w:lineRule="auto"/>
      </w:pPr>
      <w:r>
        <w:separator/>
      </w:r>
    </w:p>
  </w:footnote>
  <w:footnote w:type="continuationSeparator" w:id="0">
    <w:p w14:paraId="21329ED2" w14:textId="77777777" w:rsidR="00473FDD" w:rsidRDefault="00473FDD" w:rsidP="00481A5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A57"/>
    <w:rsid w:val="000139DF"/>
    <w:rsid w:val="000777FB"/>
    <w:rsid w:val="00120AE9"/>
    <w:rsid w:val="00123AC5"/>
    <w:rsid w:val="001B72B0"/>
    <w:rsid w:val="00240CCB"/>
    <w:rsid w:val="002B01EE"/>
    <w:rsid w:val="003944AC"/>
    <w:rsid w:val="00464D39"/>
    <w:rsid w:val="00473FDD"/>
    <w:rsid w:val="00481A57"/>
    <w:rsid w:val="004B5055"/>
    <w:rsid w:val="004E00FC"/>
    <w:rsid w:val="005D1000"/>
    <w:rsid w:val="00622908"/>
    <w:rsid w:val="006A3069"/>
    <w:rsid w:val="006A7AD5"/>
    <w:rsid w:val="007B3545"/>
    <w:rsid w:val="00832270"/>
    <w:rsid w:val="008B74A3"/>
    <w:rsid w:val="008D13CA"/>
    <w:rsid w:val="008F64B5"/>
    <w:rsid w:val="00921402"/>
    <w:rsid w:val="009B3B1B"/>
    <w:rsid w:val="00A63A1D"/>
    <w:rsid w:val="00AA4D94"/>
    <w:rsid w:val="00B628DD"/>
    <w:rsid w:val="00C11C86"/>
    <w:rsid w:val="00C56095"/>
    <w:rsid w:val="00CC67F7"/>
    <w:rsid w:val="00CE0828"/>
    <w:rsid w:val="00CE3E1A"/>
    <w:rsid w:val="00CF537F"/>
    <w:rsid w:val="00D114B2"/>
    <w:rsid w:val="00D730CC"/>
    <w:rsid w:val="00D86368"/>
    <w:rsid w:val="00DE4ADF"/>
    <w:rsid w:val="00EB0CAC"/>
    <w:rsid w:val="00EC75FF"/>
    <w:rsid w:val="00F6778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8DB11"/>
  <w15:chartTrackingRefBased/>
  <w15:docId w15:val="{5F5A973B-DB86-49ED-8104-D5FDC196D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1A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1A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1A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1A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1A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1A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A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A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A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A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1A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1A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1A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1A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1A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A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A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A57"/>
    <w:rPr>
      <w:rFonts w:eastAsiaTheme="majorEastAsia" w:cstheme="majorBidi"/>
      <w:color w:val="272727" w:themeColor="text1" w:themeTint="D8"/>
    </w:rPr>
  </w:style>
  <w:style w:type="paragraph" w:styleId="Title">
    <w:name w:val="Title"/>
    <w:basedOn w:val="Normal"/>
    <w:next w:val="Normal"/>
    <w:link w:val="TitleChar"/>
    <w:uiPriority w:val="10"/>
    <w:qFormat/>
    <w:rsid w:val="00481A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1A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A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1A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A57"/>
    <w:pPr>
      <w:spacing w:before="160"/>
      <w:jc w:val="center"/>
    </w:pPr>
    <w:rPr>
      <w:i/>
      <w:iCs/>
      <w:color w:val="404040" w:themeColor="text1" w:themeTint="BF"/>
    </w:rPr>
  </w:style>
  <w:style w:type="character" w:customStyle="1" w:styleId="QuoteChar">
    <w:name w:val="Quote Char"/>
    <w:basedOn w:val="DefaultParagraphFont"/>
    <w:link w:val="Quote"/>
    <w:uiPriority w:val="29"/>
    <w:rsid w:val="00481A57"/>
    <w:rPr>
      <w:i/>
      <w:iCs/>
      <w:color w:val="404040" w:themeColor="text1" w:themeTint="BF"/>
    </w:rPr>
  </w:style>
  <w:style w:type="paragraph" w:styleId="ListParagraph">
    <w:name w:val="List Paragraph"/>
    <w:basedOn w:val="Normal"/>
    <w:uiPriority w:val="34"/>
    <w:qFormat/>
    <w:rsid w:val="00481A57"/>
    <w:pPr>
      <w:ind w:left="720"/>
      <w:contextualSpacing/>
    </w:pPr>
  </w:style>
  <w:style w:type="character" w:styleId="IntenseEmphasis">
    <w:name w:val="Intense Emphasis"/>
    <w:basedOn w:val="DefaultParagraphFont"/>
    <w:uiPriority w:val="21"/>
    <w:qFormat/>
    <w:rsid w:val="00481A57"/>
    <w:rPr>
      <w:i/>
      <w:iCs/>
      <w:color w:val="0F4761" w:themeColor="accent1" w:themeShade="BF"/>
    </w:rPr>
  </w:style>
  <w:style w:type="paragraph" w:styleId="IntenseQuote">
    <w:name w:val="Intense Quote"/>
    <w:basedOn w:val="Normal"/>
    <w:next w:val="Normal"/>
    <w:link w:val="IntenseQuoteChar"/>
    <w:uiPriority w:val="30"/>
    <w:qFormat/>
    <w:rsid w:val="00481A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1A57"/>
    <w:rPr>
      <w:i/>
      <w:iCs/>
      <w:color w:val="0F4761" w:themeColor="accent1" w:themeShade="BF"/>
    </w:rPr>
  </w:style>
  <w:style w:type="character" w:styleId="IntenseReference">
    <w:name w:val="Intense Reference"/>
    <w:basedOn w:val="DefaultParagraphFont"/>
    <w:uiPriority w:val="32"/>
    <w:qFormat/>
    <w:rsid w:val="00481A57"/>
    <w:rPr>
      <w:b/>
      <w:bCs/>
      <w:smallCaps/>
      <w:color w:val="0F4761" w:themeColor="accent1" w:themeShade="BF"/>
      <w:spacing w:val="5"/>
    </w:rPr>
  </w:style>
  <w:style w:type="paragraph" w:styleId="Header">
    <w:name w:val="header"/>
    <w:basedOn w:val="Normal"/>
    <w:link w:val="HeaderChar"/>
    <w:uiPriority w:val="99"/>
    <w:unhideWhenUsed/>
    <w:rsid w:val="00481A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1A57"/>
  </w:style>
  <w:style w:type="paragraph" w:styleId="Footer">
    <w:name w:val="footer"/>
    <w:basedOn w:val="Normal"/>
    <w:link w:val="FooterChar"/>
    <w:uiPriority w:val="99"/>
    <w:unhideWhenUsed/>
    <w:rsid w:val="00481A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1A57"/>
  </w:style>
  <w:style w:type="character" w:styleId="Hyperlink">
    <w:name w:val="Hyperlink"/>
    <w:basedOn w:val="DefaultParagraphFont"/>
    <w:uiPriority w:val="99"/>
    <w:unhideWhenUsed/>
    <w:rsid w:val="00D114B2"/>
    <w:rPr>
      <w:color w:val="467886" w:themeColor="hyperlink"/>
      <w:u w:val="single"/>
    </w:rPr>
  </w:style>
  <w:style w:type="character" w:styleId="UnresolvedMention">
    <w:name w:val="Unresolved Mention"/>
    <w:basedOn w:val="DefaultParagraphFont"/>
    <w:uiPriority w:val="99"/>
    <w:semiHidden/>
    <w:unhideWhenUsed/>
    <w:rsid w:val="00D114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92979">
      <w:bodyDiv w:val="1"/>
      <w:marLeft w:val="0"/>
      <w:marRight w:val="0"/>
      <w:marTop w:val="0"/>
      <w:marBottom w:val="0"/>
      <w:divBdr>
        <w:top w:val="none" w:sz="0" w:space="0" w:color="auto"/>
        <w:left w:val="none" w:sz="0" w:space="0" w:color="auto"/>
        <w:bottom w:val="none" w:sz="0" w:space="0" w:color="auto"/>
        <w:right w:val="none" w:sz="0" w:space="0" w:color="auto"/>
      </w:divBdr>
    </w:div>
    <w:div w:id="103231700">
      <w:bodyDiv w:val="1"/>
      <w:marLeft w:val="0"/>
      <w:marRight w:val="0"/>
      <w:marTop w:val="0"/>
      <w:marBottom w:val="0"/>
      <w:divBdr>
        <w:top w:val="none" w:sz="0" w:space="0" w:color="auto"/>
        <w:left w:val="none" w:sz="0" w:space="0" w:color="auto"/>
        <w:bottom w:val="none" w:sz="0" w:space="0" w:color="auto"/>
        <w:right w:val="none" w:sz="0" w:space="0" w:color="auto"/>
      </w:divBdr>
    </w:div>
    <w:div w:id="257832648">
      <w:bodyDiv w:val="1"/>
      <w:marLeft w:val="0"/>
      <w:marRight w:val="0"/>
      <w:marTop w:val="0"/>
      <w:marBottom w:val="0"/>
      <w:divBdr>
        <w:top w:val="none" w:sz="0" w:space="0" w:color="auto"/>
        <w:left w:val="none" w:sz="0" w:space="0" w:color="auto"/>
        <w:bottom w:val="none" w:sz="0" w:space="0" w:color="auto"/>
        <w:right w:val="none" w:sz="0" w:space="0" w:color="auto"/>
      </w:divBdr>
    </w:div>
    <w:div w:id="784929024">
      <w:bodyDiv w:val="1"/>
      <w:marLeft w:val="0"/>
      <w:marRight w:val="0"/>
      <w:marTop w:val="0"/>
      <w:marBottom w:val="0"/>
      <w:divBdr>
        <w:top w:val="none" w:sz="0" w:space="0" w:color="auto"/>
        <w:left w:val="none" w:sz="0" w:space="0" w:color="auto"/>
        <w:bottom w:val="none" w:sz="0" w:space="0" w:color="auto"/>
        <w:right w:val="none" w:sz="0" w:space="0" w:color="auto"/>
      </w:divBdr>
    </w:div>
    <w:div w:id="1277369900">
      <w:bodyDiv w:val="1"/>
      <w:marLeft w:val="0"/>
      <w:marRight w:val="0"/>
      <w:marTop w:val="0"/>
      <w:marBottom w:val="0"/>
      <w:divBdr>
        <w:top w:val="none" w:sz="0" w:space="0" w:color="auto"/>
        <w:left w:val="none" w:sz="0" w:space="0" w:color="auto"/>
        <w:bottom w:val="none" w:sz="0" w:space="0" w:color="auto"/>
        <w:right w:val="none" w:sz="0" w:space="0" w:color="auto"/>
      </w:divBdr>
    </w:div>
    <w:div w:id="1667512918">
      <w:bodyDiv w:val="1"/>
      <w:marLeft w:val="0"/>
      <w:marRight w:val="0"/>
      <w:marTop w:val="0"/>
      <w:marBottom w:val="0"/>
      <w:divBdr>
        <w:top w:val="none" w:sz="0" w:space="0" w:color="auto"/>
        <w:left w:val="none" w:sz="0" w:space="0" w:color="auto"/>
        <w:bottom w:val="none" w:sz="0" w:space="0" w:color="auto"/>
        <w:right w:val="none" w:sz="0" w:space="0" w:color="auto"/>
      </w:divBdr>
    </w:div>
    <w:div w:id="1838382676">
      <w:bodyDiv w:val="1"/>
      <w:marLeft w:val="0"/>
      <w:marRight w:val="0"/>
      <w:marTop w:val="0"/>
      <w:marBottom w:val="0"/>
      <w:divBdr>
        <w:top w:val="none" w:sz="0" w:space="0" w:color="auto"/>
        <w:left w:val="none" w:sz="0" w:space="0" w:color="auto"/>
        <w:bottom w:val="none" w:sz="0" w:space="0" w:color="auto"/>
        <w:right w:val="none" w:sz="0" w:space="0" w:color="auto"/>
      </w:divBdr>
    </w:div>
    <w:div w:id="1957129642">
      <w:bodyDiv w:val="1"/>
      <w:marLeft w:val="0"/>
      <w:marRight w:val="0"/>
      <w:marTop w:val="0"/>
      <w:marBottom w:val="0"/>
      <w:divBdr>
        <w:top w:val="none" w:sz="0" w:space="0" w:color="auto"/>
        <w:left w:val="none" w:sz="0" w:space="0" w:color="auto"/>
        <w:bottom w:val="none" w:sz="0" w:space="0" w:color="auto"/>
        <w:right w:val="none" w:sz="0" w:space="0" w:color="auto"/>
      </w:divBdr>
    </w:div>
    <w:div w:id="212850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324/9781003562429" TargetMode="External"/><Relationship Id="rId13" Type="http://schemas.openxmlformats.org/officeDocument/2006/relationships/hyperlink" Target="https://doi.org/10.1080/02188791.2017.1298515" TargetMode="External"/><Relationship Id="rId18" Type="http://schemas.openxmlformats.org/officeDocument/2006/relationships/hyperlink" Target="https://doi.org/10.3389/fsoc.2024.1385664" TargetMode="External"/><Relationship Id="rId3" Type="http://schemas.openxmlformats.org/officeDocument/2006/relationships/webSettings" Target="webSettings.xml"/><Relationship Id="rId21" Type="http://schemas.openxmlformats.org/officeDocument/2006/relationships/hyperlink" Target="https://www.wgtn.ac.nz/news/2026/03/international-student-numbers-surge-at-vic-uni" TargetMode="External"/><Relationship Id="rId7" Type="http://schemas.openxmlformats.org/officeDocument/2006/relationships/hyperlink" Target="https://doi.org/10.1007/s12134-024-01116-1" TargetMode="External"/><Relationship Id="rId12" Type="http://schemas.openxmlformats.org/officeDocument/2006/relationships/hyperlink" Target="https://www.isana.nz/toolkit/student-experience-information/understand-new-zealands-cultural-values" TargetMode="External"/><Relationship Id="rId17" Type="http://schemas.openxmlformats.org/officeDocument/2006/relationships/hyperlink" Target="https://doi.org/10.1108/heswbl-11-2023-0320" TargetMode="External"/><Relationship Id="rId2" Type="http://schemas.openxmlformats.org/officeDocument/2006/relationships/settings" Target="settings.xml"/><Relationship Id="rId16" Type="http://schemas.openxmlformats.org/officeDocument/2006/relationships/hyperlink" Target="https://doi.org/10.1080/0309877x.2024.2344771" TargetMode="External"/><Relationship Id="rId20" Type="http://schemas.openxmlformats.org/officeDocument/2006/relationships/hyperlink" Target="https://www.universitiesnz.ac.nz/latest-news-and-publications/briefing-incoming-minister-universities" TargetMode="External"/><Relationship Id="rId1" Type="http://schemas.openxmlformats.org/officeDocument/2006/relationships/styles" Target="styles.xml"/><Relationship Id="rId6" Type="http://schemas.openxmlformats.org/officeDocument/2006/relationships/hyperlink" Target="https://10.32674/jcihe.v13i5.4061" TargetMode="External"/><Relationship Id="rId11" Type="http://schemas.openxmlformats.org/officeDocument/2006/relationships/hyperlink" Target="https://www.isana.nz/toolkit/student-experience-information/encouraging-international-student-engagement-with-the-community"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doi.org/10.53379/cjcd.2025.410" TargetMode="External"/><Relationship Id="rId23" Type="http://schemas.openxmlformats.org/officeDocument/2006/relationships/fontTable" Target="fontTable.xml"/><Relationship Id="rId10" Type="http://schemas.openxmlformats.org/officeDocument/2006/relationships/hyperlink" Target="https://doi.org/10.1016/j.ijintrel.2021.11.003" TargetMode="External"/><Relationship Id="rId19" Type="http://schemas.openxmlformats.org/officeDocument/2006/relationships/hyperlink" Target="https://www.universitiesnz.ac.nz/sector-research/advancing-international-education" TargetMode="External"/><Relationship Id="rId4" Type="http://schemas.openxmlformats.org/officeDocument/2006/relationships/footnotes" Target="footnotes.xml"/><Relationship Id="rId9" Type="http://schemas.openxmlformats.org/officeDocument/2006/relationships/hyperlink" Target="https://www.enz.govt.nz/assets/International-Education-Going-for-Growth-Plan-2025.pdf" TargetMode="External"/><Relationship Id="rId14" Type="http://schemas.openxmlformats.org/officeDocument/2006/relationships/hyperlink" Target="https://doi.org/10.5206/cie-eci.v53i2.17001" TargetMode="External"/><Relationship Id="rId22" Type="http://schemas.openxmlformats.org/officeDocument/2006/relationships/hyperlink" Target="https://doi.org/10.1002/job.25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1501</Words>
  <Characters>8559</Characters>
  <Application>Microsoft Office Word</Application>
  <DocSecurity>0</DocSecurity>
  <Lines>71</Lines>
  <Paragraphs>20</Paragraphs>
  <ScaleCrop>false</ScaleCrop>
  <Company/>
  <LinksUpToDate>false</LinksUpToDate>
  <CharactersWithSpaces>10040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Sherrie Lee</dc:creator>
  <cp:keywords/>
  <dc:description/>
  <cp:lastModifiedBy>Sherrie Lee</cp:lastModifiedBy>
  <cp:revision>35</cp:revision>
  <dcterms:created xsi:type="dcterms:W3CDTF">2026-04-13T02:17:00Z</dcterms:created>
  <dcterms:modified xsi:type="dcterms:W3CDTF">2026-04-13T03:08:00Z</dcterms:modified>
</cp:coreProperties>
</file>