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22248" w14:textId="2045F343" w:rsidR="00D25184" w:rsidRPr="00D25184" w:rsidRDefault="00D25184" w:rsidP="00D25184">
      <w:pPr>
        <w:spacing w:before="100" w:beforeAutospacing="1" w:after="100" w:afterAutospacing="1" w:line="360" w:lineRule="auto"/>
        <w:jc w:val="both"/>
        <w:rPr>
          <w:rFonts w:ascii="Calibri" w:hAnsi="Calibri" w:cs="Calibri"/>
          <w:color w:val="000000"/>
          <w:sz w:val="22"/>
          <w:szCs w:val="22"/>
          <w:lang w:val="en-LU" w:eastAsia="en-GB"/>
        </w:rPr>
      </w:pPr>
      <w:r w:rsidRPr="00D25184">
        <w:rPr>
          <w:rFonts w:ascii="Calibri" w:hAnsi="Calibri" w:cs="Calibri"/>
          <w:color w:val="000000"/>
          <w:sz w:val="22"/>
          <w:szCs w:val="22"/>
          <w:lang w:val="en-LU" w:eastAsia="en-GB"/>
        </w:rPr>
        <w:t>The theme of our conference Navigating The Future, addresses two distinct yet correlated facets of human existence: on one hand finding one’s way in life, choosing one’s direction and on the other simultaneously trying to make sense of what may lie ahead. While the authors are not futurologists and most certainly not fortune tellers either, they are well aware of the angsts many people experience due to the uncertainties of a world in turmoil. And therefore the authors do in no way belittle the genuine concerns of individuals who struggle to come to terms with an unpredictable outlook on life, on the future of work and employment, the latter caused by the inescapable impact of AI.</w:t>
      </w:r>
    </w:p>
    <w:p w14:paraId="64DA2BB3" w14:textId="43E79B6D" w:rsidR="00D25184" w:rsidRPr="00D25184" w:rsidRDefault="00D25184" w:rsidP="00D25184">
      <w:pPr>
        <w:spacing w:before="100" w:beforeAutospacing="1" w:after="100" w:afterAutospacing="1" w:line="360" w:lineRule="auto"/>
        <w:jc w:val="both"/>
        <w:rPr>
          <w:rFonts w:ascii="Calibri" w:hAnsi="Calibri" w:cs="Calibri"/>
          <w:color w:val="000000" w:themeColor="text1"/>
          <w:sz w:val="22"/>
          <w:szCs w:val="22"/>
          <w:lang w:val="en-LU" w:eastAsia="en-GB"/>
        </w:rPr>
      </w:pPr>
      <w:r w:rsidRPr="00D25184">
        <w:rPr>
          <w:rFonts w:ascii="Calibri" w:hAnsi="Calibri" w:cs="Calibri"/>
          <w:color w:val="000000"/>
          <w:sz w:val="22"/>
          <w:szCs w:val="22"/>
          <w:lang w:val="en-LU" w:eastAsia="en-GB"/>
        </w:rPr>
        <w:t xml:space="preserve">In the context of guidance and career counselling, navigation may be looked upon as the science </w:t>
      </w:r>
      <w:r w:rsidRPr="00D25184">
        <w:rPr>
          <w:rFonts w:ascii="Calibri" w:hAnsi="Calibri" w:cs="Calibri"/>
          <w:color w:val="0A0A0A"/>
          <w:sz w:val="22"/>
          <w:szCs w:val="22"/>
          <w:lang w:val="en-LU" w:eastAsia="en-GB"/>
        </w:rPr>
        <w:t>and/or art of helping a person to determine their position, their current status, and assisting them in looking and ideally finding a suitable and acceptable destination.</w:t>
      </w:r>
      <w:r w:rsidRPr="00D25184">
        <w:rPr>
          <w:rFonts w:ascii="Calibri" w:hAnsi="Calibri" w:cs="Calibri"/>
          <w:color w:val="000000"/>
          <w:sz w:val="22"/>
          <w:szCs w:val="22"/>
          <w:lang w:val="en-LU" w:eastAsia="en-GB"/>
        </w:rPr>
        <w:t xml:space="preserve"> Guidance and career counselling should therefore help counselees to structure their thinking and decision-making processes in such a way that they are able to make a self-determined and well-founded decision. Such an approach puts the focus on ‘future skills’ i.e. on problem-solving competences, on critical thinking, on decision-making ability, on self-reflection and on the constructive handling of uncertainty as core competences in education and work. Hence a particular emphasis should be placed on fostering sceptical, reflective and independent thinking, allowing individuals to acquire the ability to evaluate differing information, to recognise conflicting objectives and to critically examine options for action, in order to make informed decisions based on facts, on rational reflections, on emotions as well as on ethical </w:t>
      </w:r>
      <w:r w:rsidRPr="00D25184">
        <w:rPr>
          <w:rFonts w:ascii="Calibri" w:hAnsi="Calibri" w:cs="Calibri"/>
          <w:color w:val="000000" w:themeColor="text1"/>
          <w:sz w:val="22"/>
          <w:szCs w:val="22"/>
          <w:lang w:val="en-LU" w:eastAsia="en-GB"/>
        </w:rPr>
        <w:t xml:space="preserve">considerations. </w:t>
      </w:r>
      <w:r w:rsidR="00707CA4">
        <w:rPr>
          <w:rFonts w:ascii="Calibri" w:hAnsi="Calibri" w:cs="Calibri"/>
          <w:color w:val="000000" w:themeColor="text1"/>
          <w:sz w:val="22"/>
          <w:szCs w:val="22"/>
          <w:lang w:val="en-LU" w:eastAsia="en-GB"/>
        </w:rPr>
        <w:t>Furthermore</w:t>
      </w:r>
      <w:r w:rsidRPr="00D25184">
        <w:rPr>
          <w:rFonts w:ascii="Calibri" w:hAnsi="Calibri" w:cs="Calibri"/>
          <w:color w:val="000000" w:themeColor="text1"/>
          <w:sz w:val="22"/>
          <w:szCs w:val="22"/>
          <w:lang w:val="en-LU" w:eastAsia="en-GB"/>
        </w:rPr>
        <w:t>, and beyond such more ‘classic’ competences, ‘future skills’ imply that individuals will also have the necessary ‘digital skills’ that will allow them to competently navigate the web, to direct their life with confidence towards the “known knowns”, with unbiased curiosity towards the “known unknowns” and with an alert but open mind towards the “unknown unknowns”.</w:t>
      </w:r>
    </w:p>
    <w:p w14:paraId="358E6E44" w14:textId="54307645" w:rsidR="00D25184" w:rsidRPr="00A01522" w:rsidRDefault="00D25184" w:rsidP="00D25184">
      <w:pPr>
        <w:spacing w:before="100" w:beforeAutospacing="1" w:after="100" w:afterAutospacing="1" w:line="360" w:lineRule="auto"/>
        <w:jc w:val="both"/>
        <w:rPr>
          <w:rFonts w:ascii="Calibri" w:hAnsi="Calibri" w:cs="Calibri"/>
          <w:color w:val="000000" w:themeColor="text1"/>
          <w:sz w:val="22"/>
          <w:szCs w:val="22"/>
          <w:lang w:val="en-LU" w:eastAsia="en-GB"/>
        </w:rPr>
      </w:pPr>
      <w:r w:rsidRPr="00A01522">
        <w:rPr>
          <w:rFonts w:ascii="Calibri" w:hAnsi="Calibri" w:cs="Calibri"/>
          <w:color w:val="000000" w:themeColor="text1"/>
          <w:sz w:val="22"/>
          <w:szCs w:val="22"/>
          <w:lang w:val="en-LU" w:eastAsia="en-GB"/>
        </w:rPr>
        <w:t>Selected references:</w:t>
      </w:r>
    </w:p>
    <w:p w14:paraId="1DFF9810" w14:textId="77777777" w:rsidR="00A24722" w:rsidRDefault="00A24722" w:rsidP="00A24722">
      <w:pPr>
        <w:pStyle w:val="p1"/>
        <w:rPr>
          <w:rFonts w:ascii="Calibri" w:hAnsi="Calibri" w:cs="Calibri"/>
          <w:sz w:val="22"/>
          <w:szCs w:val="22"/>
        </w:rPr>
      </w:pPr>
      <w:r>
        <w:rPr>
          <w:rFonts w:ascii="Calibri" w:hAnsi="Calibri" w:cs="Calibri"/>
          <w:sz w:val="22"/>
          <w:szCs w:val="22"/>
        </w:rPr>
        <w:t xml:space="preserve">Betsch, T., Funke, J., &amp; Plessner, H. (2011). </w:t>
      </w:r>
      <w:r w:rsidRPr="00A24722">
        <w:rPr>
          <w:rFonts w:ascii="Calibri" w:hAnsi="Calibri" w:cs="Calibri"/>
          <w:i/>
          <w:iCs/>
          <w:sz w:val="22"/>
          <w:szCs w:val="22"/>
        </w:rPr>
        <w:t>Denken- Urteilen, Entscheiden, Problemlösen</w:t>
      </w:r>
      <w:r>
        <w:rPr>
          <w:rFonts w:ascii="Calibri" w:hAnsi="Calibri" w:cs="Calibri"/>
          <w:sz w:val="22"/>
          <w:szCs w:val="22"/>
        </w:rPr>
        <w:t>. Springer</w:t>
      </w:r>
    </w:p>
    <w:p w14:paraId="55B79AFC" w14:textId="77777777" w:rsidR="00A24722" w:rsidRDefault="00A24722" w:rsidP="00627371">
      <w:pPr>
        <w:pStyle w:val="p1"/>
        <w:rPr>
          <w:rFonts w:ascii="Calibri" w:hAnsi="Calibri" w:cs="Calibri"/>
          <w:sz w:val="22"/>
          <w:szCs w:val="22"/>
        </w:rPr>
      </w:pPr>
    </w:p>
    <w:p w14:paraId="736C4B52" w14:textId="71794E23" w:rsidR="0015096A" w:rsidRDefault="0037156D" w:rsidP="00627371">
      <w:pPr>
        <w:pStyle w:val="p1"/>
        <w:rPr>
          <w:rFonts w:ascii="Calibri" w:hAnsi="Calibri" w:cs="Calibri"/>
          <w:sz w:val="22"/>
          <w:szCs w:val="22"/>
        </w:rPr>
      </w:pPr>
      <w:r>
        <w:rPr>
          <w:rFonts w:ascii="Calibri" w:hAnsi="Calibri" w:cs="Calibri"/>
          <w:sz w:val="22"/>
          <w:szCs w:val="22"/>
        </w:rPr>
        <w:t xml:space="preserve">Ehlers, U.-F. (2020). </w:t>
      </w:r>
      <w:r w:rsidRPr="0037156D">
        <w:rPr>
          <w:rFonts w:ascii="Calibri" w:hAnsi="Calibri" w:cs="Calibri"/>
          <w:i/>
          <w:iCs/>
          <w:sz w:val="22"/>
          <w:szCs w:val="22"/>
        </w:rPr>
        <w:t>Future Skills. Lernnen der Zukunft – Hochschule der Zukunft.</w:t>
      </w:r>
      <w:r>
        <w:rPr>
          <w:rFonts w:ascii="Calibri" w:hAnsi="Calibri" w:cs="Calibri"/>
          <w:i/>
          <w:iCs/>
          <w:sz w:val="22"/>
          <w:szCs w:val="22"/>
        </w:rPr>
        <w:t xml:space="preserve"> </w:t>
      </w:r>
      <w:r>
        <w:rPr>
          <w:rFonts w:ascii="Calibri" w:hAnsi="Calibri" w:cs="Calibri"/>
          <w:sz w:val="22"/>
          <w:szCs w:val="22"/>
        </w:rPr>
        <w:t>Springer VS.</w:t>
      </w:r>
      <w:r w:rsidR="00627371">
        <w:rPr>
          <w:rFonts w:ascii="Calibri" w:hAnsi="Calibri" w:cs="Calibri"/>
          <w:sz w:val="22"/>
          <w:szCs w:val="22"/>
        </w:rPr>
        <w:t xml:space="preserve"> </w:t>
      </w:r>
      <w:r w:rsidR="00627371" w:rsidRPr="00627371">
        <w:rPr>
          <w:rFonts w:ascii="Calibri" w:hAnsi="Calibri" w:cs="Calibri"/>
          <w:color w:val="00B0F0"/>
          <w:sz w:val="22"/>
          <w:szCs w:val="22"/>
        </w:rPr>
        <w:t>https://link.springer.com/book/10.1007/978-3-658-29297-3</w:t>
      </w:r>
    </w:p>
    <w:p w14:paraId="0C17252E" w14:textId="77777777" w:rsidR="00627371" w:rsidRDefault="00627371" w:rsidP="00627371">
      <w:pPr>
        <w:pStyle w:val="p1"/>
        <w:rPr>
          <w:rFonts w:ascii="Calibri" w:hAnsi="Calibri" w:cs="Calibri"/>
          <w:sz w:val="22"/>
          <w:szCs w:val="22"/>
        </w:rPr>
      </w:pPr>
    </w:p>
    <w:p w14:paraId="4350F1D2" w14:textId="1EECD219" w:rsidR="00C849B8" w:rsidRDefault="00C849B8" w:rsidP="00A24722">
      <w:pPr>
        <w:pStyle w:val="p1"/>
        <w:rPr>
          <w:rFonts w:ascii="Calibri" w:hAnsi="Calibri" w:cs="Calibri"/>
          <w:sz w:val="22"/>
          <w:szCs w:val="22"/>
        </w:rPr>
      </w:pPr>
      <w:r>
        <w:rPr>
          <w:rFonts w:ascii="Calibri" w:hAnsi="Calibri" w:cs="Calibri"/>
          <w:sz w:val="22"/>
          <w:szCs w:val="22"/>
        </w:rPr>
        <w:t xml:space="preserve">Frey, A. &amp; Ruppert, J.-J. (2017). Diagnosis of Transferrable Competences of Young People in the Dual Vocational Educat ion – A German perspective. Psychology, 8, (pp.1546-1569). </w:t>
      </w:r>
      <w:r w:rsidR="00141461" w:rsidRPr="00141461">
        <w:rPr>
          <w:rFonts w:ascii="Calibri" w:hAnsi="Calibri" w:cs="Calibri"/>
          <w:color w:val="00B0F0"/>
          <w:sz w:val="22"/>
          <w:szCs w:val="22"/>
        </w:rPr>
        <w:t>https://www.scirp.org/journal/paperinformation?paperid=78578</w:t>
      </w:r>
    </w:p>
    <w:p w14:paraId="79F4451B" w14:textId="77777777" w:rsidR="00C849B8" w:rsidRDefault="00C849B8" w:rsidP="00A24722">
      <w:pPr>
        <w:pStyle w:val="p1"/>
        <w:rPr>
          <w:rFonts w:ascii="Calibri" w:hAnsi="Calibri" w:cs="Calibri"/>
          <w:sz w:val="22"/>
          <w:szCs w:val="22"/>
        </w:rPr>
      </w:pPr>
    </w:p>
    <w:p w14:paraId="6169A074" w14:textId="1359E008" w:rsidR="00A24722" w:rsidRDefault="00A24722" w:rsidP="00A24722">
      <w:pPr>
        <w:pStyle w:val="p1"/>
        <w:rPr>
          <w:rFonts w:ascii="Calibri" w:hAnsi="Calibri" w:cs="Calibri"/>
          <w:sz w:val="22"/>
          <w:szCs w:val="22"/>
        </w:rPr>
      </w:pPr>
      <w:r>
        <w:rPr>
          <w:rFonts w:ascii="Calibri" w:hAnsi="Calibri" w:cs="Calibri"/>
          <w:sz w:val="22"/>
          <w:szCs w:val="22"/>
        </w:rPr>
        <w:t>Halpern, D.F. &amp; Dunn, D.S. (2023). Thought and Knowledge: An Introduction to Critical Thinking. 6th Edition. Routledge</w:t>
      </w:r>
    </w:p>
    <w:p w14:paraId="1B24BDBA" w14:textId="77777777" w:rsidR="00BA6811" w:rsidRDefault="00BA6811" w:rsidP="00A24722">
      <w:pPr>
        <w:pStyle w:val="p1"/>
        <w:rPr>
          <w:rFonts w:ascii="Calibri" w:hAnsi="Calibri" w:cs="Calibri"/>
          <w:sz w:val="22"/>
          <w:szCs w:val="22"/>
        </w:rPr>
      </w:pPr>
    </w:p>
    <w:p w14:paraId="2C3D69D8" w14:textId="77777777" w:rsidR="00A24722" w:rsidRDefault="00A24722" w:rsidP="00A24722">
      <w:pPr>
        <w:pStyle w:val="p1"/>
        <w:rPr>
          <w:rFonts w:ascii="Calibri" w:hAnsi="Calibri" w:cs="Calibri"/>
          <w:sz w:val="22"/>
          <w:szCs w:val="22"/>
        </w:rPr>
      </w:pPr>
      <w:r>
        <w:rPr>
          <w:rFonts w:ascii="Calibri" w:hAnsi="Calibri" w:cs="Calibri"/>
          <w:sz w:val="22"/>
          <w:szCs w:val="22"/>
        </w:rPr>
        <w:t xml:space="preserve">Halpern, D.F. &amp; Riggio, H.R. (2016). </w:t>
      </w:r>
      <w:r w:rsidRPr="00A24722">
        <w:rPr>
          <w:rFonts w:ascii="Calibri" w:hAnsi="Calibri" w:cs="Calibri"/>
          <w:i/>
          <w:iCs/>
          <w:sz w:val="22"/>
          <w:szCs w:val="22"/>
        </w:rPr>
        <w:t>Thinking Critically About Critical Thinking. A Workbook to Accompany Thought and Knowledge: An Introduction to Critical Thinking</w:t>
      </w:r>
      <w:r>
        <w:rPr>
          <w:rFonts w:ascii="Calibri" w:hAnsi="Calibri" w:cs="Calibri"/>
          <w:sz w:val="22"/>
          <w:szCs w:val="22"/>
        </w:rPr>
        <w:t>. 4th Edition. Routledge</w:t>
      </w:r>
    </w:p>
    <w:p w14:paraId="17F2D056" w14:textId="77777777" w:rsidR="00A24722" w:rsidRDefault="00A24722" w:rsidP="00A24722">
      <w:pPr>
        <w:pStyle w:val="p1"/>
        <w:rPr>
          <w:rFonts w:ascii="Calibri" w:hAnsi="Calibri" w:cs="Calibri"/>
          <w:sz w:val="22"/>
          <w:szCs w:val="22"/>
        </w:rPr>
      </w:pPr>
    </w:p>
    <w:p w14:paraId="3D8A06E1" w14:textId="7336CA11" w:rsidR="00A24722" w:rsidRDefault="00A24722" w:rsidP="00A24722">
      <w:pPr>
        <w:pStyle w:val="p1"/>
        <w:rPr>
          <w:rFonts w:ascii="Calibri" w:hAnsi="Calibri" w:cs="Calibri"/>
          <w:sz w:val="22"/>
          <w:szCs w:val="22"/>
        </w:rPr>
      </w:pPr>
      <w:r>
        <w:rPr>
          <w:rFonts w:ascii="Calibri" w:hAnsi="Calibri" w:cs="Calibri"/>
          <w:sz w:val="22"/>
          <w:szCs w:val="22"/>
        </w:rPr>
        <w:t xml:space="preserve">Kahneman, D. (2011). </w:t>
      </w:r>
      <w:r w:rsidRPr="00FC76D5">
        <w:rPr>
          <w:rFonts w:ascii="Calibri" w:hAnsi="Calibri" w:cs="Calibri"/>
          <w:i/>
          <w:iCs/>
          <w:sz w:val="22"/>
          <w:szCs w:val="22"/>
        </w:rPr>
        <w:t>Thinking, fast and slow.</w:t>
      </w:r>
      <w:r>
        <w:rPr>
          <w:rFonts w:ascii="Calibri" w:hAnsi="Calibri" w:cs="Calibri"/>
          <w:sz w:val="22"/>
          <w:szCs w:val="22"/>
        </w:rPr>
        <w:t xml:space="preserve"> Allen Lane.</w:t>
      </w:r>
    </w:p>
    <w:p w14:paraId="171199B9" w14:textId="77777777" w:rsidR="00A24722" w:rsidRDefault="00A24722" w:rsidP="00627371">
      <w:pPr>
        <w:pStyle w:val="p1"/>
        <w:rPr>
          <w:rFonts w:ascii="Calibri" w:hAnsi="Calibri" w:cs="Calibri"/>
          <w:sz w:val="22"/>
          <w:szCs w:val="22"/>
        </w:rPr>
      </w:pPr>
    </w:p>
    <w:p w14:paraId="09F9AC0F" w14:textId="4B1245EE" w:rsidR="00540DBD" w:rsidRDefault="00627371" w:rsidP="00627371">
      <w:pPr>
        <w:pStyle w:val="p1"/>
        <w:rPr>
          <w:rFonts w:ascii="Calibri" w:hAnsi="Calibri" w:cs="Calibri"/>
          <w:sz w:val="22"/>
          <w:szCs w:val="22"/>
        </w:rPr>
      </w:pPr>
      <w:r>
        <w:rPr>
          <w:rFonts w:ascii="Calibri" w:hAnsi="Calibri" w:cs="Calibri"/>
          <w:sz w:val="22"/>
          <w:szCs w:val="22"/>
        </w:rPr>
        <w:t>Ulrich</w:t>
      </w:r>
      <w:r w:rsidR="009C620D">
        <w:rPr>
          <w:rFonts w:ascii="Calibri" w:hAnsi="Calibri" w:cs="Calibri"/>
          <w:sz w:val="22"/>
          <w:szCs w:val="22"/>
        </w:rPr>
        <w:t>, A</w:t>
      </w:r>
      <w:r>
        <w:rPr>
          <w:rFonts w:ascii="Calibri" w:hAnsi="Calibri" w:cs="Calibri"/>
          <w:sz w:val="22"/>
          <w:szCs w:val="22"/>
        </w:rPr>
        <w:t>.</w:t>
      </w:r>
      <w:r w:rsidR="009C620D">
        <w:rPr>
          <w:rFonts w:ascii="Calibri" w:hAnsi="Calibri" w:cs="Calibri"/>
          <w:sz w:val="22"/>
          <w:szCs w:val="22"/>
        </w:rPr>
        <w:t xml:space="preserve">, Wiench, N., Frey, A., &amp; Ruppert, J.-J. </w:t>
      </w:r>
      <w:r>
        <w:rPr>
          <w:rFonts w:ascii="Calibri" w:hAnsi="Calibri" w:cs="Calibri"/>
          <w:sz w:val="22"/>
          <w:szCs w:val="22"/>
        </w:rPr>
        <w:t>(2020).</w:t>
      </w:r>
      <w:r w:rsidR="009C620D">
        <w:rPr>
          <w:rFonts w:ascii="Calibri" w:hAnsi="Calibri" w:cs="Calibri"/>
          <w:sz w:val="22"/>
          <w:szCs w:val="22"/>
        </w:rPr>
        <w:t xml:space="preserve"> Gelingenskompetenzen in der dualen Ausbildung. In T. Freiling., R. Conrads., </w:t>
      </w:r>
      <w:r w:rsidR="00055A20">
        <w:rPr>
          <w:rFonts w:ascii="Calibri" w:hAnsi="Calibri" w:cs="Calibri"/>
          <w:sz w:val="22"/>
          <w:szCs w:val="22"/>
        </w:rPr>
        <w:t xml:space="preserve">A. Müller-Osten, &amp; </w:t>
      </w:r>
      <w:r>
        <w:rPr>
          <w:rFonts w:ascii="Calibri" w:hAnsi="Calibri" w:cs="Calibri"/>
          <w:sz w:val="22"/>
          <w:szCs w:val="22"/>
        </w:rPr>
        <w:t xml:space="preserve"> </w:t>
      </w:r>
      <w:r w:rsidR="00055A20">
        <w:rPr>
          <w:rFonts w:ascii="Calibri" w:hAnsi="Calibri" w:cs="Calibri"/>
          <w:sz w:val="22"/>
          <w:szCs w:val="22"/>
        </w:rPr>
        <w:t xml:space="preserve">J. Porath (Eds.), </w:t>
      </w:r>
      <w:r w:rsidR="00055A20">
        <w:rPr>
          <w:rFonts w:ascii="Calibri" w:hAnsi="Calibri" w:cs="Calibri"/>
          <w:i/>
          <w:iCs/>
          <w:sz w:val="22"/>
          <w:szCs w:val="22"/>
        </w:rPr>
        <w:t>Zukünftige Arbeitswelten (pp.179-203).</w:t>
      </w:r>
      <w:r w:rsidR="006160D4">
        <w:rPr>
          <w:rFonts w:ascii="Calibri" w:hAnsi="Calibri" w:cs="Calibri"/>
          <w:i/>
          <w:iCs/>
          <w:sz w:val="22"/>
          <w:szCs w:val="22"/>
        </w:rPr>
        <w:t xml:space="preserve"> </w:t>
      </w:r>
      <w:r w:rsidR="006160D4" w:rsidRPr="006160D4">
        <w:rPr>
          <w:rFonts w:ascii="Calibri" w:hAnsi="Calibri" w:cs="Calibri"/>
          <w:sz w:val="22"/>
          <w:szCs w:val="22"/>
        </w:rPr>
        <w:t>Springer</w:t>
      </w:r>
    </w:p>
    <w:p w14:paraId="469B15CD" w14:textId="77777777" w:rsidR="00540DBD" w:rsidRDefault="00540DBD" w:rsidP="00627371">
      <w:pPr>
        <w:pStyle w:val="p1"/>
        <w:rPr>
          <w:rFonts w:ascii="Calibri" w:hAnsi="Calibri" w:cs="Calibri"/>
          <w:sz w:val="22"/>
          <w:szCs w:val="22"/>
        </w:rPr>
      </w:pPr>
    </w:p>
    <w:p w14:paraId="6B8F46D5" w14:textId="77777777" w:rsidR="00BA6811" w:rsidRPr="00A01522" w:rsidRDefault="00BA6811" w:rsidP="00BA6811">
      <w:pPr>
        <w:pStyle w:val="p1"/>
        <w:rPr>
          <w:rFonts w:ascii="Calibri" w:hAnsi="Calibri" w:cs="Calibri"/>
          <w:sz w:val="22"/>
          <w:szCs w:val="22"/>
        </w:rPr>
      </w:pPr>
      <w:r w:rsidRPr="00A01522">
        <w:rPr>
          <w:rFonts w:ascii="Calibri" w:hAnsi="Calibri" w:cs="Calibri"/>
          <w:sz w:val="22"/>
          <w:szCs w:val="22"/>
        </w:rPr>
        <w:t>Keywords:</w:t>
      </w:r>
    </w:p>
    <w:p w14:paraId="48AE2DC4" w14:textId="77777777" w:rsidR="00FC76D5" w:rsidRDefault="00FC76D5" w:rsidP="00540DBD">
      <w:pPr>
        <w:pStyle w:val="p1"/>
        <w:rPr>
          <w:rFonts w:ascii="Calibri" w:hAnsi="Calibri" w:cs="Calibri"/>
          <w:sz w:val="22"/>
          <w:szCs w:val="22"/>
        </w:rPr>
      </w:pPr>
    </w:p>
    <w:p w14:paraId="61755496" w14:textId="295C5F3F" w:rsidR="00FC76D5" w:rsidRDefault="00BA6811" w:rsidP="00540DBD">
      <w:pPr>
        <w:pStyle w:val="p1"/>
        <w:rPr>
          <w:rFonts w:ascii="Calibri" w:hAnsi="Calibri" w:cs="Calibri"/>
          <w:sz w:val="22"/>
          <w:szCs w:val="22"/>
        </w:rPr>
      </w:pPr>
      <w:r>
        <w:rPr>
          <w:rFonts w:ascii="Calibri" w:hAnsi="Calibri" w:cs="Calibri"/>
          <w:sz w:val="22"/>
          <w:szCs w:val="22"/>
        </w:rPr>
        <w:t>future skills, classic competences, digital competences</w:t>
      </w:r>
    </w:p>
    <w:p w14:paraId="08CC6D89" w14:textId="77777777" w:rsidR="00540DBD" w:rsidRPr="006160D4" w:rsidRDefault="00540DBD" w:rsidP="00627371">
      <w:pPr>
        <w:pStyle w:val="p1"/>
        <w:rPr>
          <w:rFonts w:ascii="Calibri" w:hAnsi="Calibri" w:cs="Calibri"/>
          <w:sz w:val="22"/>
          <w:szCs w:val="22"/>
        </w:rPr>
      </w:pPr>
    </w:p>
    <w:sectPr w:rsidR="00540DBD" w:rsidRPr="006160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184"/>
    <w:rsid w:val="00055A20"/>
    <w:rsid w:val="00141461"/>
    <w:rsid w:val="0015096A"/>
    <w:rsid w:val="00227CFF"/>
    <w:rsid w:val="00254CC5"/>
    <w:rsid w:val="0037156D"/>
    <w:rsid w:val="003F054E"/>
    <w:rsid w:val="004F2643"/>
    <w:rsid w:val="00540DBD"/>
    <w:rsid w:val="00594EA7"/>
    <w:rsid w:val="005B33C9"/>
    <w:rsid w:val="0061398F"/>
    <w:rsid w:val="006160D4"/>
    <w:rsid w:val="00627371"/>
    <w:rsid w:val="00707CA4"/>
    <w:rsid w:val="0077053B"/>
    <w:rsid w:val="007D240C"/>
    <w:rsid w:val="00976279"/>
    <w:rsid w:val="009C620D"/>
    <w:rsid w:val="009C7264"/>
    <w:rsid w:val="009E6EA1"/>
    <w:rsid w:val="00A01522"/>
    <w:rsid w:val="00A24722"/>
    <w:rsid w:val="00AB6965"/>
    <w:rsid w:val="00BA1F1E"/>
    <w:rsid w:val="00BA6811"/>
    <w:rsid w:val="00C0577D"/>
    <w:rsid w:val="00C37163"/>
    <w:rsid w:val="00C849B8"/>
    <w:rsid w:val="00CD545A"/>
    <w:rsid w:val="00D25184"/>
    <w:rsid w:val="00D352A7"/>
    <w:rsid w:val="00D63500"/>
    <w:rsid w:val="00E06032"/>
    <w:rsid w:val="00EE7D9F"/>
    <w:rsid w:val="00EF37C4"/>
    <w:rsid w:val="00F33263"/>
    <w:rsid w:val="00F71F51"/>
    <w:rsid w:val="00FC76D5"/>
  </w:rsids>
  <m:mathPr>
    <m:mathFont m:val="Cambria Math"/>
    <m:brkBin m:val="before"/>
    <m:brkBinSub m:val="--"/>
    <m:smallFrac m:val="0"/>
    <m:dispDef/>
    <m:lMargin m:val="0"/>
    <m:rMargin m:val="0"/>
    <m:defJc m:val="centerGroup"/>
    <m:wrapIndent m:val="1440"/>
    <m:intLim m:val="subSup"/>
    <m:naryLim m:val="undOvr"/>
  </m:mathPr>
  <w:themeFontLang w:val="en-LU"/>
  <w:clrSchemeMapping w:bg1="light1" w:t1="dark1" w:bg2="light2" w:t2="dark2" w:accent1="accent1" w:accent2="accent2" w:accent3="accent3" w:accent4="accent4" w:accent5="accent5" w:accent6="accent6" w:hyperlink="hyperlink" w:followedHyperlink="followedHyperlink"/>
  <w:decimalSymbol w:val=","/>
  <w:listSeparator w:val=","/>
  <w14:docId w14:val="781D0004"/>
  <w15:chartTrackingRefBased/>
  <w15:docId w15:val="{204D6C1F-03A4-1445-AB6C-F61A9768E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L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184"/>
    <w:rPr>
      <w:lang w:val="en-GB"/>
    </w:rPr>
  </w:style>
  <w:style w:type="paragraph" w:styleId="Heading1">
    <w:name w:val="heading 1"/>
    <w:basedOn w:val="Normal"/>
    <w:next w:val="Normal"/>
    <w:link w:val="Heading1Char"/>
    <w:uiPriority w:val="9"/>
    <w:qFormat/>
    <w:rsid w:val="00D251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51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51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51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1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1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1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1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1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184"/>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D25184"/>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D25184"/>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D25184"/>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D25184"/>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D2518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2518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2518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2518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D25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18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251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18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25184"/>
    <w:pPr>
      <w:spacing w:before="160"/>
      <w:jc w:val="center"/>
    </w:pPr>
    <w:rPr>
      <w:i/>
      <w:iCs/>
      <w:color w:val="404040" w:themeColor="text1" w:themeTint="BF"/>
    </w:rPr>
  </w:style>
  <w:style w:type="character" w:customStyle="1" w:styleId="QuoteChar">
    <w:name w:val="Quote Char"/>
    <w:basedOn w:val="DefaultParagraphFont"/>
    <w:link w:val="Quote"/>
    <w:uiPriority w:val="29"/>
    <w:rsid w:val="00D25184"/>
    <w:rPr>
      <w:i/>
      <w:iCs/>
      <w:color w:val="404040" w:themeColor="text1" w:themeTint="BF"/>
      <w:lang w:val="en-GB"/>
    </w:rPr>
  </w:style>
  <w:style w:type="paragraph" w:styleId="ListParagraph">
    <w:name w:val="List Paragraph"/>
    <w:basedOn w:val="Normal"/>
    <w:uiPriority w:val="34"/>
    <w:qFormat/>
    <w:rsid w:val="00D25184"/>
    <w:pPr>
      <w:ind w:left="720"/>
      <w:contextualSpacing/>
    </w:pPr>
  </w:style>
  <w:style w:type="character" w:styleId="IntenseEmphasis">
    <w:name w:val="Intense Emphasis"/>
    <w:basedOn w:val="DefaultParagraphFont"/>
    <w:uiPriority w:val="21"/>
    <w:qFormat/>
    <w:rsid w:val="00D25184"/>
    <w:rPr>
      <w:i/>
      <w:iCs/>
      <w:color w:val="0F4761" w:themeColor="accent1" w:themeShade="BF"/>
    </w:rPr>
  </w:style>
  <w:style w:type="paragraph" w:styleId="IntenseQuote">
    <w:name w:val="Intense Quote"/>
    <w:basedOn w:val="Normal"/>
    <w:next w:val="Normal"/>
    <w:link w:val="IntenseQuoteChar"/>
    <w:uiPriority w:val="30"/>
    <w:qFormat/>
    <w:rsid w:val="00D251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5184"/>
    <w:rPr>
      <w:i/>
      <w:iCs/>
      <w:color w:val="0F4761" w:themeColor="accent1" w:themeShade="BF"/>
      <w:lang w:val="en-GB"/>
    </w:rPr>
  </w:style>
  <w:style w:type="character" w:styleId="IntenseReference">
    <w:name w:val="Intense Reference"/>
    <w:basedOn w:val="DefaultParagraphFont"/>
    <w:uiPriority w:val="32"/>
    <w:qFormat/>
    <w:rsid w:val="00D25184"/>
    <w:rPr>
      <w:b/>
      <w:bCs/>
      <w:smallCaps/>
      <w:color w:val="0F4761" w:themeColor="accent1" w:themeShade="BF"/>
      <w:spacing w:val="5"/>
    </w:rPr>
  </w:style>
  <w:style w:type="paragraph" w:customStyle="1" w:styleId="p1">
    <w:name w:val="p1"/>
    <w:basedOn w:val="Normal"/>
    <w:rsid w:val="00627371"/>
    <w:pPr>
      <w:spacing w:after="0" w:line="240" w:lineRule="auto"/>
    </w:pPr>
    <w:rPr>
      <w:rFonts w:ascii="Times" w:eastAsia="Times New Roman" w:hAnsi="Times" w:cs="Times New Roman"/>
      <w:color w:val="000000"/>
      <w:kern w:val="0"/>
      <w:sz w:val="14"/>
      <w:szCs w:val="14"/>
      <w:lang w:val="en-LU" w:eastAsia="en-GB"/>
      <w14:ligatures w14:val="none"/>
    </w:rPr>
  </w:style>
  <w:style w:type="character" w:styleId="Hyperlink">
    <w:name w:val="Hyperlink"/>
    <w:basedOn w:val="DefaultParagraphFont"/>
    <w:uiPriority w:val="99"/>
    <w:unhideWhenUsed/>
    <w:rsid w:val="00627371"/>
    <w:rPr>
      <w:color w:val="467886" w:themeColor="hyperlink"/>
      <w:u w:val="single"/>
    </w:rPr>
  </w:style>
  <w:style w:type="character" w:styleId="UnresolvedMention">
    <w:name w:val="Unresolved Mention"/>
    <w:basedOn w:val="DefaultParagraphFont"/>
    <w:uiPriority w:val="99"/>
    <w:semiHidden/>
    <w:unhideWhenUsed/>
    <w:rsid w:val="00627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478</Words>
  <Characters>2873</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Jean-Jacques Ruppert</dc:creator>
  <cp:keywords/>
  <dc:description/>
  <cp:lastModifiedBy>Jean-Jacques Ruppert</cp:lastModifiedBy>
  <cp:revision>12</cp:revision>
  <dcterms:created xsi:type="dcterms:W3CDTF">2026-03-28T11:35:00Z</dcterms:created>
  <dcterms:modified xsi:type="dcterms:W3CDTF">2026-04-13T14:06:00Z</dcterms:modified>
</cp:coreProperties>
</file>