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CFF4" w14:textId="77777777" w:rsidR="00284DAF" w:rsidRDefault="00284DAF" w:rsidP="00571E66">
      <w:pPr>
        <w:pStyle w:val="Heading1"/>
      </w:pPr>
      <w:r>
        <w:t>Building flexibility: Supporting diverse students for a career in creative technologies</w:t>
      </w:r>
    </w:p>
    <w:p w14:paraId="386BAFD8" w14:textId="6366673E" w:rsidR="00A42589" w:rsidRPr="00377D3F" w:rsidRDefault="0088326B" w:rsidP="00571E66">
      <w:pPr>
        <w:rPr>
          <w:rFonts w:ascii="Calibri" w:hAnsi="Calibri" w:cs="Calibri"/>
          <w:sz w:val="22"/>
          <w:szCs w:val="22"/>
        </w:rPr>
      </w:pPr>
      <w:r>
        <w:rPr>
          <w:rFonts w:ascii="Calibri" w:hAnsi="Calibri" w:cs="Calibri"/>
          <w:sz w:val="22"/>
          <w:szCs w:val="22"/>
        </w:rPr>
        <w:t xml:space="preserve">Author 1: </w:t>
      </w:r>
      <w:r w:rsidR="00571E66" w:rsidRPr="00377D3F">
        <w:rPr>
          <w:rFonts w:ascii="Calibri" w:hAnsi="Calibri" w:cs="Calibri"/>
          <w:sz w:val="22"/>
          <w:szCs w:val="22"/>
        </w:rPr>
        <w:t xml:space="preserve">Tece Bayrak, </w:t>
      </w:r>
      <w:r w:rsidR="00A42589" w:rsidRPr="00377D3F">
        <w:rPr>
          <w:rFonts w:ascii="Calibri" w:hAnsi="Calibri" w:cs="Calibri"/>
          <w:sz w:val="22"/>
          <w:szCs w:val="22"/>
        </w:rPr>
        <w:t>Aslihan.</w:t>
      </w:r>
    </w:p>
    <w:p w14:paraId="6DB72300" w14:textId="0D62C0AB" w:rsidR="00571E66" w:rsidRPr="00377D3F" w:rsidRDefault="00A42589" w:rsidP="0088326B">
      <w:pPr>
        <w:ind w:firstLine="720"/>
        <w:rPr>
          <w:rFonts w:ascii="Calibri" w:hAnsi="Calibri" w:cs="Calibri"/>
          <w:sz w:val="22"/>
          <w:szCs w:val="22"/>
        </w:rPr>
      </w:pPr>
      <w:r w:rsidRPr="00377D3F">
        <w:rPr>
          <w:rFonts w:ascii="Calibri" w:hAnsi="Calibri" w:cs="Calibri"/>
          <w:sz w:val="22"/>
          <w:szCs w:val="22"/>
        </w:rPr>
        <w:t xml:space="preserve">Programme Director, </w:t>
      </w:r>
      <w:hyperlink r:id="rId4" w:history="1">
        <w:r w:rsidRPr="00377D3F">
          <w:rPr>
            <w:rStyle w:val="Hyperlink"/>
            <w:rFonts w:ascii="Calibri" w:hAnsi="Calibri" w:cs="Calibri"/>
            <w:sz w:val="22"/>
            <w:szCs w:val="22"/>
          </w:rPr>
          <w:t>tece.bayrak@mediadesignschool.com</w:t>
        </w:r>
      </w:hyperlink>
    </w:p>
    <w:p w14:paraId="3B7C629C" w14:textId="0DFC9FF3" w:rsidR="0088326B" w:rsidRDefault="0088326B" w:rsidP="0088326B">
      <w:pPr>
        <w:rPr>
          <w:rFonts w:ascii="Calibri" w:hAnsi="Calibri" w:cs="Calibri"/>
          <w:sz w:val="22"/>
          <w:szCs w:val="22"/>
        </w:rPr>
      </w:pPr>
      <w:r>
        <w:rPr>
          <w:rFonts w:ascii="Calibri" w:hAnsi="Calibri" w:cs="Calibri"/>
          <w:sz w:val="22"/>
          <w:szCs w:val="22"/>
        </w:rPr>
        <w:t>Author</w:t>
      </w:r>
      <w:r w:rsidR="00D8344D">
        <w:rPr>
          <w:rFonts w:ascii="Calibri" w:hAnsi="Calibri" w:cs="Calibri"/>
          <w:sz w:val="22"/>
          <w:szCs w:val="22"/>
        </w:rPr>
        <w:t xml:space="preserve"> </w:t>
      </w:r>
      <w:r>
        <w:rPr>
          <w:rFonts w:ascii="Calibri" w:hAnsi="Calibri" w:cs="Calibri"/>
          <w:sz w:val="22"/>
          <w:szCs w:val="22"/>
        </w:rPr>
        <w:t>2: Khmel, Ivan.</w:t>
      </w:r>
    </w:p>
    <w:p w14:paraId="0DD7C287" w14:textId="49C11AC1" w:rsidR="0088326B" w:rsidRDefault="0088326B" w:rsidP="0088326B">
      <w:pPr>
        <w:ind w:firstLine="720"/>
      </w:pPr>
      <w:r>
        <w:rPr>
          <w:rFonts w:ascii="Calibri" w:hAnsi="Calibri" w:cs="Calibri"/>
          <w:sz w:val="22"/>
          <w:szCs w:val="22"/>
        </w:rPr>
        <w:t xml:space="preserve">Programme Director, </w:t>
      </w:r>
      <w:hyperlink r:id="rId5" w:history="1">
        <w:r w:rsidRPr="00B504FB">
          <w:rPr>
            <w:rStyle w:val="Hyperlink"/>
            <w:rFonts w:ascii="Calibri" w:hAnsi="Calibri" w:cs="Calibri"/>
            <w:sz w:val="22"/>
            <w:szCs w:val="22"/>
          </w:rPr>
          <w:t>ivan.khmel@mediadesignschool.com</w:t>
        </w:r>
      </w:hyperlink>
    </w:p>
    <w:p w14:paraId="5D476E32" w14:textId="6A9399B3" w:rsidR="00A42589" w:rsidRPr="00377D3F" w:rsidRDefault="002B3ED1" w:rsidP="0088326B">
      <w:pPr>
        <w:rPr>
          <w:rFonts w:ascii="Calibri" w:hAnsi="Calibri" w:cs="Calibri"/>
          <w:sz w:val="22"/>
          <w:szCs w:val="22"/>
        </w:rPr>
      </w:pPr>
      <w:r w:rsidRPr="00377D3F">
        <w:rPr>
          <w:rFonts w:ascii="Calibri" w:hAnsi="Calibri" w:cs="Calibri"/>
          <w:sz w:val="22"/>
          <w:szCs w:val="22"/>
        </w:rPr>
        <w:t>Media Design School at Strayer</w:t>
      </w:r>
    </w:p>
    <w:p w14:paraId="15F9D642" w14:textId="10AD78E0" w:rsidR="00B84C80" w:rsidRPr="00377D3F" w:rsidRDefault="00B84C80" w:rsidP="00571E66">
      <w:pPr>
        <w:rPr>
          <w:rFonts w:ascii="Calibri" w:hAnsi="Calibri" w:cs="Calibri"/>
          <w:sz w:val="22"/>
          <w:szCs w:val="22"/>
        </w:rPr>
      </w:pPr>
      <w:r w:rsidRPr="00377D3F">
        <w:rPr>
          <w:rFonts w:ascii="Calibri" w:hAnsi="Calibri" w:cs="Calibri"/>
          <w:b/>
          <w:bCs/>
          <w:sz w:val="22"/>
          <w:szCs w:val="22"/>
        </w:rPr>
        <w:t>Keywords:</w:t>
      </w:r>
      <w:r w:rsidRPr="00377D3F">
        <w:rPr>
          <w:rFonts w:ascii="Calibri" w:hAnsi="Calibri" w:cs="Calibri"/>
          <w:sz w:val="22"/>
          <w:szCs w:val="22"/>
        </w:rPr>
        <w:t xml:space="preserve"> neurodivergence, flexible </w:t>
      </w:r>
      <w:r w:rsidR="009945B8" w:rsidRPr="00377D3F">
        <w:rPr>
          <w:rFonts w:ascii="Calibri" w:hAnsi="Calibri" w:cs="Calibri"/>
          <w:sz w:val="22"/>
          <w:szCs w:val="22"/>
        </w:rPr>
        <w:t xml:space="preserve">university </w:t>
      </w:r>
      <w:r w:rsidRPr="00377D3F">
        <w:rPr>
          <w:rFonts w:ascii="Calibri" w:hAnsi="Calibri" w:cs="Calibri"/>
          <w:sz w:val="22"/>
          <w:szCs w:val="22"/>
        </w:rPr>
        <w:t>education</w:t>
      </w:r>
      <w:r w:rsidR="009945B8" w:rsidRPr="00377D3F">
        <w:rPr>
          <w:rFonts w:ascii="Calibri" w:hAnsi="Calibri" w:cs="Calibri"/>
          <w:sz w:val="22"/>
          <w:szCs w:val="22"/>
        </w:rPr>
        <w:t xml:space="preserve">, burnout, </w:t>
      </w:r>
      <w:r w:rsidR="00377D3F" w:rsidRPr="00377D3F">
        <w:rPr>
          <w:rFonts w:ascii="Calibri" w:hAnsi="Calibri" w:cs="Calibri"/>
          <w:sz w:val="22"/>
          <w:szCs w:val="22"/>
        </w:rPr>
        <w:t>student support</w:t>
      </w:r>
      <w:r w:rsidRPr="00377D3F">
        <w:rPr>
          <w:rFonts w:ascii="Calibri" w:hAnsi="Calibri" w:cs="Calibri"/>
          <w:sz w:val="22"/>
          <w:szCs w:val="22"/>
        </w:rPr>
        <w:t xml:space="preserve"> </w:t>
      </w:r>
    </w:p>
    <w:p w14:paraId="0C9F77CB" w14:textId="77777777" w:rsidR="00284DAF" w:rsidRPr="008B3A9E" w:rsidRDefault="00284DAF" w:rsidP="00DB2F84">
      <w:pPr>
        <w:spacing w:line="360" w:lineRule="auto"/>
        <w:jc w:val="both"/>
        <w:rPr>
          <w:rFonts w:ascii="Calibri" w:hAnsi="Calibri" w:cs="Calibri"/>
          <w:sz w:val="22"/>
          <w:szCs w:val="22"/>
        </w:rPr>
      </w:pPr>
      <w:r w:rsidRPr="008B3A9E">
        <w:rPr>
          <w:rFonts w:ascii="Calibri" w:hAnsi="Calibri" w:cs="Calibri"/>
          <w:sz w:val="22"/>
          <w:szCs w:val="22"/>
        </w:rPr>
        <w:t>The demographic profile of the modern university student has shifted dramatically from the traditional school leavers to a more diverse group where we observe an increased number of students having to support themselves and their families during study, an increased prevalence of study-breaks, and an increased number of neurodivergence. As of 2025, approximately 395,095 students were enrolled in formal tertiary study in NZ. While a recent report presented that nearly half of the people in current creative industries is neurodivergent (Understood, 2025), we are observing a prevalence among MDS students with neurodivergent traits and an increased student demographic self-supporting or supporting a family. This paper presents our approach for retaining those students and supporting them toward the completion of their degree. Our strategy includes flexibility of workload, recovery strategies to complete assignments, offering touchpoints, counselling, and coaching.</w:t>
      </w:r>
    </w:p>
    <w:p w14:paraId="5CC36A68" w14:textId="77777777" w:rsidR="00284DAF" w:rsidRPr="008B3A9E" w:rsidRDefault="00284DAF" w:rsidP="00DB2F84">
      <w:pPr>
        <w:spacing w:line="360" w:lineRule="auto"/>
        <w:jc w:val="both"/>
        <w:rPr>
          <w:rFonts w:ascii="Calibri" w:hAnsi="Calibri" w:cs="Calibri"/>
          <w:sz w:val="22"/>
          <w:szCs w:val="22"/>
        </w:rPr>
      </w:pPr>
      <w:r w:rsidRPr="008B3A9E">
        <w:rPr>
          <w:rFonts w:ascii="Calibri" w:hAnsi="Calibri" w:cs="Calibri"/>
          <w:sz w:val="22"/>
          <w:szCs w:val="22"/>
        </w:rPr>
        <w:t xml:space="preserve">Data from University NZ (2025) indicates that 17.6% of enrolled university students discontinued their studies with their original university within the first 18 months to either go to another university (29%) or to a non-university provider (16%). Across the world, there is </w:t>
      </w:r>
      <w:r w:rsidRPr="00A33C22">
        <w:rPr>
          <w:rFonts w:ascii="Calibri" w:hAnsi="Calibri" w:cs="Calibri"/>
          <w:sz w:val="22"/>
          <w:szCs w:val="22"/>
        </w:rPr>
        <w:t xml:space="preserve">a persistent </w:t>
      </w:r>
      <w:r w:rsidRPr="008B3A9E">
        <w:rPr>
          <w:rFonts w:ascii="Calibri" w:hAnsi="Calibri" w:cs="Calibri"/>
          <w:sz w:val="22"/>
          <w:szCs w:val="22"/>
        </w:rPr>
        <w:t>trend in exiting degree level qualifications due to</w:t>
      </w:r>
      <w:r w:rsidRPr="00A33C22">
        <w:rPr>
          <w:rFonts w:ascii="Calibri" w:hAnsi="Calibri" w:cs="Calibri"/>
          <w:sz w:val="22"/>
          <w:szCs w:val="22"/>
        </w:rPr>
        <w:t xml:space="preserve"> financial pressure, work demands, and caregiving responsibilities (UPCEA, 2026).</w:t>
      </w:r>
      <w:r w:rsidRPr="008B3A9E">
        <w:rPr>
          <w:rFonts w:ascii="Calibri" w:hAnsi="Calibri" w:cs="Calibri"/>
          <w:sz w:val="22"/>
          <w:szCs w:val="22"/>
        </w:rPr>
        <w:t xml:space="preserve"> Unlike the traditional university education model, which assumes a student’s primary job is studying, today’s learners often juggle full-time employment and familial roles. </w:t>
      </w:r>
    </w:p>
    <w:p w14:paraId="4FD5F272" w14:textId="77777777" w:rsidR="00284DAF" w:rsidRPr="008B3A9E" w:rsidRDefault="00284DAF" w:rsidP="00DB2F84">
      <w:pPr>
        <w:spacing w:line="360" w:lineRule="auto"/>
        <w:jc w:val="both"/>
        <w:rPr>
          <w:rFonts w:ascii="Calibri" w:hAnsi="Calibri" w:cs="Calibri"/>
          <w:sz w:val="22"/>
          <w:szCs w:val="22"/>
        </w:rPr>
      </w:pPr>
      <w:r w:rsidRPr="008B3A9E">
        <w:rPr>
          <w:rFonts w:ascii="Calibri" w:hAnsi="Calibri" w:cs="Calibri"/>
          <w:sz w:val="22"/>
          <w:szCs w:val="22"/>
        </w:rPr>
        <w:t xml:space="preserve">Burnout in higher education seems to have evolved from final-exam stress into a chronic state of emotional exhaustion where </w:t>
      </w:r>
      <w:proofErr w:type="spellStart"/>
      <w:r w:rsidRPr="008B3A9E">
        <w:rPr>
          <w:rFonts w:ascii="Calibri" w:hAnsi="Calibri" w:cs="Calibri"/>
          <w:sz w:val="22"/>
          <w:szCs w:val="22"/>
        </w:rPr>
        <w:t>Mejerova</w:t>
      </w:r>
      <w:proofErr w:type="spellEnd"/>
      <w:r w:rsidRPr="008B3A9E">
        <w:rPr>
          <w:rFonts w:ascii="Calibri" w:hAnsi="Calibri" w:cs="Calibri"/>
          <w:sz w:val="22"/>
          <w:szCs w:val="22"/>
        </w:rPr>
        <w:t xml:space="preserve"> and Sokolova (2005) presented that stress may have many sources including but not limited to institutional resources such as crowded lecture halls and inconsistent infrastructure, competitive nature of programmes, lack of work-life balance for a social life, financial concerns, personal relationships, and general life management challenges or external commitments. When institutions prioritize attendance over outcomes or physical presence over digital accessibility or dictate a specific amount of semester workload for completion, they inadvertently </w:t>
      </w:r>
      <w:r w:rsidRPr="008B3A9E">
        <w:rPr>
          <w:rFonts w:ascii="Calibri" w:hAnsi="Calibri" w:cs="Calibri"/>
          <w:sz w:val="22"/>
          <w:szCs w:val="22"/>
        </w:rPr>
        <w:lastRenderedPageBreak/>
        <w:t>penalise students whose current life choices, learning abilities, or socioeconomic background necessitates a non-linear path. It is also unfortunate that t</w:t>
      </w:r>
      <w:r w:rsidRPr="00A33C22">
        <w:rPr>
          <w:rFonts w:ascii="Calibri" w:hAnsi="Calibri" w:cs="Calibri"/>
          <w:sz w:val="22"/>
          <w:szCs w:val="22"/>
        </w:rPr>
        <w:t xml:space="preserve">he current financial support systems </w:t>
      </w:r>
      <w:r w:rsidRPr="008B3A9E">
        <w:rPr>
          <w:rFonts w:ascii="Calibri" w:hAnsi="Calibri" w:cs="Calibri"/>
          <w:sz w:val="22"/>
          <w:szCs w:val="22"/>
        </w:rPr>
        <w:t>are</w:t>
      </w:r>
      <w:r w:rsidRPr="00A33C22">
        <w:rPr>
          <w:rFonts w:ascii="Calibri" w:hAnsi="Calibri" w:cs="Calibri"/>
          <w:sz w:val="22"/>
          <w:szCs w:val="22"/>
        </w:rPr>
        <w:t xml:space="preserve"> </w:t>
      </w:r>
      <w:proofErr w:type="gramStart"/>
      <w:r w:rsidRPr="00A33C22">
        <w:rPr>
          <w:rFonts w:ascii="Calibri" w:hAnsi="Calibri" w:cs="Calibri"/>
          <w:sz w:val="22"/>
          <w:szCs w:val="22"/>
        </w:rPr>
        <w:t>lag</w:t>
      </w:r>
      <w:r w:rsidRPr="008B3A9E">
        <w:rPr>
          <w:rFonts w:ascii="Calibri" w:hAnsi="Calibri" w:cs="Calibri"/>
          <w:sz w:val="22"/>
          <w:szCs w:val="22"/>
        </w:rPr>
        <w:t>ging</w:t>
      </w:r>
      <w:r w:rsidRPr="00A33C22">
        <w:rPr>
          <w:rFonts w:ascii="Calibri" w:hAnsi="Calibri" w:cs="Calibri"/>
          <w:sz w:val="22"/>
          <w:szCs w:val="22"/>
        </w:rPr>
        <w:t xml:space="preserve"> behind</w:t>
      </w:r>
      <w:proofErr w:type="gramEnd"/>
      <w:r w:rsidRPr="00A33C22">
        <w:rPr>
          <w:rFonts w:ascii="Calibri" w:hAnsi="Calibri" w:cs="Calibri"/>
          <w:sz w:val="22"/>
          <w:szCs w:val="22"/>
        </w:rPr>
        <w:t xml:space="preserve"> these demographic shifts</w:t>
      </w:r>
      <w:r w:rsidRPr="008B3A9E">
        <w:rPr>
          <w:rFonts w:ascii="Calibri" w:hAnsi="Calibri" w:cs="Calibri"/>
          <w:sz w:val="22"/>
          <w:szCs w:val="22"/>
        </w:rPr>
        <w:t xml:space="preserve"> with</w:t>
      </w:r>
      <w:r w:rsidRPr="00A33C22">
        <w:rPr>
          <w:rFonts w:ascii="Calibri" w:hAnsi="Calibri" w:cs="Calibri"/>
          <w:sz w:val="22"/>
          <w:szCs w:val="22"/>
        </w:rPr>
        <w:t xml:space="preserve"> </w:t>
      </w:r>
      <w:r w:rsidRPr="008B3A9E">
        <w:rPr>
          <w:rFonts w:ascii="Calibri" w:hAnsi="Calibri" w:cs="Calibri"/>
          <w:sz w:val="22"/>
          <w:szCs w:val="22"/>
        </w:rPr>
        <w:t xml:space="preserve">a </w:t>
      </w:r>
      <w:r w:rsidRPr="00A33C22">
        <w:rPr>
          <w:rFonts w:ascii="Calibri" w:hAnsi="Calibri" w:cs="Calibri"/>
          <w:sz w:val="22"/>
          <w:szCs w:val="22"/>
        </w:rPr>
        <w:t xml:space="preserve">lack the flexibility to address diverse </w:t>
      </w:r>
      <w:r w:rsidRPr="008B3A9E">
        <w:rPr>
          <w:rFonts w:ascii="Calibri" w:hAnsi="Calibri" w:cs="Calibri"/>
          <w:sz w:val="22"/>
          <w:szCs w:val="22"/>
        </w:rPr>
        <w:t xml:space="preserve">or one-off </w:t>
      </w:r>
      <w:r w:rsidRPr="00A33C22">
        <w:rPr>
          <w:rFonts w:ascii="Calibri" w:hAnsi="Calibri" w:cs="Calibri"/>
          <w:sz w:val="22"/>
          <w:szCs w:val="22"/>
        </w:rPr>
        <w:t>needs</w:t>
      </w:r>
      <w:r w:rsidRPr="008B3A9E">
        <w:rPr>
          <w:rFonts w:ascii="Calibri" w:hAnsi="Calibri" w:cs="Calibri"/>
          <w:sz w:val="22"/>
          <w:szCs w:val="22"/>
        </w:rPr>
        <w:t xml:space="preserve"> s</w:t>
      </w:r>
      <w:r w:rsidRPr="00A33C22">
        <w:rPr>
          <w:rFonts w:ascii="Calibri" w:hAnsi="Calibri" w:cs="Calibri"/>
          <w:sz w:val="22"/>
          <w:szCs w:val="22"/>
        </w:rPr>
        <w:t xml:space="preserve">uch as </w:t>
      </w:r>
      <w:r w:rsidRPr="008B3A9E">
        <w:rPr>
          <w:rFonts w:ascii="Calibri" w:hAnsi="Calibri" w:cs="Calibri"/>
          <w:sz w:val="22"/>
          <w:szCs w:val="22"/>
        </w:rPr>
        <w:t xml:space="preserve">small </w:t>
      </w:r>
      <w:r w:rsidRPr="00A33C22">
        <w:rPr>
          <w:rFonts w:ascii="Calibri" w:hAnsi="Calibri" w:cs="Calibri"/>
          <w:sz w:val="22"/>
          <w:szCs w:val="22"/>
        </w:rPr>
        <w:t>grants for car repairs</w:t>
      </w:r>
      <w:r w:rsidRPr="008B3A9E">
        <w:rPr>
          <w:rFonts w:ascii="Calibri" w:hAnsi="Calibri" w:cs="Calibri"/>
          <w:sz w:val="22"/>
          <w:szCs w:val="22"/>
        </w:rPr>
        <w:t>, equipment support, health support, bereavement,</w:t>
      </w:r>
      <w:r w:rsidRPr="00A33C22">
        <w:rPr>
          <w:rFonts w:ascii="Calibri" w:hAnsi="Calibri" w:cs="Calibri"/>
          <w:sz w:val="22"/>
          <w:szCs w:val="22"/>
        </w:rPr>
        <w:t xml:space="preserve"> </w:t>
      </w:r>
      <w:r w:rsidRPr="008B3A9E">
        <w:rPr>
          <w:rFonts w:ascii="Calibri" w:hAnsi="Calibri" w:cs="Calibri"/>
          <w:sz w:val="22"/>
          <w:szCs w:val="22"/>
        </w:rPr>
        <w:t xml:space="preserve">or </w:t>
      </w:r>
      <w:r w:rsidRPr="00A33C22">
        <w:rPr>
          <w:rFonts w:ascii="Calibri" w:hAnsi="Calibri" w:cs="Calibri"/>
          <w:sz w:val="22"/>
          <w:szCs w:val="22"/>
        </w:rPr>
        <w:t>childcare</w:t>
      </w:r>
      <w:r w:rsidRPr="008B3A9E">
        <w:rPr>
          <w:rFonts w:ascii="Calibri" w:hAnsi="Calibri" w:cs="Calibri"/>
          <w:sz w:val="22"/>
          <w:szCs w:val="22"/>
        </w:rPr>
        <w:t>, which</w:t>
      </w:r>
      <w:r w:rsidRPr="00A33C22">
        <w:rPr>
          <w:rFonts w:ascii="Calibri" w:hAnsi="Calibri" w:cs="Calibri"/>
          <w:sz w:val="22"/>
          <w:szCs w:val="22"/>
        </w:rPr>
        <w:t xml:space="preserve"> often determine whether a student </w:t>
      </w:r>
      <w:r w:rsidRPr="008B3A9E">
        <w:rPr>
          <w:rFonts w:ascii="Calibri" w:hAnsi="Calibri" w:cs="Calibri"/>
          <w:sz w:val="22"/>
          <w:szCs w:val="22"/>
        </w:rPr>
        <w:t>can carry on with their enrolments or</w:t>
      </w:r>
      <w:r w:rsidRPr="00A33C22">
        <w:rPr>
          <w:rFonts w:ascii="Calibri" w:hAnsi="Calibri" w:cs="Calibri"/>
          <w:sz w:val="22"/>
          <w:szCs w:val="22"/>
        </w:rPr>
        <w:t xml:space="preserve"> drops out.</w:t>
      </w:r>
      <w:r w:rsidRPr="008B3A9E">
        <w:rPr>
          <w:rFonts w:ascii="Calibri" w:hAnsi="Calibri" w:cs="Calibri"/>
          <w:sz w:val="22"/>
          <w:szCs w:val="22"/>
        </w:rPr>
        <w:t xml:space="preserve"> For those situations where policy changes take a long time, institutional nimbleness of the education provider and an ability to offer individualised support for students remains an effective and perhaps the only available solution. </w:t>
      </w:r>
    </w:p>
    <w:p w14:paraId="5DC2D102" w14:textId="77777777" w:rsidR="00284DAF" w:rsidRPr="008B3A9E" w:rsidRDefault="00284DAF" w:rsidP="00DB2F84">
      <w:pPr>
        <w:spacing w:line="360" w:lineRule="auto"/>
        <w:jc w:val="both"/>
        <w:rPr>
          <w:rFonts w:ascii="Calibri" w:hAnsi="Calibri" w:cs="Calibri"/>
          <w:sz w:val="22"/>
          <w:szCs w:val="22"/>
        </w:rPr>
      </w:pPr>
      <w:r w:rsidRPr="008B3A9E">
        <w:rPr>
          <w:rFonts w:ascii="Calibri" w:hAnsi="Calibri" w:cs="Calibri"/>
          <w:sz w:val="22"/>
          <w:szCs w:val="22"/>
        </w:rPr>
        <w:t xml:space="preserve">Another shift in the demographics is an increased prevalence or increased recognition of neurodivergence where 15 to 20% of the population are reported to be neurodivergent (Cannon, 2026). </w:t>
      </w:r>
      <w:r w:rsidRPr="00A33C22">
        <w:rPr>
          <w:rFonts w:ascii="Calibri" w:hAnsi="Calibri" w:cs="Calibri"/>
          <w:sz w:val="22"/>
          <w:szCs w:val="22"/>
        </w:rPr>
        <w:t xml:space="preserve">Industries are increasingly recognizing that neurodivergent individuals bring unique strengths, such as </w:t>
      </w:r>
      <w:r w:rsidRPr="008B3A9E">
        <w:rPr>
          <w:rFonts w:ascii="Calibri" w:hAnsi="Calibri" w:cs="Calibri"/>
          <w:sz w:val="22"/>
          <w:szCs w:val="22"/>
        </w:rPr>
        <w:t xml:space="preserve">hyper-focused subject expertise, </w:t>
      </w:r>
      <w:r w:rsidRPr="00A33C22">
        <w:rPr>
          <w:rFonts w:ascii="Calibri" w:hAnsi="Calibri" w:cs="Calibri"/>
          <w:sz w:val="22"/>
          <w:szCs w:val="22"/>
        </w:rPr>
        <w:t>innovative problem-solving</w:t>
      </w:r>
      <w:r w:rsidRPr="008B3A9E">
        <w:rPr>
          <w:rFonts w:ascii="Calibri" w:hAnsi="Calibri" w:cs="Calibri"/>
          <w:sz w:val="22"/>
          <w:szCs w:val="22"/>
        </w:rPr>
        <w:t>,</w:t>
      </w:r>
      <w:r w:rsidRPr="00A33C22">
        <w:rPr>
          <w:rFonts w:ascii="Calibri" w:hAnsi="Calibri" w:cs="Calibri"/>
          <w:sz w:val="22"/>
          <w:szCs w:val="22"/>
        </w:rPr>
        <w:t xml:space="preserve"> </w:t>
      </w:r>
      <w:r w:rsidRPr="008B3A9E">
        <w:rPr>
          <w:rFonts w:ascii="Calibri" w:hAnsi="Calibri" w:cs="Calibri"/>
          <w:sz w:val="22"/>
          <w:szCs w:val="22"/>
        </w:rPr>
        <w:t xml:space="preserve">lateral thinking, </w:t>
      </w:r>
      <w:r w:rsidRPr="00A33C22">
        <w:rPr>
          <w:rFonts w:ascii="Calibri" w:hAnsi="Calibri" w:cs="Calibri"/>
          <w:sz w:val="22"/>
          <w:szCs w:val="22"/>
        </w:rPr>
        <w:t>and</w:t>
      </w:r>
      <w:r w:rsidRPr="008B3A9E">
        <w:rPr>
          <w:rFonts w:ascii="Calibri" w:hAnsi="Calibri" w:cs="Calibri"/>
          <w:sz w:val="22"/>
          <w:szCs w:val="22"/>
        </w:rPr>
        <w:t xml:space="preserve"> exceptional pattern recognition (</w:t>
      </w:r>
      <w:proofErr w:type="spellStart"/>
      <w:r w:rsidRPr="008B3A9E">
        <w:rPr>
          <w:rFonts w:ascii="Calibri" w:hAnsi="Calibri" w:cs="Calibri"/>
          <w:sz w:val="22"/>
          <w:szCs w:val="22"/>
        </w:rPr>
        <w:t>Everway</w:t>
      </w:r>
      <w:proofErr w:type="spellEnd"/>
      <w:r w:rsidRPr="008B3A9E">
        <w:rPr>
          <w:rFonts w:ascii="Calibri" w:hAnsi="Calibri" w:cs="Calibri"/>
          <w:sz w:val="22"/>
          <w:szCs w:val="22"/>
        </w:rPr>
        <w:t>, 2026)</w:t>
      </w:r>
      <w:r w:rsidRPr="00A33C22">
        <w:rPr>
          <w:rFonts w:ascii="Calibri" w:hAnsi="Calibri" w:cs="Calibri"/>
          <w:sz w:val="22"/>
          <w:szCs w:val="22"/>
        </w:rPr>
        <w:t xml:space="preserve">. However, if universities do not provide </w:t>
      </w:r>
      <w:r w:rsidRPr="008B3A9E">
        <w:rPr>
          <w:rFonts w:ascii="Calibri" w:hAnsi="Calibri" w:cs="Calibri"/>
          <w:sz w:val="22"/>
          <w:szCs w:val="22"/>
        </w:rPr>
        <w:t xml:space="preserve">accessibility </w:t>
      </w:r>
      <w:r w:rsidRPr="00A33C22">
        <w:rPr>
          <w:rFonts w:ascii="Calibri" w:hAnsi="Calibri" w:cs="Calibri"/>
          <w:sz w:val="22"/>
          <w:szCs w:val="22"/>
        </w:rPr>
        <w:t xml:space="preserve">during </w:t>
      </w:r>
      <w:r w:rsidRPr="008B3A9E">
        <w:rPr>
          <w:rFonts w:ascii="Calibri" w:hAnsi="Calibri" w:cs="Calibri"/>
          <w:sz w:val="22"/>
          <w:szCs w:val="22"/>
        </w:rPr>
        <w:t>the study period</w:t>
      </w:r>
      <w:r w:rsidRPr="00A33C22">
        <w:rPr>
          <w:rFonts w:ascii="Calibri" w:hAnsi="Calibri" w:cs="Calibri"/>
          <w:sz w:val="22"/>
          <w:szCs w:val="22"/>
        </w:rPr>
        <w:t xml:space="preserve">, these talented individuals may </w:t>
      </w:r>
      <w:r w:rsidRPr="008B3A9E">
        <w:rPr>
          <w:rFonts w:ascii="Calibri" w:hAnsi="Calibri" w:cs="Calibri"/>
          <w:sz w:val="22"/>
          <w:szCs w:val="22"/>
        </w:rPr>
        <w:t>drop out</w:t>
      </w:r>
      <w:r w:rsidRPr="00A33C22">
        <w:rPr>
          <w:rFonts w:ascii="Calibri" w:hAnsi="Calibri" w:cs="Calibri"/>
          <w:sz w:val="22"/>
          <w:szCs w:val="22"/>
        </w:rPr>
        <w:t xml:space="preserve"> before </w:t>
      </w:r>
      <w:r w:rsidRPr="008B3A9E">
        <w:rPr>
          <w:rFonts w:ascii="Calibri" w:hAnsi="Calibri" w:cs="Calibri"/>
          <w:sz w:val="22"/>
          <w:szCs w:val="22"/>
        </w:rPr>
        <w:t>completing their degree</w:t>
      </w:r>
      <w:r w:rsidRPr="00A33C22">
        <w:rPr>
          <w:rFonts w:ascii="Calibri" w:hAnsi="Calibri" w:cs="Calibri"/>
          <w:sz w:val="22"/>
          <w:szCs w:val="22"/>
        </w:rPr>
        <w:t>.</w:t>
      </w:r>
      <w:r w:rsidRPr="008B3A9E">
        <w:rPr>
          <w:rFonts w:ascii="Calibri" w:hAnsi="Calibri" w:cs="Calibri"/>
          <w:sz w:val="22"/>
          <w:szCs w:val="22"/>
        </w:rPr>
        <w:t xml:space="preserve"> Therefore, higher education needs to move away from one-size-fits-all models but toward more flexible study conditions. To prevent burnout and attrition, higher education institutions must view diversity not as a metric to be managed, but as a fundamental characteristic of the modern learner who needs a redesigned, flexible, and empathetic academic environment. We believe recognising the changes in the student demographics and understanding the pain point for those students are integral for preparing a healthy and diverse future workforce for our society. </w:t>
      </w:r>
    </w:p>
    <w:p w14:paraId="15D93284" w14:textId="77777777" w:rsidR="00284DAF" w:rsidRPr="001C0842" w:rsidRDefault="00284DAF" w:rsidP="00284DAF">
      <w:pPr>
        <w:rPr>
          <w:rFonts w:ascii="Calibri" w:hAnsi="Calibri" w:cs="Calibri"/>
          <w:b/>
          <w:bCs/>
          <w:sz w:val="22"/>
          <w:szCs w:val="22"/>
        </w:rPr>
      </w:pPr>
      <w:r w:rsidRPr="00377D3F">
        <w:rPr>
          <w:rFonts w:ascii="Calibri" w:hAnsi="Calibri" w:cs="Calibri"/>
          <w:b/>
          <w:bCs/>
          <w:sz w:val="22"/>
          <w:szCs w:val="22"/>
        </w:rPr>
        <w:t>References:</w:t>
      </w:r>
    </w:p>
    <w:p w14:paraId="48739DF0" w14:textId="77777777" w:rsidR="00284DAF" w:rsidRPr="00377D3F" w:rsidRDefault="00284DAF" w:rsidP="00284DAF">
      <w:pPr>
        <w:rPr>
          <w:rFonts w:ascii="Calibri" w:hAnsi="Calibri" w:cs="Calibri"/>
          <w:sz w:val="22"/>
          <w:szCs w:val="22"/>
        </w:rPr>
      </w:pPr>
      <w:r w:rsidRPr="00377D3F">
        <w:rPr>
          <w:rFonts w:ascii="Calibri" w:hAnsi="Calibri" w:cs="Calibri"/>
          <w:sz w:val="22"/>
          <w:szCs w:val="22"/>
        </w:rPr>
        <w:t xml:space="preserve">Universities NZ. (2025) </w:t>
      </w:r>
      <w:r w:rsidRPr="001C0842">
        <w:rPr>
          <w:rFonts w:ascii="Calibri" w:hAnsi="Calibri" w:cs="Calibri"/>
          <w:i/>
          <w:iCs/>
          <w:sz w:val="22"/>
          <w:szCs w:val="22"/>
        </w:rPr>
        <w:t>People who leave university without a degree – choice or failure?</w:t>
      </w:r>
      <w:r w:rsidRPr="001C0842">
        <w:rPr>
          <w:rFonts w:ascii="Calibri" w:hAnsi="Calibri" w:cs="Calibri"/>
          <w:sz w:val="22"/>
          <w:szCs w:val="22"/>
        </w:rPr>
        <w:t xml:space="preserve"> </w:t>
      </w:r>
      <w:r w:rsidRPr="00377D3F">
        <w:rPr>
          <w:rFonts w:ascii="Calibri" w:hAnsi="Calibri" w:cs="Calibri"/>
          <w:sz w:val="22"/>
          <w:szCs w:val="22"/>
        </w:rPr>
        <w:t xml:space="preserve">Universities New Zealand - </w:t>
      </w:r>
      <w:proofErr w:type="spellStart"/>
      <w:r w:rsidRPr="001C0842">
        <w:rPr>
          <w:rFonts w:ascii="Calibri" w:hAnsi="Calibri" w:cs="Calibri"/>
          <w:sz w:val="22"/>
          <w:szCs w:val="22"/>
        </w:rPr>
        <w:t>Te</w:t>
      </w:r>
      <w:proofErr w:type="spellEnd"/>
      <w:r w:rsidRPr="001C0842">
        <w:rPr>
          <w:rFonts w:ascii="Calibri" w:hAnsi="Calibri" w:cs="Calibri"/>
          <w:sz w:val="22"/>
          <w:szCs w:val="22"/>
        </w:rPr>
        <w:t xml:space="preserve"> </w:t>
      </w:r>
      <w:proofErr w:type="spellStart"/>
      <w:r w:rsidRPr="001C0842">
        <w:rPr>
          <w:rFonts w:ascii="Calibri" w:hAnsi="Calibri" w:cs="Calibri"/>
          <w:sz w:val="22"/>
          <w:szCs w:val="22"/>
        </w:rPr>
        <w:t>Pōkai</w:t>
      </w:r>
      <w:proofErr w:type="spellEnd"/>
      <w:r w:rsidRPr="001C0842">
        <w:rPr>
          <w:rFonts w:ascii="Calibri" w:hAnsi="Calibri" w:cs="Calibri"/>
          <w:sz w:val="22"/>
          <w:szCs w:val="22"/>
        </w:rPr>
        <w:t xml:space="preserve"> Tara</w:t>
      </w:r>
      <w:r w:rsidRPr="00377D3F">
        <w:rPr>
          <w:rFonts w:ascii="Calibri" w:hAnsi="Calibri" w:cs="Calibri"/>
          <w:sz w:val="22"/>
          <w:szCs w:val="22"/>
        </w:rPr>
        <w:t xml:space="preserve">. [Online] </w:t>
      </w:r>
      <w:hyperlink r:id="rId6" w:history="1">
        <w:r w:rsidRPr="001C0842">
          <w:rPr>
            <w:rStyle w:val="Hyperlink"/>
            <w:rFonts w:ascii="Calibri" w:hAnsi="Calibri" w:cs="Calibri"/>
            <w:sz w:val="22"/>
            <w:szCs w:val="22"/>
          </w:rPr>
          <w:t>https://www.universitiesnz.ac.nz/latest-news-and-publications/people-who-leave-university-without-degree-%E2%80%93-choice-or-failure</w:t>
        </w:r>
      </w:hyperlink>
    </w:p>
    <w:p w14:paraId="167ECB91" w14:textId="77777777" w:rsidR="00284DAF" w:rsidRPr="00377D3F" w:rsidRDefault="00284DAF" w:rsidP="00284DAF">
      <w:pPr>
        <w:rPr>
          <w:rFonts w:ascii="Calibri" w:hAnsi="Calibri" w:cs="Calibri"/>
          <w:sz w:val="22"/>
          <w:szCs w:val="22"/>
        </w:rPr>
      </w:pPr>
      <w:r w:rsidRPr="00377D3F">
        <w:rPr>
          <w:rFonts w:ascii="Calibri" w:hAnsi="Calibri" w:cs="Calibri"/>
          <w:sz w:val="22"/>
          <w:szCs w:val="22"/>
        </w:rPr>
        <w:t xml:space="preserve">UPCEA. (2026). </w:t>
      </w:r>
      <w:r w:rsidRPr="00377D3F">
        <w:rPr>
          <w:rFonts w:ascii="Calibri" w:hAnsi="Calibri" w:cs="Calibri"/>
          <w:i/>
          <w:iCs/>
          <w:sz w:val="22"/>
          <w:szCs w:val="22"/>
        </w:rPr>
        <w:t>New Research Highlights a Disconnect Between University Retention Strategies and Adult Learner Priorities - UPCEA</w:t>
      </w:r>
      <w:r w:rsidRPr="00377D3F">
        <w:rPr>
          <w:rFonts w:ascii="Calibri" w:hAnsi="Calibri" w:cs="Calibri"/>
          <w:sz w:val="22"/>
          <w:szCs w:val="22"/>
        </w:rPr>
        <w:t xml:space="preserve">. [Online] </w:t>
      </w:r>
      <w:hyperlink r:id="rId7" w:history="1">
        <w:r w:rsidRPr="00377D3F">
          <w:rPr>
            <w:rStyle w:val="Hyperlink"/>
            <w:rFonts w:ascii="Calibri" w:hAnsi="Calibri" w:cs="Calibri"/>
            <w:sz w:val="22"/>
            <w:szCs w:val="22"/>
          </w:rPr>
          <w:t>https://upcea.edu/new-research-highlights-a-disconnect-between-university-retention-strategies-and-adult-learner-priorities</w:t>
        </w:r>
      </w:hyperlink>
    </w:p>
    <w:p w14:paraId="1954492D" w14:textId="77777777" w:rsidR="00284DAF" w:rsidRPr="00377D3F" w:rsidRDefault="00284DAF" w:rsidP="00284DAF">
      <w:pPr>
        <w:rPr>
          <w:rFonts w:ascii="Calibri" w:hAnsi="Calibri" w:cs="Calibri"/>
          <w:sz w:val="22"/>
          <w:szCs w:val="22"/>
        </w:rPr>
      </w:pPr>
      <w:r w:rsidRPr="00377D3F">
        <w:rPr>
          <w:rFonts w:ascii="Calibri" w:hAnsi="Calibri" w:cs="Calibri"/>
          <w:sz w:val="22"/>
          <w:szCs w:val="22"/>
        </w:rPr>
        <w:t xml:space="preserve">Majerová, N., &amp; Sokolová, L. (2025). Well-being and academic stress in higher education students: interview and diary study. </w:t>
      </w:r>
      <w:r w:rsidRPr="00377D3F">
        <w:rPr>
          <w:rFonts w:ascii="Calibri" w:hAnsi="Calibri" w:cs="Calibri"/>
          <w:i/>
          <w:iCs/>
          <w:sz w:val="22"/>
          <w:szCs w:val="22"/>
        </w:rPr>
        <w:t>International Journal of Qualitative Studies on Health and Well-being</w:t>
      </w:r>
      <w:r w:rsidRPr="00377D3F">
        <w:rPr>
          <w:rFonts w:ascii="Calibri" w:hAnsi="Calibri" w:cs="Calibri"/>
          <w:sz w:val="22"/>
          <w:szCs w:val="22"/>
        </w:rPr>
        <w:t xml:space="preserve">, </w:t>
      </w:r>
      <w:r w:rsidRPr="00377D3F">
        <w:rPr>
          <w:rFonts w:ascii="Calibri" w:hAnsi="Calibri" w:cs="Calibri"/>
          <w:i/>
          <w:iCs/>
          <w:sz w:val="22"/>
          <w:szCs w:val="22"/>
        </w:rPr>
        <w:t>20</w:t>
      </w:r>
      <w:r w:rsidRPr="00377D3F">
        <w:rPr>
          <w:rFonts w:ascii="Calibri" w:hAnsi="Calibri" w:cs="Calibri"/>
          <w:sz w:val="22"/>
          <w:szCs w:val="22"/>
        </w:rPr>
        <w:t>(1), 2602369.</w:t>
      </w:r>
    </w:p>
    <w:p w14:paraId="51881279" w14:textId="77777777" w:rsidR="00284DAF" w:rsidRPr="00377D3F" w:rsidRDefault="00284DAF" w:rsidP="00284DAF">
      <w:pPr>
        <w:rPr>
          <w:rFonts w:ascii="Calibri" w:hAnsi="Calibri" w:cs="Calibri"/>
          <w:sz w:val="22"/>
          <w:szCs w:val="22"/>
        </w:rPr>
      </w:pPr>
      <w:proofErr w:type="spellStart"/>
      <w:r w:rsidRPr="00377D3F">
        <w:rPr>
          <w:rFonts w:ascii="Calibri" w:hAnsi="Calibri" w:cs="Calibri"/>
          <w:sz w:val="22"/>
          <w:szCs w:val="22"/>
        </w:rPr>
        <w:t>Everway</w:t>
      </w:r>
      <w:proofErr w:type="spellEnd"/>
      <w:r w:rsidRPr="00377D3F">
        <w:rPr>
          <w:rFonts w:ascii="Calibri" w:hAnsi="Calibri" w:cs="Calibri"/>
          <w:sz w:val="22"/>
          <w:szCs w:val="22"/>
        </w:rPr>
        <w:t xml:space="preserve">. (2026). </w:t>
      </w:r>
      <w:r w:rsidRPr="00377D3F">
        <w:rPr>
          <w:rFonts w:ascii="Calibri" w:hAnsi="Calibri" w:cs="Calibri"/>
          <w:i/>
          <w:iCs/>
          <w:sz w:val="22"/>
          <w:szCs w:val="22"/>
        </w:rPr>
        <w:t>12 neurodiversity strengths that come from thinking differently</w:t>
      </w:r>
      <w:r w:rsidRPr="00377D3F">
        <w:rPr>
          <w:rFonts w:ascii="Calibri" w:hAnsi="Calibri" w:cs="Calibri"/>
          <w:sz w:val="22"/>
          <w:szCs w:val="22"/>
        </w:rPr>
        <w:t xml:space="preserve">. [online] </w:t>
      </w:r>
      <w:hyperlink r:id="rId8" w:history="1">
        <w:r w:rsidRPr="00377D3F">
          <w:rPr>
            <w:rStyle w:val="Hyperlink"/>
            <w:rFonts w:ascii="Calibri" w:hAnsi="Calibri" w:cs="Calibri"/>
            <w:sz w:val="22"/>
            <w:szCs w:val="22"/>
          </w:rPr>
          <w:t>https://www.everway.com/blog/12-neurodiversity-strengths-that-come-from-thinking-differently/</w:t>
        </w:r>
      </w:hyperlink>
    </w:p>
    <w:p w14:paraId="74BAC132" w14:textId="07217DAC" w:rsidR="00284DAF" w:rsidRPr="00377D3F" w:rsidRDefault="00284DAF" w:rsidP="00284DAF">
      <w:pPr>
        <w:rPr>
          <w:rFonts w:ascii="Calibri" w:hAnsi="Calibri" w:cs="Calibri"/>
          <w:sz w:val="22"/>
          <w:szCs w:val="22"/>
        </w:rPr>
      </w:pPr>
      <w:r w:rsidRPr="00377D3F">
        <w:rPr>
          <w:rFonts w:ascii="Calibri" w:hAnsi="Calibri" w:cs="Calibri"/>
          <w:sz w:val="22"/>
          <w:szCs w:val="22"/>
        </w:rPr>
        <w:t xml:space="preserve">Cannon, J. (2026). </w:t>
      </w:r>
      <w:r w:rsidRPr="00377D3F">
        <w:rPr>
          <w:rFonts w:ascii="Calibri" w:hAnsi="Calibri" w:cs="Calibri"/>
          <w:i/>
          <w:iCs/>
          <w:sz w:val="22"/>
          <w:szCs w:val="22"/>
        </w:rPr>
        <w:t>Neurodiversity in the workplace and steps to create neuro-inclusivity</w:t>
      </w:r>
      <w:r w:rsidRPr="00377D3F">
        <w:rPr>
          <w:rFonts w:ascii="Calibri" w:hAnsi="Calibri" w:cs="Calibri"/>
          <w:sz w:val="22"/>
          <w:szCs w:val="22"/>
        </w:rPr>
        <w:t>. Fox Williams. [online] https://www.foxwilliams.com/2026/03/16/neurodiversity-in-the-workplace-and-steps-to-create-neuro-inclusivity</w:t>
      </w:r>
    </w:p>
    <w:p w14:paraId="7E5FE4EF" w14:textId="08606D02" w:rsidR="00284DAF" w:rsidRPr="00BF4CE4" w:rsidRDefault="00284DAF" w:rsidP="00284DAF">
      <w:pPr>
        <w:rPr>
          <w:rFonts w:ascii="Calibri" w:hAnsi="Calibri" w:cs="Calibri"/>
          <w:sz w:val="22"/>
          <w:szCs w:val="22"/>
        </w:rPr>
      </w:pPr>
      <w:r w:rsidRPr="00BF4CE4">
        <w:rPr>
          <w:rFonts w:ascii="Calibri" w:hAnsi="Calibri" w:cs="Calibri"/>
          <w:sz w:val="22"/>
          <w:szCs w:val="22"/>
        </w:rPr>
        <w:lastRenderedPageBreak/>
        <w:t xml:space="preserve">Understood. </w:t>
      </w:r>
      <w:r w:rsidRPr="00377D3F">
        <w:rPr>
          <w:rFonts w:ascii="Calibri" w:hAnsi="Calibri" w:cs="Calibri"/>
          <w:sz w:val="22"/>
          <w:szCs w:val="22"/>
        </w:rPr>
        <w:t xml:space="preserve">(2025). </w:t>
      </w:r>
      <w:r w:rsidRPr="00BF4CE4">
        <w:rPr>
          <w:rFonts w:ascii="Calibri" w:hAnsi="Calibri" w:cs="Calibri"/>
          <w:i/>
          <w:iCs/>
          <w:sz w:val="22"/>
          <w:szCs w:val="22"/>
        </w:rPr>
        <w:t>New Research Finds the Creative Industry Is Failing Neurodivergent Talent</w:t>
      </w:r>
      <w:r w:rsidRPr="00BF4CE4">
        <w:rPr>
          <w:rFonts w:ascii="Calibri" w:hAnsi="Calibri" w:cs="Calibri"/>
          <w:sz w:val="22"/>
          <w:szCs w:val="22"/>
        </w:rPr>
        <w:t xml:space="preserve">. </w:t>
      </w:r>
      <w:r w:rsidRPr="00377D3F">
        <w:rPr>
          <w:rFonts w:ascii="Calibri" w:hAnsi="Calibri" w:cs="Calibri"/>
          <w:sz w:val="22"/>
          <w:szCs w:val="22"/>
        </w:rPr>
        <w:t xml:space="preserve">[online] </w:t>
      </w:r>
      <w:r w:rsidRPr="00BF4CE4">
        <w:rPr>
          <w:rFonts w:ascii="Calibri" w:hAnsi="Calibri" w:cs="Calibri"/>
          <w:sz w:val="22"/>
          <w:szCs w:val="22"/>
        </w:rPr>
        <w:t>https://www.understood.org/en/press-releases/2025-creativity-research</w:t>
      </w:r>
    </w:p>
    <w:sectPr w:rsidR="00284DAF" w:rsidRPr="00BF4C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DAF"/>
    <w:rsid w:val="0022698E"/>
    <w:rsid w:val="00284DAF"/>
    <w:rsid w:val="002B3ED1"/>
    <w:rsid w:val="00377D3F"/>
    <w:rsid w:val="004C002C"/>
    <w:rsid w:val="00571E66"/>
    <w:rsid w:val="0075062C"/>
    <w:rsid w:val="0088326B"/>
    <w:rsid w:val="008B3A9E"/>
    <w:rsid w:val="008E133C"/>
    <w:rsid w:val="00930F3B"/>
    <w:rsid w:val="009945B8"/>
    <w:rsid w:val="00A42589"/>
    <w:rsid w:val="00B84C80"/>
    <w:rsid w:val="00D51053"/>
    <w:rsid w:val="00D8344D"/>
    <w:rsid w:val="00DB2F8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771D"/>
  <w15:chartTrackingRefBased/>
  <w15:docId w15:val="{F359F6D6-CB4E-4294-B32C-E1ACB9A6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DAF"/>
  </w:style>
  <w:style w:type="paragraph" w:styleId="Heading1">
    <w:name w:val="heading 1"/>
    <w:basedOn w:val="Normal"/>
    <w:next w:val="Normal"/>
    <w:link w:val="Heading1Char"/>
    <w:uiPriority w:val="9"/>
    <w:qFormat/>
    <w:rsid w:val="00284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D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D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D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D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D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D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D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D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DAF"/>
    <w:rPr>
      <w:rFonts w:eastAsiaTheme="majorEastAsia" w:cstheme="majorBidi"/>
      <w:color w:val="272727" w:themeColor="text1" w:themeTint="D8"/>
    </w:rPr>
  </w:style>
  <w:style w:type="paragraph" w:styleId="Title">
    <w:name w:val="Title"/>
    <w:basedOn w:val="Normal"/>
    <w:next w:val="Normal"/>
    <w:link w:val="TitleChar"/>
    <w:uiPriority w:val="10"/>
    <w:qFormat/>
    <w:rsid w:val="00284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DAF"/>
    <w:pPr>
      <w:spacing w:before="160"/>
      <w:jc w:val="center"/>
    </w:pPr>
    <w:rPr>
      <w:i/>
      <w:iCs/>
      <w:color w:val="404040" w:themeColor="text1" w:themeTint="BF"/>
    </w:rPr>
  </w:style>
  <w:style w:type="character" w:customStyle="1" w:styleId="QuoteChar">
    <w:name w:val="Quote Char"/>
    <w:basedOn w:val="DefaultParagraphFont"/>
    <w:link w:val="Quote"/>
    <w:uiPriority w:val="29"/>
    <w:rsid w:val="00284DAF"/>
    <w:rPr>
      <w:i/>
      <w:iCs/>
      <w:color w:val="404040" w:themeColor="text1" w:themeTint="BF"/>
    </w:rPr>
  </w:style>
  <w:style w:type="paragraph" w:styleId="ListParagraph">
    <w:name w:val="List Paragraph"/>
    <w:basedOn w:val="Normal"/>
    <w:uiPriority w:val="34"/>
    <w:qFormat/>
    <w:rsid w:val="00284DAF"/>
    <w:pPr>
      <w:ind w:left="720"/>
      <w:contextualSpacing/>
    </w:pPr>
  </w:style>
  <w:style w:type="character" w:styleId="IntenseEmphasis">
    <w:name w:val="Intense Emphasis"/>
    <w:basedOn w:val="DefaultParagraphFont"/>
    <w:uiPriority w:val="21"/>
    <w:qFormat/>
    <w:rsid w:val="00284DAF"/>
    <w:rPr>
      <w:i/>
      <w:iCs/>
      <w:color w:val="0F4761" w:themeColor="accent1" w:themeShade="BF"/>
    </w:rPr>
  </w:style>
  <w:style w:type="paragraph" w:styleId="IntenseQuote">
    <w:name w:val="Intense Quote"/>
    <w:basedOn w:val="Normal"/>
    <w:next w:val="Normal"/>
    <w:link w:val="IntenseQuoteChar"/>
    <w:uiPriority w:val="30"/>
    <w:qFormat/>
    <w:rsid w:val="00284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DAF"/>
    <w:rPr>
      <w:i/>
      <w:iCs/>
      <w:color w:val="0F4761" w:themeColor="accent1" w:themeShade="BF"/>
    </w:rPr>
  </w:style>
  <w:style w:type="character" w:styleId="IntenseReference">
    <w:name w:val="Intense Reference"/>
    <w:basedOn w:val="DefaultParagraphFont"/>
    <w:uiPriority w:val="32"/>
    <w:qFormat/>
    <w:rsid w:val="00284DAF"/>
    <w:rPr>
      <w:b/>
      <w:bCs/>
      <w:smallCaps/>
      <w:color w:val="0F4761" w:themeColor="accent1" w:themeShade="BF"/>
      <w:spacing w:val="5"/>
    </w:rPr>
  </w:style>
  <w:style w:type="character" w:styleId="Hyperlink">
    <w:name w:val="Hyperlink"/>
    <w:basedOn w:val="DefaultParagraphFont"/>
    <w:uiPriority w:val="99"/>
    <w:unhideWhenUsed/>
    <w:rsid w:val="00284DAF"/>
    <w:rPr>
      <w:color w:val="467886" w:themeColor="hyperlink"/>
      <w:u w:val="single"/>
    </w:rPr>
  </w:style>
  <w:style w:type="character" w:styleId="UnresolvedMention">
    <w:name w:val="Unresolved Mention"/>
    <w:basedOn w:val="DefaultParagraphFont"/>
    <w:uiPriority w:val="99"/>
    <w:semiHidden/>
    <w:unhideWhenUsed/>
    <w:rsid w:val="00571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rway.com/blog/12-neurodiversity-strengths-that-come-from-thinking-differently/" TargetMode="External"/><Relationship Id="rId3" Type="http://schemas.openxmlformats.org/officeDocument/2006/relationships/webSettings" Target="webSettings.xml"/><Relationship Id="rId7" Type="http://schemas.openxmlformats.org/officeDocument/2006/relationships/hyperlink" Target="https://upcea.edu/new-research-highlights-a-disconnect-between-university-retention-strategies-and-adult-learner-prioriti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versitiesnz.ac.nz/latest-news-and-publications/people-who-leave-university-without-degree-%E2%80%93-choice-or-failure" TargetMode="External"/><Relationship Id="rId5" Type="http://schemas.openxmlformats.org/officeDocument/2006/relationships/hyperlink" Target="mailto:ivan.khmel@mediadesignschool.com" TargetMode="External"/><Relationship Id="rId10" Type="http://schemas.openxmlformats.org/officeDocument/2006/relationships/theme" Target="theme/theme1.xml"/><Relationship Id="rId4" Type="http://schemas.openxmlformats.org/officeDocument/2006/relationships/hyperlink" Target="mailto:tece.bayrak@mediadesignschoo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790</Words>
  <Characters>5543</Characters>
  <Application>Microsoft Office Word</Application>
  <DocSecurity>0</DocSecurity>
  <Lines>74</Lines>
  <Paragraphs>22</Paragraphs>
  <ScaleCrop>false</ScaleCrop>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 Tece Bayrak</dc:creator>
  <cp:keywords/>
  <dc:description/>
  <cp:lastModifiedBy>Asli Tece Bayrak</cp:lastModifiedBy>
  <cp:revision>4</cp:revision>
  <dcterms:created xsi:type="dcterms:W3CDTF">2026-04-17T01:17:00Z</dcterms:created>
  <dcterms:modified xsi:type="dcterms:W3CDTF">2026-04-17T01:45:00Z</dcterms:modified>
</cp:coreProperties>
</file>