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E328" w14:textId="2BAB9DD5" w:rsidR="005310C0" w:rsidRPr="00323281" w:rsidRDefault="00000000" w:rsidP="00585974">
      <w:pPr>
        <w:pStyle w:val="a0"/>
        <w:spacing w:before="0" w:after="0" w:line="360" w:lineRule="auto"/>
        <w:jc w:val="both"/>
        <w:rPr>
          <w:rFonts w:ascii="Calibri" w:eastAsiaTheme="majorEastAsia" w:hAnsi="Calibri" w:cs="Calibri"/>
          <w:b/>
          <w:sz w:val="22"/>
          <w:szCs w:val="22"/>
        </w:rPr>
      </w:pPr>
      <w:bookmarkStart w:id="0" w:name="X11ae428e19587168d5ee83c403aa830a55a0637"/>
      <w:bookmarkStart w:id="1" w:name="abstract"/>
      <w:r w:rsidRPr="00323281">
        <w:rPr>
          <w:rFonts w:ascii="Calibri" w:eastAsiaTheme="majorEastAsia" w:hAnsi="Calibri" w:cs="Calibri"/>
          <w:b/>
          <w:sz w:val="22"/>
          <w:szCs w:val="22"/>
        </w:rPr>
        <w:t>Entrepreneurship Education in Health Professions: Enhancing Career Readiness and Innovation Competencies among Future Healthcare Professionals</w:t>
      </w:r>
    </w:p>
    <w:p w14:paraId="4D4C63E7" w14:textId="77777777" w:rsidR="00F94791" w:rsidRPr="00323281" w:rsidRDefault="00F94791" w:rsidP="00585974">
      <w:pPr>
        <w:pStyle w:val="a0"/>
        <w:spacing w:before="0" w:after="0" w:line="360" w:lineRule="auto"/>
        <w:jc w:val="both"/>
        <w:rPr>
          <w:rFonts w:ascii="Calibri" w:hAnsi="Calibri" w:cs="Calibri"/>
          <w:sz w:val="22"/>
          <w:szCs w:val="22"/>
          <w:lang w:eastAsia="ja-JP"/>
        </w:rPr>
      </w:pPr>
    </w:p>
    <w:p w14:paraId="4E5F4D0D" w14:textId="0243B8CA" w:rsidR="00C45BFF" w:rsidRPr="00323281" w:rsidRDefault="00000000" w:rsidP="00585974">
      <w:pPr>
        <w:pStyle w:val="1"/>
        <w:spacing w:line="360" w:lineRule="auto"/>
        <w:jc w:val="both"/>
        <w:rPr>
          <w:rFonts w:ascii="Calibri" w:hAnsi="Calibri" w:cs="Calibri"/>
          <w:sz w:val="22"/>
          <w:szCs w:val="22"/>
          <w:lang w:val="en-US"/>
        </w:rPr>
      </w:pPr>
      <w:r w:rsidRPr="00323281">
        <w:rPr>
          <w:rFonts w:ascii="Calibri" w:hAnsi="Calibri" w:cs="Calibri"/>
          <w:sz w:val="22"/>
          <w:szCs w:val="22"/>
          <w:lang w:val="en-US"/>
        </w:rPr>
        <w:t>Abstract</w:t>
      </w:r>
    </w:p>
    <w:p w14:paraId="4A5EC0E5" w14:textId="2A8B8017" w:rsidR="00F94791" w:rsidRPr="00323281" w:rsidRDefault="00F07C34" w:rsidP="00585974">
      <w:pPr>
        <w:pStyle w:val="a0"/>
        <w:spacing w:after="0" w:line="360" w:lineRule="auto"/>
        <w:jc w:val="both"/>
        <w:rPr>
          <w:rFonts w:ascii="Calibri" w:hAnsi="Calibri" w:cs="Calibri"/>
          <w:sz w:val="22"/>
          <w:szCs w:val="22"/>
        </w:rPr>
      </w:pPr>
      <w:r w:rsidRPr="00323281">
        <w:rPr>
          <w:rFonts w:ascii="Calibri" w:hAnsi="Calibri" w:cs="Calibri"/>
          <w:sz w:val="22"/>
          <w:szCs w:val="22"/>
        </w:rPr>
        <w:t>Healthcare systems are undergoing profound transformation</w:t>
      </w:r>
      <w:r w:rsidRPr="00323281">
        <w:rPr>
          <w:rFonts w:ascii="Calibri" w:eastAsia="游明朝" w:hAnsi="Calibri" w:cs="Calibri"/>
          <w:sz w:val="22"/>
          <w:szCs w:val="22"/>
        </w:rPr>
        <w:t>s, driven by technological innovation, demographic shifts, and increasing societal complexity</w:t>
      </w:r>
      <w:r w:rsidR="00414B83" w:rsidRPr="00323281">
        <w:rPr>
          <w:rFonts w:ascii="Calibri" w:eastAsia="游明朝" w:hAnsi="Calibri" w:cs="Calibri"/>
          <w:sz w:val="22"/>
          <w:szCs w:val="22"/>
        </w:rPr>
        <w:t>. As such</w:t>
      </w:r>
      <w:r w:rsidRPr="00323281">
        <w:rPr>
          <w:rFonts w:ascii="Calibri" w:eastAsia="游明朝" w:hAnsi="Calibri" w:cs="Calibri"/>
          <w:sz w:val="22"/>
          <w:szCs w:val="22"/>
        </w:rPr>
        <w:t>, future healthcare professionals</w:t>
      </w:r>
      <w:r w:rsidR="00414B83" w:rsidRPr="00323281">
        <w:rPr>
          <w:rFonts w:ascii="Calibri" w:eastAsia="游明朝" w:hAnsi="Calibri" w:cs="Calibri"/>
          <w:sz w:val="22"/>
          <w:szCs w:val="22"/>
        </w:rPr>
        <w:t>’ career development</w:t>
      </w:r>
      <w:r w:rsidRPr="00323281">
        <w:rPr>
          <w:rFonts w:ascii="Calibri" w:eastAsia="游明朝" w:hAnsi="Calibri" w:cs="Calibri"/>
          <w:sz w:val="22"/>
          <w:szCs w:val="22"/>
        </w:rPr>
        <w:t xml:space="preserve"> has become an increasingly important concern </w:t>
      </w:r>
      <w:r w:rsidRPr="00323281">
        <w:rPr>
          <w:rFonts w:ascii="Calibri" w:hAnsi="Calibri" w:cs="Calibri"/>
          <w:sz w:val="22"/>
          <w:szCs w:val="22"/>
        </w:rPr>
        <w:t xml:space="preserve">in higher education. </w:t>
      </w:r>
      <w:r w:rsidR="00544B0E" w:rsidRPr="00323281">
        <w:rPr>
          <w:rFonts w:ascii="Calibri" w:hAnsi="Calibri" w:cs="Calibri"/>
          <w:sz w:val="22"/>
          <w:szCs w:val="22"/>
        </w:rPr>
        <w:t>Besides</w:t>
      </w:r>
      <w:r w:rsidRPr="00323281">
        <w:rPr>
          <w:rFonts w:ascii="Calibri" w:hAnsi="Calibri" w:cs="Calibri"/>
          <w:sz w:val="22"/>
          <w:szCs w:val="22"/>
        </w:rPr>
        <w:t xml:space="preserve"> delivering high-quality clinical care, healthcare professionals are now expected to contribute to innovation, interdisciplinary collaboration, and system-level problem-solving. However, traditional medical and health profession</w:t>
      </w:r>
      <w:r w:rsidR="00D77146" w:rsidRPr="00323281">
        <w:rPr>
          <w:rFonts w:ascii="Calibri" w:hAnsi="Calibri" w:cs="Calibri"/>
          <w:sz w:val="22"/>
          <w:szCs w:val="22"/>
        </w:rPr>
        <w:t>al</w:t>
      </w:r>
      <w:r w:rsidRPr="00323281">
        <w:rPr>
          <w:rFonts w:ascii="Calibri" w:hAnsi="Calibri" w:cs="Calibri"/>
          <w:sz w:val="22"/>
          <w:szCs w:val="22"/>
        </w:rPr>
        <w:t xml:space="preserve"> education has largely focused on preparing students for linear career pathways centered on clinical practice. Such approaches may limit student awareness of diverse professional opportunities</w:t>
      </w:r>
      <w:r w:rsidR="00D77146" w:rsidRPr="00323281">
        <w:rPr>
          <w:rFonts w:ascii="Calibri" w:hAnsi="Calibri" w:cs="Calibri"/>
          <w:sz w:val="22"/>
          <w:szCs w:val="22"/>
        </w:rPr>
        <w:t>,</w:t>
      </w:r>
      <w:r w:rsidRPr="00323281">
        <w:rPr>
          <w:rFonts w:ascii="Calibri" w:hAnsi="Calibri" w:cs="Calibri"/>
          <w:sz w:val="22"/>
          <w:szCs w:val="22"/>
        </w:rPr>
        <w:t xml:space="preserve"> and their ability to proactively </w:t>
      </w:r>
      <w:r w:rsidR="00D77146" w:rsidRPr="00323281">
        <w:rPr>
          <w:rFonts w:ascii="Calibri" w:hAnsi="Calibri" w:cs="Calibri"/>
          <w:sz w:val="22"/>
          <w:szCs w:val="22"/>
        </w:rPr>
        <w:t xml:space="preserve">respond </w:t>
      </w:r>
      <w:r w:rsidRPr="00323281">
        <w:rPr>
          <w:rFonts w:ascii="Calibri" w:hAnsi="Calibri" w:cs="Calibri"/>
          <w:sz w:val="22"/>
          <w:szCs w:val="22"/>
        </w:rPr>
        <w:t xml:space="preserve">to emerging societal and healthcare challenges. Entrepreneurship education (EE) has recently attracted growing attention as an educational approach </w:t>
      </w:r>
      <w:r w:rsidR="006C3774" w:rsidRPr="00323281">
        <w:rPr>
          <w:rFonts w:ascii="Calibri" w:hAnsi="Calibri" w:cs="Calibri"/>
          <w:sz w:val="22"/>
          <w:szCs w:val="22"/>
        </w:rPr>
        <w:t xml:space="preserve">which </w:t>
      </w:r>
      <w:r w:rsidRPr="00323281">
        <w:rPr>
          <w:rFonts w:ascii="Calibri" w:hAnsi="Calibri" w:cs="Calibri"/>
          <w:sz w:val="22"/>
          <w:szCs w:val="22"/>
        </w:rPr>
        <w:t>may strengthen students’ career adaptability, employability, and capacity to address complex social problems. T</w:t>
      </w:r>
      <w:r w:rsidRPr="00323281">
        <w:rPr>
          <w:rFonts w:ascii="Calibri" w:eastAsia="游明朝" w:hAnsi="Calibri" w:cs="Calibri"/>
          <w:sz w:val="22"/>
          <w:szCs w:val="22"/>
        </w:rPr>
        <w:t xml:space="preserve">herefore, this study </w:t>
      </w:r>
      <w:r w:rsidRPr="00323281">
        <w:rPr>
          <w:rFonts w:ascii="Calibri" w:hAnsi="Calibri" w:cs="Calibri"/>
          <w:sz w:val="22"/>
          <w:szCs w:val="22"/>
        </w:rPr>
        <w:t>examines entrepreneurship education</w:t>
      </w:r>
      <w:r w:rsidR="00E14764" w:rsidRPr="00323281">
        <w:rPr>
          <w:rFonts w:ascii="Calibri" w:hAnsi="Calibri" w:cs="Calibri"/>
          <w:sz w:val="22"/>
          <w:szCs w:val="22"/>
        </w:rPr>
        <w:t>’s role</w:t>
      </w:r>
      <w:r w:rsidRPr="00323281">
        <w:rPr>
          <w:rFonts w:ascii="Calibri" w:hAnsi="Calibri" w:cs="Calibri"/>
          <w:sz w:val="22"/>
          <w:szCs w:val="22"/>
        </w:rPr>
        <w:t xml:space="preserve"> in fostering career readiness and innovation-oriented competencies among medical and health science students in Japan.</w:t>
      </w:r>
    </w:p>
    <w:p w14:paraId="301AF320" w14:textId="77777777" w:rsidR="00F94791" w:rsidRPr="00323281" w:rsidRDefault="00F94791" w:rsidP="00585974">
      <w:pPr>
        <w:pStyle w:val="a0"/>
        <w:spacing w:after="0" w:line="360" w:lineRule="auto"/>
        <w:jc w:val="both"/>
        <w:rPr>
          <w:rFonts w:ascii="Calibri" w:hAnsi="Calibri" w:cs="Calibri"/>
          <w:sz w:val="22"/>
          <w:szCs w:val="22"/>
        </w:rPr>
      </w:pPr>
    </w:p>
    <w:p w14:paraId="14EDD59D" w14:textId="103F7FAA" w:rsidR="00F94791" w:rsidRPr="00323281" w:rsidRDefault="00637AA7" w:rsidP="00585974">
      <w:pPr>
        <w:pStyle w:val="a0"/>
        <w:spacing w:after="0" w:line="360" w:lineRule="auto"/>
        <w:jc w:val="both"/>
        <w:rPr>
          <w:rFonts w:ascii="Calibri" w:hAnsi="Calibri" w:cs="Calibri"/>
          <w:sz w:val="22"/>
          <w:szCs w:val="22"/>
        </w:rPr>
      </w:pPr>
      <w:r w:rsidRPr="00323281">
        <w:rPr>
          <w:rFonts w:ascii="Calibri" w:hAnsi="Calibri" w:cs="Calibri"/>
          <w:sz w:val="22"/>
          <w:szCs w:val="22"/>
        </w:rPr>
        <w:t xml:space="preserve">It draws on large-scale survey data from the </w:t>
      </w:r>
      <w:proofErr w:type="spellStart"/>
      <w:r w:rsidRPr="00323281">
        <w:rPr>
          <w:rFonts w:ascii="Calibri" w:hAnsi="Calibri" w:cs="Calibri"/>
          <w:sz w:val="22"/>
          <w:szCs w:val="22"/>
        </w:rPr>
        <w:t>Tongali</w:t>
      </w:r>
      <w:proofErr w:type="spellEnd"/>
      <w:r w:rsidRPr="00323281">
        <w:rPr>
          <w:rFonts w:ascii="Calibri" w:hAnsi="Calibri" w:cs="Calibri"/>
          <w:sz w:val="22"/>
          <w:szCs w:val="22"/>
        </w:rPr>
        <w:t xml:space="preserve"> Project (N &gt; 6,500), a multi-university entrepreneurship education initiative involving universities across Japan’s Tokai region. This project promotes entrepreneurial mindsets and interdisciplinary learning through educational programs, workshops, and experiential learning opportunities designed to cultivate problem-solving and innovation capabilities among university students. Focusing on students enrolled in medical and health-related programs, this study investigates how participation in entrepreneurship education influences the development of entrepreneurial competencies, including opportunity recognition, problem solving, leadership, initiative, and value creation. These competencies are conceptualized as transferable and innovation-oriented capabilities </w:t>
      </w:r>
      <w:r w:rsidR="00793BEB" w:rsidRPr="00323281">
        <w:rPr>
          <w:rFonts w:ascii="Calibri" w:hAnsi="Calibri" w:cs="Calibri"/>
          <w:sz w:val="22"/>
          <w:szCs w:val="22"/>
        </w:rPr>
        <w:t>which</w:t>
      </w:r>
      <w:r w:rsidR="00486438" w:rsidRPr="00323281">
        <w:rPr>
          <w:rFonts w:ascii="Calibri" w:hAnsi="Calibri" w:cs="Calibri"/>
          <w:sz w:val="22"/>
          <w:szCs w:val="22"/>
        </w:rPr>
        <w:t xml:space="preserve"> </w:t>
      </w:r>
      <w:r w:rsidRPr="00323281">
        <w:rPr>
          <w:rFonts w:ascii="Calibri" w:hAnsi="Calibri" w:cs="Calibri"/>
          <w:sz w:val="22"/>
          <w:szCs w:val="22"/>
        </w:rPr>
        <w:t>may enhance student preparedness for complex and evolving career environments within the healthcare sector.</w:t>
      </w:r>
    </w:p>
    <w:p w14:paraId="0328AA5A" w14:textId="77777777" w:rsidR="00F94791" w:rsidRPr="00323281" w:rsidRDefault="00F94791" w:rsidP="00585974">
      <w:pPr>
        <w:pStyle w:val="a0"/>
        <w:spacing w:after="0" w:line="360" w:lineRule="auto"/>
        <w:jc w:val="both"/>
        <w:rPr>
          <w:rFonts w:ascii="Calibri" w:hAnsi="Calibri" w:cs="Calibri"/>
          <w:sz w:val="22"/>
          <w:szCs w:val="22"/>
        </w:rPr>
      </w:pPr>
    </w:p>
    <w:p w14:paraId="4A1BE8A8" w14:textId="212D516F" w:rsidR="00F94791" w:rsidRPr="00323281" w:rsidRDefault="00000000" w:rsidP="00585974">
      <w:pPr>
        <w:pStyle w:val="a0"/>
        <w:spacing w:after="0" w:line="360" w:lineRule="auto"/>
        <w:jc w:val="both"/>
        <w:rPr>
          <w:rFonts w:ascii="Calibri" w:hAnsi="Calibri" w:cs="Calibri"/>
          <w:sz w:val="22"/>
          <w:szCs w:val="22"/>
        </w:rPr>
      </w:pPr>
      <w:r w:rsidRPr="00323281">
        <w:rPr>
          <w:rFonts w:ascii="Calibri" w:hAnsi="Calibri" w:cs="Calibri"/>
          <w:sz w:val="22"/>
          <w:szCs w:val="22"/>
        </w:rPr>
        <w:lastRenderedPageBreak/>
        <w:t>Quantitative analyses indicate</w:t>
      </w:r>
      <w:r w:rsidRPr="00323281">
        <w:rPr>
          <w:rFonts w:ascii="Calibri" w:eastAsia="游明朝" w:hAnsi="Calibri" w:cs="Calibri"/>
          <w:sz w:val="22"/>
          <w:szCs w:val="22"/>
        </w:rPr>
        <w:t xml:space="preserve"> that </w:t>
      </w:r>
      <w:r w:rsidRPr="00323281">
        <w:rPr>
          <w:rFonts w:ascii="Calibri" w:hAnsi="Calibri" w:cs="Calibri"/>
          <w:sz w:val="22"/>
          <w:szCs w:val="22"/>
        </w:rPr>
        <w:t xml:space="preserve">students who participate in entrepreneurship education demonstrate significantly higher entrepreneurial competencies than students without </w:t>
      </w:r>
      <w:r w:rsidR="00805B6A" w:rsidRPr="00323281">
        <w:rPr>
          <w:rFonts w:ascii="Calibri" w:hAnsi="Calibri" w:cs="Calibri"/>
          <w:sz w:val="22"/>
          <w:szCs w:val="22"/>
        </w:rPr>
        <w:t>entrepreneurship education</w:t>
      </w:r>
      <w:r w:rsidRPr="00323281">
        <w:rPr>
          <w:rFonts w:ascii="Calibri" w:hAnsi="Calibri" w:cs="Calibri"/>
          <w:sz w:val="22"/>
          <w:szCs w:val="22"/>
        </w:rPr>
        <w:t xml:space="preserve"> exposure. Moreover, the development of these competencies is positively associated with broader career readiness</w:t>
      </w:r>
      <w:r w:rsidR="009159B6" w:rsidRPr="00323281">
        <w:rPr>
          <w:rFonts w:ascii="Calibri" w:hAnsi="Calibri" w:cs="Calibri"/>
          <w:sz w:val="22"/>
          <w:szCs w:val="22"/>
        </w:rPr>
        <w:t xml:space="preserve"> indicators</w:t>
      </w:r>
      <w:r w:rsidRPr="00323281">
        <w:rPr>
          <w:rFonts w:ascii="Calibri" w:hAnsi="Calibri" w:cs="Calibri"/>
          <w:sz w:val="22"/>
          <w:szCs w:val="22"/>
        </w:rPr>
        <w:t xml:space="preserve">, including increased openness to non-traditional healthcare career pathways and greater confidence in navigating uncertain professional environments. In particular, students exposed to entrepreneurship education show </w:t>
      </w:r>
      <w:r w:rsidRPr="00323281">
        <w:rPr>
          <w:rFonts w:ascii="Calibri" w:eastAsia="游明朝" w:hAnsi="Calibri" w:cs="Calibri"/>
          <w:sz w:val="22"/>
          <w:szCs w:val="22"/>
        </w:rPr>
        <w:t xml:space="preserve">a stronger interest in emerging professional domains such as healthcare innovation, digital health, social entrepreneurship, community-based healthcare initiatives, and interdisciplinary collaboration. </w:t>
      </w:r>
      <w:r w:rsidR="00D34B88" w:rsidRPr="00323281">
        <w:rPr>
          <w:rFonts w:ascii="Calibri" w:eastAsia="游明朝" w:hAnsi="Calibri" w:cs="Calibri"/>
          <w:sz w:val="22"/>
          <w:szCs w:val="22"/>
        </w:rPr>
        <w:t>Thus,</w:t>
      </w:r>
      <w:r w:rsidRPr="00323281">
        <w:rPr>
          <w:rFonts w:ascii="Calibri" w:eastAsia="游明朝" w:hAnsi="Calibri" w:cs="Calibri"/>
          <w:sz w:val="22"/>
          <w:szCs w:val="22"/>
        </w:rPr>
        <w:t xml:space="preserve"> entrepreneurship education not only strengthens specific entrepreneurial competencies, but also expands students’ awareness of diverse career opportunities within the healthcare sector.</w:t>
      </w:r>
    </w:p>
    <w:p w14:paraId="2BB94416" w14:textId="77777777" w:rsidR="00F94791" w:rsidRPr="00323281" w:rsidRDefault="00F94791" w:rsidP="00585974">
      <w:pPr>
        <w:pStyle w:val="a0"/>
        <w:spacing w:after="0" w:line="360" w:lineRule="auto"/>
        <w:jc w:val="both"/>
        <w:rPr>
          <w:rFonts w:ascii="Calibri" w:hAnsi="Calibri" w:cs="Calibri"/>
          <w:sz w:val="22"/>
          <w:szCs w:val="22"/>
        </w:rPr>
      </w:pPr>
    </w:p>
    <w:p w14:paraId="7D75BC4E" w14:textId="5AE9F1E1" w:rsidR="00F94791" w:rsidRPr="00323281" w:rsidRDefault="00895396" w:rsidP="00585974">
      <w:pPr>
        <w:pStyle w:val="a0"/>
        <w:spacing w:after="0" w:line="360" w:lineRule="auto"/>
        <w:jc w:val="both"/>
        <w:rPr>
          <w:rFonts w:ascii="Calibri" w:hAnsi="Calibri" w:cs="Calibri"/>
          <w:sz w:val="22"/>
          <w:szCs w:val="22"/>
        </w:rPr>
      </w:pPr>
      <w:r w:rsidRPr="00323281">
        <w:rPr>
          <w:rFonts w:ascii="Calibri" w:hAnsi="Calibri" w:cs="Calibri"/>
          <w:sz w:val="22"/>
          <w:szCs w:val="22"/>
        </w:rPr>
        <w:t>Moreover,</w:t>
      </w:r>
      <w:r w:rsidRPr="00323281">
        <w:rPr>
          <w:rFonts w:ascii="Calibri" w:eastAsia="游明朝" w:hAnsi="Calibri" w:cs="Calibri"/>
          <w:sz w:val="22"/>
          <w:szCs w:val="22"/>
        </w:rPr>
        <w:t xml:space="preserve"> entrepreneurship education can complement professional identity formation among healthcare students. Rather than weakening commitment to clinical practice, entrepreneurship education strengthen</w:t>
      </w:r>
      <w:r w:rsidR="00B870CE" w:rsidRPr="00323281">
        <w:rPr>
          <w:rFonts w:ascii="Calibri" w:eastAsia="游明朝" w:hAnsi="Calibri" w:cs="Calibri"/>
          <w:sz w:val="22"/>
          <w:szCs w:val="22"/>
        </w:rPr>
        <w:t>s</w:t>
      </w:r>
      <w:r w:rsidRPr="00323281">
        <w:rPr>
          <w:rFonts w:ascii="Calibri" w:eastAsia="游明朝" w:hAnsi="Calibri" w:cs="Calibri"/>
          <w:sz w:val="22"/>
          <w:szCs w:val="22"/>
        </w:rPr>
        <w:t xml:space="preserve"> students’ sense of agency and responsibility </w:t>
      </w:r>
      <w:r w:rsidRPr="00323281">
        <w:rPr>
          <w:rFonts w:ascii="Calibri" w:hAnsi="Calibri" w:cs="Calibri"/>
          <w:sz w:val="22"/>
          <w:szCs w:val="22"/>
        </w:rPr>
        <w:t>for improving healthcare systems and addressing societal challenges. In the Japanese context, where healthcare systems face pressing issues</w:t>
      </w:r>
      <w:r w:rsidRPr="00323281">
        <w:rPr>
          <w:rFonts w:ascii="Calibri" w:eastAsia="游明朝" w:hAnsi="Calibri" w:cs="Calibri"/>
          <w:sz w:val="22"/>
          <w:szCs w:val="22"/>
        </w:rPr>
        <w:t xml:space="preserve"> such as rapid population aging, regional disparities in healthcare access, and increasing demands for healthcare delivery</w:t>
      </w:r>
      <w:r w:rsidR="00853C17" w:rsidRPr="00323281">
        <w:rPr>
          <w:rFonts w:ascii="Calibri" w:eastAsia="游明朝" w:hAnsi="Calibri" w:cs="Calibri"/>
          <w:sz w:val="22"/>
          <w:szCs w:val="22"/>
        </w:rPr>
        <w:t xml:space="preserve"> innovation</w:t>
      </w:r>
      <w:r w:rsidRPr="00323281">
        <w:rPr>
          <w:rFonts w:ascii="Calibri" w:eastAsia="游明朝" w:hAnsi="Calibri" w:cs="Calibri"/>
          <w:sz w:val="22"/>
          <w:szCs w:val="22"/>
        </w:rPr>
        <w:t>, such competencies may be particularly valuable.</w:t>
      </w:r>
    </w:p>
    <w:p w14:paraId="28C60502" w14:textId="77777777" w:rsidR="00F94791" w:rsidRPr="00323281" w:rsidRDefault="00F94791" w:rsidP="00585974">
      <w:pPr>
        <w:pStyle w:val="a0"/>
        <w:spacing w:after="0" w:line="360" w:lineRule="auto"/>
        <w:jc w:val="both"/>
        <w:rPr>
          <w:rFonts w:ascii="Calibri" w:hAnsi="Calibri" w:cs="Calibri"/>
          <w:sz w:val="22"/>
          <w:szCs w:val="22"/>
        </w:rPr>
      </w:pPr>
    </w:p>
    <w:p w14:paraId="4FBADD31" w14:textId="68CDEFB2" w:rsidR="00F94791" w:rsidRPr="00323281" w:rsidRDefault="00000000" w:rsidP="00585974">
      <w:pPr>
        <w:pStyle w:val="a0"/>
        <w:spacing w:after="0" w:line="360" w:lineRule="auto"/>
        <w:jc w:val="both"/>
        <w:rPr>
          <w:rFonts w:ascii="Calibri" w:hAnsi="Calibri" w:cs="Calibri"/>
          <w:sz w:val="22"/>
          <w:szCs w:val="22"/>
        </w:rPr>
      </w:pPr>
      <w:r w:rsidRPr="00323281">
        <w:rPr>
          <w:rFonts w:ascii="Calibri" w:hAnsi="Calibri" w:cs="Calibri"/>
          <w:sz w:val="22"/>
          <w:szCs w:val="22"/>
        </w:rPr>
        <w:t>By positioning entrepreneurial competencies as an important component of career readiness in health</w:t>
      </w:r>
      <w:r w:rsidR="000B7377" w:rsidRPr="00323281">
        <w:rPr>
          <w:rFonts w:ascii="Calibri" w:hAnsi="Calibri" w:cs="Calibri"/>
          <w:sz w:val="22"/>
          <w:szCs w:val="22"/>
        </w:rPr>
        <w:t>care</w:t>
      </w:r>
      <w:r w:rsidRPr="00323281">
        <w:rPr>
          <w:rFonts w:ascii="Calibri" w:hAnsi="Calibri" w:cs="Calibri"/>
          <w:sz w:val="22"/>
          <w:szCs w:val="22"/>
        </w:rPr>
        <w:t xml:space="preserve"> education, this study contributes to international discussion</w:t>
      </w:r>
      <w:r w:rsidRPr="00323281">
        <w:rPr>
          <w:rFonts w:ascii="Calibri" w:eastAsia="游明朝" w:hAnsi="Calibri" w:cs="Calibri"/>
          <w:sz w:val="22"/>
          <w:szCs w:val="22"/>
        </w:rPr>
        <w:t xml:space="preserve">s on career education, employability, and innovation in higher education. </w:t>
      </w:r>
      <w:r w:rsidR="0014281D" w:rsidRPr="00323281">
        <w:rPr>
          <w:rFonts w:ascii="Calibri" w:eastAsia="游明朝" w:hAnsi="Calibri" w:cs="Calibri"/>
          <w:sz w:val="22"/>
          <w:szCs w:val="22"/>
        </w:rPr>
        <w:t>Moreover, t</w:t>
      </w:r>
      <w:r w:rsidRPr="00323281">
        <w:rPr>
          <w:rFonts w:ascii="Calibri" w:eastAsia="游明朝" w:hAnsi="Calibri" w:cs="Calibri"/>
          <w:sz w:val="22"/>
          <w:szCs w:val="22"/>
        </w:rPr>
        <w:t xml:space="preserve">he results highlight the potential of </w:t>
      </w:r>
      <w:r w:rsidRPr="00323281">
        <w:rPr>
          <w:rFonts w:ascii="Calibri" w:hAnsi="Calibri" w:cs="Calibri"/>
          <w:sz w:val="22"/>
          <w:szCs w:val="22"/>
        </w:rPr>
        <w:t>integrating entrepreneurship education into medical and health sciences curricula to prepare future healthcare professionals for complex and evolving career landscapes.</w:t>
      </w:r>
    </w:p>
    <w:p w14:paraId="4EC474DF" w14:textId="77777777" w:rsidR="00F94791" w:rsidRPr="00323281" w:rsidRDefault="00F94791" w:rsidP="00585974">
      <w:pPr>
        <w:pStyle w:val="a0"/>
        <w:spacing w:after="0" w:line="360" w:lineRule="auto"/>
        <w:jc w:val="both"/>
        <w:rPr>
          <w:rFonts w:ascii="Calibri" w:hAnsi="Calibri" w:cs="Calibri"/>
          <w:sz w:val="22"/>
          <w:szCs w:val="22"/>
        </w:rPr>
      </w:pPr>
    </w:p>
    <w:p w14:paraId="3AB8CFFE" w14:textId="56F4C3BD" w:rsidR="00ED251E" w:rsidRPr="00323281" w:rsidRDefault="00000000" w:rsidP="00585974">
      <w:pPr>
        <w:pStyle w:val="a0"/>
        <w:spacing w:before="0" w:after="0" w:line="360" w:lineRule="auto"/>
        <w:jc w:val="both"/>
        <w:rPr>
          <w:rFonts w:ascii="Calibri" w:hAnsi="Calibri" w:cs="Calibri"/>
          <w:sz w:val="22"/>
          <w:szCs w:val="22"/>
        </w:rPr>
      </w:pPr>
      <w:r w:rsidRPr="00323281">
        <w:rPr>
          <w:rFonts w:ascii="Calibri" w:hAnsi="Calibri" w:cs="Calibri"/>
          <w:sz w:val="22"/>
          <w:szCs w:val="22"/>
        </w:rPr>
        <w:t xml:space="preserve">For educators and policymakers, this study suggests that entrepreneurship-informed career education can play a meaningful role in cultivating adaptive, opportunity-oriented healthcare professionals capable of contributing to healthcare innovation and societal well-being. </w:t>
      </w:r>
      <w:r w:rsidRPr="00323281">
        <w:rPr>
          <w:rFonts w:ascii="Calibri" w:hAnsi="Calibri" w:cs="Calibri"/>
          <w:sz w:val="22"/>
          <w:szCs w:val="22"/>
        </w:rPr>
        <w:lastRenderedPageBreak/>
        <w:t>Integrating such educational approaches into health</w:t>
      </w:r>
      <w:r w:rsidRPr="00323281">
        <w:rPr>
          <w:rFonts w:ascii="Calibri" w:eastAsia="游明朝" w:hAnsi="Calibri" w:cs="Calibri"/>
          <w:sz w:val="22"/>
          <w:szCs w:val="22"/>
        </w:rPr>
        <w:t xml:space="preserve">care </w:t>
      </w:r>
      <w:r w:rsidRPr="00323281">
        <w:rPr>
          <w:rFonts w:ascii="Calibri" w:hAnsi="Calibri" w:cs="Calibri"/>
          <w:sz w:val="22"/>
          <w:szCs w:val="22"/>
        </w:rPr>
        <w:t>education may</w:t>
      </w:r>
      <w:r w:rsidRPr="00323281">
        <w:rPr>
          <w:rFonts w:ascii="Calibri" w:eastAsia="游明朝" w:hAnsi="Calibri" w:cs="Calibri"/>
          <w:sz w:val="22"/>
          <w:szCs w:val="22"/>
        </w:rPr>
        <w:t xml:space="preserve"> </w:t>
      </w:r>
      <w:r w:rsidR="002664B7" w:rsidRPr="00323281">
        <w:rPr>
          <w:rFonts w:ascii="Calibri" w:eastAsia="游明朝" w:hAnsi="Calibri" w:cs="Calibri"/>
          <w:sz w:val="22"/>
          <w:szCs w:val="22"/>
        </w:rPr>
        <w:t>help support</w:t>
      </w:r>
      <w:r w:rsidRPr="00323281">
        <w:rPr>
          <w:rFonts w:ascii="Calibri" w:eastAsia="游明朝" w:hAnsi="Calibri" w:cs="Calibri"/>
          <w:sz w:val="22"/>
          <w:szCs w:val="22"/>
        </w:rPr>
        <w:t xml:space="preserve"> sustainable healthcare systems and expand career possibilities for future professionals.</w:t>
      </w:r>
    </w:p>
    <w:p w14:paraId="270BA131" w14:textId="77777777" w:rsidR="00F94791" w:rsidRPr="00323281" w:rsidRDefault="00F94791" w:rsidP="00585974">
      <w:pPr>
        <w:pStyle w:val="a0"/>
        <w:spacing w:before="0" w:after="0" w:line="360" w:lineRule="auto"/>
        <w:jc w:val="both"/>
        <w:rPr>
          <w:rFonts w:ascii="Calibri" w:hAnsi="Calibri" w:cs="Calibri"/>
          <w:sz w:val="22"/>
          <w:szCs w:val="22"/>
          <w:lang w:eastAsia="ja-JP"/>
        </w:rPr>
      </w:pPr>
    </w:p>
    <w:p w14:paraId="7A06D49C" w14:textId="78534873" w:rsidR="00E1775B" w:rsidRPr="00323281" w:rsidRDefault="00000000" w:rsidP="00585974">
      <w:pPr>
        <w:pStyle w:val="1"/>
        <w:spacing w:line="360" w:lineRule="auto"/>
        <w:jc w:val="both"/>
        <w:rPr>
          <w:rFonts w:ascii="Calibri" w:hAnsi="Calibri" w:cs="Calibri"/>
          <w:sz w:val="22"/>
          <w:szCs w:val="22"/>
          <w:lang w:val="en-US"/>
        </w:rPr>
      </w:pPr>
      <w:r w:rsidRPr="00323281">
        <w:rPr>
          <w:rFonts w:ascii="Calibri" w:hAnsi="Calibri" w:cs="Calibri"/>
          <w:sz w:val="22"/>
          <w:szCs w:val="22"/>
          <w:lang w:val="en-US"/>
        </w:rPr>
        <w:t>Keywords</w:t>
      </w:r>
    </w:p>
    <w:p w14:paraId="547AE235" w14:textId="34AB34A1" w:rsidR="00F94791" w:rsidRPr="00323281" w:rsidRDefault="00000000" w:rsidP="00585974">
      <w:pPr>
        <w:pStyle w:val="a0"/>
        <w:spacing w:before="0" w:after="0" w:line="360" w:lineRule="auto"/>
        <w:jc w:val="both"/>
        <w:rPr>
          <w:rFonts w:ascii="Calibri" w:hAnsi="Calibri" w:cs="Calibri"/>
          <w:sz w:val="22"/>
          <w:szCs w:val="22"/>
          <w:lang w:eastAsia="ja-JP"/>
        </w:rPr>
      </w:pPr>
      <w:r w:rsidRPr="00323281">
        <w:rPr>
          <w:rFonts w:ascii="Calibri" w:hAnsi="Calibri" w:cs="Calibri"/>
          <w:sz w:val="22"/>
          <w:szCs w:val="22"/>
          <w:lang w:eastAsia="ja-JP"/>
        </w:rPr>
        <w:t>entrepreneurship education; career readiness; medical students; entrepreneurial competencies; career development</w:t>
      </w:r>
    </w:p>
    <w:p w14:paraId="1E1E6B75" w14:textId="0433A32E" w:rsidR="00F94791" w:rsidRPr="00323281" w:rsidRDefault="00F94791" w:rsidP="00585974">
      <w:pPr>
        <w:spacing w:line="360" w:lineRule="auto"/>
        <w:jc w:val="both"/>
        <w:rPr>
          <w:rFonts w:ascii="Calibri" w:hAnsi="Calibri" w:cs="Calibri"/>
          <w:sz w:val="22"/>
          <w:szCs w:val="22"/>
          <w:lang w:eastAsia="ja-JP"/>
        </w:rPr>
      </w:pPr>
    </w:p>
    <w:bookmarkEnd w:id="0"/>
    <w:bookmarkEnd w:id="1"/>
    <w:p w14:paraId="47080193" w14:textId="03CE4EF3" w:rsidR="00F94791" w:rsidRPr="00323281" w:rsidRDefault="00F94791" w:rsidP="00585974">
      <w:pPr>
        <w:spacing w:line="360" w:lineRule="auto"/>
        <w:jc w:val="both"/>
        <w:rPr>
          <w:rFonts w:ascii="Calibri" w:hAnsi="Calibri" w:cs="Calibri"/>
          <w:sz w:val="22"/>
          <w:szCs w:val="22"/>
          <w:lang w:eastAsia="ja-JP"/>
        </w:rPr>
      </w:pPr>
    </w:p>
    <w:sectPr w:rsidR="00F94791" w:rsidRPr="00323281" w:rsidSect="00F14B8A">
      <w:headerReference w:type="default" r:id="rId8"/>
      <w:footnotePr>
        <w:numRestart w:val="eachSect"/>
      </w:footnotePr>
      <w:pgSz w:w="11906" w:h="16838" w:code="9"/>
      <w:pgMar w:top="1985" w:right="1701" w:bottom="1701"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16019" w14:textId="77777777" w:rsidR="006477CA" w:rsidRDefault="006477CA">
      <w:pPr>
        <w:spacing w:after="0"/>
      </w:pPr>
      <w:r>
        <w:separator/>
      </w:r>
    </w:p>
  </w:endnote>
  <w:endnote w:type="continuationSeparator" w:id="0">
    <w:p w14:paraId="46811F93" w14:textId="77777777" w:rsidR="006477CA" w:rsidRDefault="006477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A267" w14:textId="77777777" w:rsidR="006477CA" w:rsidRDefault="006477CA">
      <w:pPr>
        <w:spacing w:after="0"/>
      </w:pPr>
      <w:r>
        <w:separator/>
      </w:r>
    </w:p>
  </w:footnote>
  <w:footnote w:type="continuationSeparator" w:id="0">
    <w:p w14:paraId="279A878D" w14:textId="77777777" w:rsidR="006477CA" w:rsidRDefault="006477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183086"/>
      <w:docPartObj>
        <w:docPartGallery w:val="Page Numbers (Top of Page)"/>
        <w:docPartUnique/>
      </w:docPartObj>
    </w:sdtPr>
    <w:sdtContent>
      <w:p w14:paraId="402363E1" w14:textId="251ADE03" w:rsidR="003A4274" w:rsidRDefault="00000000">
        <w:pPr>
          <w:pStyle w:val="af2"/>
          <w:jc w:val="right"/>
        </w:pPr>
        <w:r>
          <w:fldChar w:fldCharType="begin"/>
        </w:r>
        <w:r>
          <w:instrText>PAGE   \* MERGEFORMAT</w:instrText>
        </w:r>
        <w:r>
          <w:fldChar w:fldCharType="separate"/>
        </w:r>
        <w:r>
          <w:rPr>
            <w:lang w:val="ja-JP" w:eastAsia="ja-JP"/>
          </w:rPr>
          <w:t>2</w:t>
        </w:r>
        <w:r>
          <w:fldChar w:fldCharType="end"/>
        </w:r>
      </w:p>
    </w:sdtContent>
  </w:sdt>
  <w:p w14:paraId="6AB54AAE" w14:textId="77777777" w:rsidR="003A4274" w:rsidRDefault="003A427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7DC66E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729525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FF"/>
    <w:rsid w:val="00033A66"/>
    <w:rsid w:val="000365EF"/>
    <w:rsid w:val="0004512A"/>
    <w:rsid w:val="0009267B"/>
    <w:rsid w:val="000931A3"/>
    <w:rsid w:val="00095589"/>
    <w:rsid w:val="00096B0A"/>
    <w:rsid w:val="000A29E6"/>
    <w:rsid w:val="000A5996"/>
    <w:rsid w:val="000A7587"/>
    <w:rsid w:val="000B6499"/>
    <w:rsid w:val="000B7377"/>
    <w:rsid w:val="000D13CF"/>
    <w:rsid w:val="000D2982"/>
    <w:rsid w:val="000D31B4"/>
    <w:rsid w:val="000D4A4B"/>
    <w:rsid w:val="000E6AE1"/>
    <w:rsid w:val="000F79F4"/>
    <w:rsid w:val="00101046"/>
    <w:rsid w:val="001024CC"/>
    <w:rsid w:val="001113E7"/>
    <w:rsid w:val="001271C2"/>
    <w:rsid w:val="001279B9"/>
    <w:rsid w:val="00135303"/>
    <w:rsid w:val="00136AF1"/>
    <w:rsid w:val="00141E3D"/>
    <w:rsid w:val="0014273A"/>
    <w:rsid w:val="0014281D"/>
    <w:rsid w:val="001454F0"/>
    <w:rsid w:val="00153C44"/>
    <w:rsid w:val="00156229"/>
    <w:rsid w:val="00173EFD"/>
    <w:rsid w:val="00176181"/>
    <w:rsid w:val="00176377"/>
    <w:rsid w:val="00177A74"/>
    <w:rsid w:val="00182874"/>
    <w:rsid w:val="00183231"/>
    <w:rsid w:val="00187587"/>
    <w:rsid w:val="00191B08"/>
    <w:rsid w:val="001A0590"/>
    <w:rsid w:val="001B0791"/>
    <w:rsid w:val="001B7EBF"/>
    <w:rsid w:val="001C1DB4"/>
    <w:rsid w:val="001C7354"/>
    <w:rsid w:val="001D1949"/>
    <w:rsid w:val="001E05AE"/>
    <w:rsid w:val="001E240F"/>
    <w:rsid w:val="001F010B"/>
    <w:rsid w:val="001F2673"/>
    <w:rsid w:val="001F3BD8"/>
    <w:rsid w:val="001F5AA5"/>
    <w:rsid w:val="00202CE3"/>
    <w:rsid w:val="00205B1B"/>
    <w:rsid w:val="0022653E"/>
    <w:rsid w:val="00226C99"/>
    <w:rsid w:val="00231990"/>
    <w:rsid w:val="00232C2A"/>
    <w:rsid w:val="002337CC"/>
    <w:rsid w:val="002533A6"/>
    <w:rsid w:val="002566FC"/>
    <w:rsid w:val="00260ADB"/>
    <w:rsid w:val="002664B7"/>
    <w:rsid w:val="00271782"/>
    <w:rsid w:val="00276BAE"/>
    <w:rsid w:val="002810CC"/>
    <w:rsid w:val="00281C0A"/>
    <w:rsid w:val="00282701"/>
    <w:rsid w:val="002A0874"/>
    <w:rsid w:val="002B6094"/>
    <w:rsid w:val="002B6D5D"/>
    <w:rsid w:val="002C17C1"/>
    <w:rsid w:val="002C42E7"/>
    <w:rsid w:val="002C6E77"/>
    <w:rsid w:val="002D1BD2"/>
    <w:rsid w:val="002D23AB"/>
    <w:rsid w:val="002F29F6"/>
    <w:rsid w:val="002F2E89"/>
    <w:rsid w:val="002F3A2A"/>
    <w:rsid w:val="00300D36"/>
    <w:rsid w:val="003114BD"/>
    <w:rsid w:val="00320F20"/>
    <w:rsid w:val="00323281"/>
    <w:rsid w:val="0032503E"/>
    <w:rsid w:val="00326863"/>
    <w:rsid w:val="0033211F"/>
    <w:rsid w:val="003363C7"/>
    <w:rsid w:val="00346DE5"/>
    <w:rsid w:val="00350CC7"/>
    <w:rsid w:val="00354D83"/>
    <w:rsid w:val="00362C66"/>
    <w:rsid w:val="0036336C"/>
    <w:rsid w:val="00367EF9"/>
    <w:rsid w:val="003859A0"/>
    <w:rsid w:val="003904D7"/>
    <w:rsid w:val="00394521"/>
    <w:rsid w:val="003A4274"/>
    <w:rsid w:val="003A6C29"/>
    <w:rsid w:val="003B426B"/>
    <w:rsid w:val="003C48DC"/>
    <w:rsid w:val="003D55C4"/>
    <w:rsid w:val="003E3C22"/>
    <w:rsid w:val="003E75C2"/>
    <w:rsid w:val="00403C18"/>
    <w:rsid w:val="00404577"/>
    <w:rsid w:val="00414B83"/>
    <w:rsid w:val="0042331E"/>
    <w:rsid w:val="004249EA"/>
    <w:rsid w:val="004358E0"/>
    <w:rsid w:val="004549AC"/>
    <w:rsid w:val="00457060"/>
    <w:rsid w:val="0046771A"/>
    <w:rsid w:val="00473DF6"/>
    <w:rsid w:val="00486438"/>
    <w:rsid w:val="004A5567"/>
    <w:rsid w:val="004B2FDC"/>
    <w:rsid w:val="004B6398"/>
    <w:rsid w:val="004C6010"/>
    <w:rsid w:val="004E04EE"/>
    <w:rsid w:val="004F3996"/>
    <w:rsid w:val="004F6482"/>
    <w:rsid w:val="004F760F"/>
    <w:rsid w:val="00502AE3"/>
    <w:rsid w:val="0050598B"/>
    <w:rsid w:val="00507389"/>
    <w:rsid w:val="00512BE2"/>
    <w:rsid w:val="0052090E"/>
    <w:rsid w:val="0052243A"/>
    <w:rsid w:val="005253E2"/>
    <w:rsid w:val="005310C0"/>
    <w:rsid w:val="00536E3E"/>
    <w:rsid w:val="00540060"/>
    <w:rsid w:val="0054265A"/>
    <w:rsid w:val="00542A39"/>
    <w:rsid w:val="00544B0E"/>
    <w:rsid w:val="00545CA7"/>
    <w:rsid w:val="00550A21"/>
    <w:rsid w:val="00551D63"/>
    <w:rsid w:val="00567369"/>
    <w:rsid w:val="005812B7"/>
    <w:rsid w:val="0058481A"/>
    <w:rsid w:val="00585974"/>
    <w:rsid w:val="00595849"/>
    <w:rsid w:val="005A3EA0"/>
    <w:rsid w:val="005A42BA"/>
    <w:rsid w:val="005B7C82"/>
    <w:rsid w:val="005D1A20"/>
    <w:rsid w:val="005E3A8F"/>
    <w:rsid w:val="005E5B5F"/>
    <w:rsid w:val="005F5625"/>
    <w:rsid w:val="005F735B"/>
    <w:rsid w:val="006067A9"/>
    <w:rsid w:val="00607F2F"/>
    <w:rsid w:val="006150A7"/>
    <w:rsid w:val="00616A01"/>
    <w:rsid w:val="006303BF"/>
    <w:rsid w:val="00635283"/>
    <w:rsid w:val="006365BF"/>
    <w:rsid w:val="00637AA7"/>
    <w:rsid w:val="00646161"/>
    <w:rsid w:val="006477CA"/>
    <w:rsid w:val="00654580"/>
    <w:rsid w:val="00654886"/>
    <w:rsid w:val="00654E0A"/>
    <w:rsid w:val="006576AF"/>
    <w:rsid w:val="00661019"/>
    <w:rsid w:val="006618BE"/>
    <w:rsid w:val="006656CE"/>
    <w:rsid w:val="00667A5D"/>
    <w:rsid w:val="0068021A"/>
    <w:rsid w:val="00685FBF"/>
    <w:rsid w:val="00686687"/>
    <w:rsid w:val="006A27F1"/>
    <w:rsid w:val="006C1616"/>
    <w:rsid w:val="006C19C3"/>
    <w:rsid w:val="006C3774"/>
    <w:rsid w:val="006D71F6"/>
    <w:rsid w:val="006D75F1"/>
    <w:rsid w:val="006F2678"/>
    <w:rsid w:val="006F2760"/>
    <w:rsid w:val="006F68C9"/>
    <w:rsid w:val="00700B04"/>
    <w:rsid w:val="00701B47"/>
    <w:rsid w:val="00703E08"/>
    <w:rsid w:val="0071049C"/>
    <w:rsid w:val="00717B74"/>
    <w:rsid w:val="00733001"/>
    <w:rsid w:val="007426B0"/>
    <w:rsid w:val="00754C97"/>
    <w:rsid w:val="007603C7"/>
    <w:rsid w:val="00766474"/>
    <w:rsid w:val="00767C76"/>
    <w:rsid w:val="00773DCF"/>
    <w:rsid w:val="00776091"/>
    <w:rsid w:val="007806DC"/>
    <w:rsid w:val="00793BEB"/>
    <w:rsid w:val="00794594"/>
    <w:rsid w:val="007B2B1F"/>
    <w:rsid w:val="007B3887"/>
    <w:rsid w:val="007C0175"/>
    <w:rsid w:val="007D2C78"/>
    <w:rsid w:val="007D6606"/>
    <w:rsid w:val="007D6D7A"/>
    <w:rsid w:val="007E2FB4"/>
    <w:rsid w:val="007F163F"/>
    <w:rsid w:val="007F1F83"/>
    <w:rsid w:val="007F79E2"/>
    <w:rsid w:val="00805B6A"/>
    <w:rsid w:val="00806F87"/>
    <w:rsid w:val="00817956"/>
    <w:rsid w:val="00821E7C"/>
    <w:rsid w:val="008227F4"/>
    <w:rsid w:val="008232CC"/>
    <w:rsid w:val="008255F6"/>
    <w:rsid w:val="00825C93"/>
    <w:rsid w:val="00826D00"/>
    <w:rsid w:val="00845D31"/>
    <w:rsid w:val="008478D8"/>
    <w:rsid w:val="008536CA"/>
    <w:rsid w:val="00853C17"/>
    <w:rsid w:val="0085699D"/>
    <w:rsid w:val="00860A9C"/>
    <w:rsid w:val="0086625C"/>
    <w:rsid w:val="008667EE"/>
    <w:rsid w:val="00885683"/>
    <w:rsid w:val="00895396"/>
    <w:rsid w:val="00895CCD"/>
    <w:rsid w:val="00896FB9"/>
    <w:rsid w:val="008A20F6"/>
    <w:rsid w:val="008E29DC"/>
    <w:rsid w:val="008E5349"/>
    <w:rsid w:val="008E7292"/>
    <w:rsid w:val="008F51A5"/>
    <w:rsid w:val="00900214"/>
    <w:rsid w:val="009104BE"/>
    <w:rsid w:val="0091413D"/>
    <w:rsid w:val="009159B6"/>
    <w:rsid w:val="00915F6B"/>
    <w:rsid w:val="009208FE"/>
    <w:rsid w:val="009227AD"/>
    <w:rsid w:val="009659EA"/>
    <w:rsid w:val="009710BA"/>
    <w:rsid w:val="009961ED"/>
    <w:rsid w:val="009C0CF3"/>
    <w:rsid w:val="009D1098"/>
    <w:rsid w:val="009D1463"/>
    <w:rsid w:val="00A021F6"/>
    <w:rsid w:val="00A03634"/>
    <w:rsid w:val="00A05C44"/>
    <w:rsid w:val="00A16662"/>
    <w:rsid w:val="00A22B8B"/>
    <w:rsid w:val="00A25978"/>
    <w:rsid w:val="00A40962"/>
    <w:rsid w:val="00A411C8"/>
    <w:rsid w:val="00A45A63"/>
    <w:rsid w:val="00A54A9E"/>
    <w:rsid w:val="00A56265"/>
    <w:rsid w:val="00A61898"/>
    <w:rsid w:val="00A677C8"/>
    <w:rsid w:val="00A73E80"/>
    <w:rsid w:val="00A81C21"/>
    <w:rsid w:val="00A91AA9"/>
    <w:rsid w:val="00AB296C"/>
    <w:rsid w:val="00AC123C"/>
    <w:rsid w:val="00AD0BCC"/>
    <w:rsid w:val="00AD4DB5"/>
    <w:rsid w:val="00AD6C79"/>
    <w:rsid w:val="00AE51E6"/>
    <w:rsid w:val="00AE72E8"/>
    <w:rsid w:val="00AE7A0F"/>
    <w:rsid w:val="00AF11DB"/>
    <w:rsid w:val="00AF6A12"/>
    <w:rsid w:val="00B020AB"/>
    <w:rsid w:val="00B023DA"/>
    <w:rsid w:val="00B147C7"/>
    <w:rsid w:val="00B2056B"/>
    <w:rsid w:val="00B22DE5"/>
    <w:rsid w:val="00B276E5"/>
    <w:rsid w:val="00B453FE"/>
    <w:rsid w:val="00B456E9"/>
    <w:rsid w:val="00B607F9"/>
    <w:rsid w:val="00B61DAC"/>
    <w:rsid w:val="00B64368"/>
    <w:rsid w:val="00B64BA5"/>
    <w:rsid w:val="00B7170C"/>
    <w:rsid w:val="00B77EC2"/>
    <w:rsid w:val="00B870CE"/>
    <w:rsid w:val="00B87D08"/>
    <w:rsid w:val="00BA52D7"/>
    <w:rsid w:val="00BB304C"/>
    <w:rsid w:val="00BB5E74"/>
    <w:rsid w:val="00BC3CA0"/>
    <w:rsid w:val="00BC5619"/>
    <w:rsid w:val="00BC769D"/>
    <w:rsid w:val="00BD0E2E"/>
    <w:rsid w:val="00BD3489"/>
    <w:rsid w:val="00BD5562"/>
    <w:rsid w:val="00BF08E8"/>
    <w:rsid w:val="00BF148A"/>
    <w:rsid w:val="00BF296C"/>
    <w:rsid w:val="00BF596C"/>
    <w:rsid w:val="00BF6432"/>
    <w:rsid w:val="00BF7666"/>
    <w:rsid w:val="00C07AC2"/>
    <w:rsid w:val="00C20481"/>
    <w:rsid w:val="00C26980"/>
    <w:rsid w:val="00C410D5"/>
    <w:rsid w:val="00C45BFF"/>
    <w:rsid w:val="00C54CAB"/>
    <w:rsid w:val="00C5789A"/>
    <w:rsid w:val="00C626C4"/>
    <w:rsid w:val="00C73A27"/>
    <w:rsid w:val="00C7525C"/>
    <w:rsid w:val="00C8153A"/>
    <w:rsid w:val="00C873F4"/>
    <w:rsid w:val="00C87694"/>
    <w:rsid w:val="00C951D1"/>
    <w:rsid w:val="00CC151D"/>
    <w:rsid w:val="00CC173E"/>
    <w:rsid w:val="00CC518B"/>
    <w:rsid w:val="00CC5BD8"/>
    <w:rsid w:val="00CD57DB"/>
    <w:rsid w:val="00CD74EB"/>
    <w:rsid w:val="00CE03A8"/>
    <w:rsid w:val="00CE4BA8"/>
    <w:rsid w:val="00CE7F82"/>
    <w:rsid w:val="00D03E57"/>
    <w:rsid w:val="00D1094F"/>
    <w:rsid w:val="00D143F8"/>
    <w:rsid w:val="00D146E9"/>
    <w:rsid w:val="00D14C75"/>
    <w:rsid w:val="00D15C2D"/>
    <w:rsid w:val="00D26220"/>
    <w:rsid w:val="00D30447"/>
    <w:rsid w:val="00D307AD"/>
    <w:rsid w:val="00D34B88"/>
    <w:rsid w:val="00D34CE7"/>
    <w:rsid w:val="00D4425F"/>
    <w:rsid w:val="00D462FB"/>
    <w:rsid w:val="00D511CD"/>
    <w:rsid w:val="00D53297"/>
    <w:rsid w:val="00D562AA"/>
    <w:rsid w:val="00D70DE1"/>
    <w:rsid w:val="00D74B52"/>
    <w:rsid w:val="00D77146"/>
    <w:rsid w:val="00D778C8"/>
    <w:rsid w:val="00D879C6"/>
    <w:rsid w:val="00D90F5E"/>
    <w:rsid w:val="00D96E0B"/>
    <w:rsid w:val="00D973A9"/>
    <w:rsid w:val="00DB19AF"/>
    <w:rsid w:val="00DB44BC"/>
    <w:rsid w:val="00DB6545"/>
    <w:rsid w:val="00DD044E"/>
    <w:rsid w:val="00DD0D0A"/>
    <w:rsid w:val="00DD212F"/>
    <w:rsid w:val="00DD4ECD"/>
    <w:rsid w:val="00DD7383"/>
    <w:rsid w:val="00DD7D3B"/>
    <w:rsid w:val="00DF2215"/>
    <w:rsid w:val="00DF4475"/>
    <w:rsid w:val="00DF58CE"/>
    <w:rsid w:val="00E02FB8"/>
    <w:rsid w:val="00E03122"/>
    <w:rsid w:val="00E05F50"/>
    <w:rsid w:val="00E11BEE"/>
    <w:rsid w:val="00E14764"/>
    <w:rsid w:val="00E151EC"/>
    <w:rsid w:val="00E172E6"/>
    <w:rsid w:val="00E1775B"/>
    <w:rsid w:val="00E2356F"/>
    <w:rsid w:val="00E34615"/>
    <w:rsid w:val="00E36D98"/>
    <w:rsid w:val="00E57394"/>
    <w:rsid w:val="00E63711"/>
    <w:rsid w:val="00E64118"/>
    <w:rsid w:val="00E655C0"/>
    <w:rsid w:val="00E73B1B"/>
    <w:rsid w:val="00E81418"/>
    <w:rsid w:val="00E95FEE"/>
    <w:rsid w:val="00EA44FE"/>
    <w:rsid w:val="00EA64FD"/>
    <w:rsid w:val="00EA73AE"/>
    <w:rsid w:val="00EB1149"/>
    <w:rsid w:val="00EB1272"/>
    <w:rsid w:val="00EB3093"/>
    <w:rsid w:val="00EB6794"/>
    <w:rsid w:val="00EB7107"/>
    <w:rsid w:val="00EC3D60"/>
    <w:rsid w:val="00ED251E"/>
    <w:rsid w:val="00ED62D5"/>
    <w:rsid w:val="00EE1664"/>
    <w:rsid w:val="00F07C34"/>
    <w:rsid w:val="00F14B8A"/>
    <w:rsid w:val="00F324E0"/>
    <w:rsid w:val="00F4627A"/>
    <w:rsid w:val="00F57496"/>
    <w:rsid w:val="00F703DA"/>
    <w:rsid w:val="00F71B98"/>
    <w:rsid w:val="00F82F8D"/>
    <w:rsid w:val="00F8353B"/>
    <w:rsid w:val="00F92774"/>
    <w:rsid w:val="00F94791"/>
    <w:rsid w:val="00FA5A81"/>
    <w:rsid w:val="00FB0FD3"/>
    <w:rsid w:val="00FB1CEA"/>
    <w:rsid w:val="00FD5B4E"/>
    <w:rsid w:val="00FF25B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61BD7F"/>
  <w15:docId w15:val="{D2967D72-C069-4F6E-8375-512FAE5E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caption" w:uiPriority="35"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2"/>
    <w:next w:val="a0"/>
    <w:link w:val="10"/>
    <w:uiPriority w:val="9"/>
    <w:qFormat/>
    <w:rsid w:val="007426B0"/>
    <w:pPr>
      <w:outlineLvl w:val="0"/>
    </w:pPr>
    <w:rPr>
      <w:bCs w:val="0"/>
      <w:sz w:val="28"/>
      <w:szCs w:val="28"/>
    </w:rPr>
  </w:style>
  <w:style w:type="paragraph" w:styleId="2">
    <w:name w:val="heading 2"/>
    <w:basedOn w:val="3"/>
    <w:next w:val="a0"/>
    <w:link w:val="20"/>
    <w:uiPriority w:val="9"/>
    <w:unhideWhenUsed/>
    <w:qFormat/>
    <w:rsid w:val="00F703DA"/>
    <w:pPr>
      <w:spacing w:before="0" w:after="0" w:line="480" w:lineRule="auto"/>
      <w:outlineLvl w:val="1"/>
    </w:pPr>
    <w:rPr>
      <w:rFonts w:ascii="Times New Roman" w:hAnsi="Times New Roman" w:cs="Times New Roman"/>
      <w:b/>
      <w:bCs/>
      <w:color w:val="auto"/>
      <w:sz w:val="22"/>
      <w:szCs w:val="22"/>
      <w:lang w:val="en-GB"/>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5">
    <w:name w:val="Title"/>
    <w:basedOn w:val="a"/>
    <w:next w:val="a0"/>
    <w:link w:val="a6"/>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1"/>
    <w:link w:val="a5"/>
    <w:uiPriority w:val="10"/>
    <w:rsid w:val="00A10FD9"/>
    <w:rPr>
      <w:rFonts w:asciiTheme="majorHAnsi" w:eastAsiaTheme="majorEastAsia" w:hAnsiTheme="majorHAnsi" w:cstheme="majorBidi"/>
      <w:spacing w:val="-10"/>
      <w:kern w:val="28"/>
      <w:sz w:val="56"/>
      <w:szCs w:val="56"/>
    </w:rPr>
  </w:style>
  <w:style w:type="paragraph" w:styleId="a7">
    <w:name w:val="Subtitle"/>
    <w:basedOn w:val="a5"/>
    <w:next w:val="a0"/>
    <w:link w:val="a8"/>
    <w:uiPriority w:val="11"/>
    <w:qFormat/>
    <w:rsid w:val="00A10FD9"/>
    <w:pPr>
      <w:numPr>
        <w:ilvl w:val="1"/>
      </w:numPr>
    </w:pPr>
    <w:rPr>
      <w:spacing w:val="15"/>
      <w:sz w:val="28"/>
      <w:szCs w:val="28"/>
    </w:rPr>
  </w:style>
  <w:style w:type="character" w:customStyle="1" w:styleId="a8">
    <w:name w:val="副題 (文字)"/>
    <w:basedOn w:val="a1"/>
    <w:link w:val="a7"/>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9">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a">
    <w:name w:val="Bibliography"/>
    <w:basedOn w:val="a"/>
    <w:qFormat/>
  </w:style>
  <w:style w:type="character" w:customStyle="1" w:styleId="10">
    <w:name w:val="見出し 1 (文字)"/>
    <w:basedOn w:val="a1"/>
    <w:link w:val="1"/>
    <w:uiPriority w:val="9"/>
    <w:rsid w:val="007426B0"/>
    <w:rPr>
      <w:rFonts w:ascii="Times New Roman" w:eastAsiaTheme="majorEastAsia" w:hAnsi="Times New Roman" w:cs="Times New Roman"/>
      <w:b/>
      <w:sz w:val="28"/>
      <w:szCs w:val="28"/>
      <w:lang w:val="en-GB"/>
    </w:rPr>
  </w:style>
  <w:style w:type="character" w:customStyle="1" w:styleId="20">
    <w:name w:val="見出し 2 (文字)"/>
    <w:basedOn w:val="a1"/>
    <w:link w:val="2"/>
    <w:uiPriority w:val="9"/>
    <w:rsid w:val="00F703DA"/>
    <w:rPr>
      <w:rFonts w:ascii="Times New Roman" w:eastAsiaTheme="majorEastAsia" w:hAnsi="Times New Roman" w:cs="Times New Roman"/>
      <w:b/>
      <w:bCs/>
      <w:sz w:val="22"/>
      <w:szCs w:val="22"/>
      <w:lang w:val="en-GB"/>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b">
    <w:name w:val="Block Text"/>
    <w:basedOn w:val="a0"/>
    <w:next w:val="a0"/>
    <w:uiPriority w:val="9"/>
    <w:unhideWhenUsed/>
    <w:qFormat/>
    <w:pPr>
      <w:spacing w:before="100" w:after="100"/>
      <w:ind w:left="480" w:right="480"/>
    </w:pPr>
  </w:style>
  <w:style w:type="paragraph" w:styleId="ac">
    <w:name w:val="footnote text"/>
    <w:basedOn w:val="a"/>
    <w:uiPriority w:val="9"/>
    <w:unhideWhenUsed/>
    <w:qFormat/>
  </w:style>
  <w:style w:type="paragraph" w:customStyle="1" w:styleId="FootnoteBlockText">
    <w:name w:val="Footnote Block Text"/>
    <w:basedOn w:val="ac"/>
    <w:next w:val="ac"/>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d">
    <w:name w:val="caption"/>
    <w:basedOn w:val="a"/>
    <w:link w:val="ae"/>
    <w:uiPriority w:val="35"/>
    <w:qFormat/>
    <w:pPr>
      <w:spacing w:after="120"/>
    </w:pPr>
    <w:rPr>
      <w:i/>
    </w:rPr>
  </w:style>
  <w:style w:type="paragraph" w:customStyle="1" w:styleId="TableCaption">
    <w:name w:val="Table Caption"/>
    <w:basedOn w:val="ad"/>
    <w:pPr>
      <w:keepNext/>
    </w:pPr>
  </w:style>
  <w:style w:type="paragraph" w:customStyle="1" w:styleId="ImageCaption">
    <w:name w:val="Image Caption"/>
    <w:basedOn w:val="ad"/>
  </w:style>
  <w:style w:type="paragraph" w:customStyle="1" w:styleId="Figure">
    <w:name w:val="Figure"/>
    <w:basedOn w:val="a"/>
  </w:style>
  <w:style w:type="paragraph" w:customStyle="1" w:styleId="CaptionedFigure">
    <w:name w:val="Captioned Figure"/>
    <w:basedOn w:val="Figure"/>
    <w:pPr>
      <w:keepNext/>
    </w:pPr>
  </w:style>
  <w:style w:type="character" w:customStyle="1" w:styleId="ae">
    <w:name w:val="図表番号 (文字)"/>
    <w:basedOn w:val="a1"/>
    <w:link w:val="ad"/>
  </w:style>
  <w:style w:type="character" w:customStyle="1" w:styleId="VerbatimChar">
    <w:name w:val="Verbatim Char"/>
    <w:basedOn w:val="ae"/>
    <w:link w:val="SourceCode"/>
    <w:rPr>
      <w:rFonts w:ascii="Consolas" w:hAnsi="Consolas"/>
      <w:sz w:val="22"/>
    </w:rPr>
  </w:style>
  <w:style w:type="character" w:customStyle="1" w:styleId="SectionNumber">
    <w:name w:val="Section Number"/>
    <w:basedOn w:val="ae"/>
  </w:style>
  <w:style w:type="character" w:styleId="af">
    <w:name w:val="footnote reference"/>
    <w:basedOn w:val="ae"/>
    <w:rPr>
      <w:vertAlign w:val="superscript"/>
    </w:rPr>
  </w:style>
  <w:style w:type="character" w:styleId="af0">
    <w:name w:val="Hyperlink"/>
    <w:basedOn w:val="ae"/>
    <w:rPr>
      <w:color w:val="156082" w:themeColor="accent1"/>
    </w:rPr>
  </w:style>
  <w:style w:type="paragraph" w:styleId="af1">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2">
    <w:name w:val="header"/>
    <w:basedOn w:val="a"/>
    <w:link w:val="af3"/>
    <w:uiPriority w:val="99"/>
    <w:rsid w:val="003A4274"/>
    <w:pPr>
      <w:tabs>
        <w:tab w:val="center" w:pos="4252"/>
        <w:tab w:val="right" w:pos="8504"/>
      </w:tabs>
      <w:snapToGrid w:val="0"/>
    </w:pPr>
  </w:style>
  <w:style w:type="character" w:customStyle="1" w:styleId="af3">
    <w:name w:val="ヘッダー (文字)"/>
    <w:basedOn w:val="a1"/>
    <w:link w:val="af2"/>
    <w:uiPriority w:val="99"/>
    <w:rsid w:val="003A4274"/>
  </w:style>
  <w:style w:type="paragraph" w:styleId="af4">
    <w:name w:val="footer"/>
    <w:basedOn w:val="a"/>
    <w:link w:val="af5"/>
    <w:rsid w:val="003A4274"/>
    <w:pPr>
      <w:tabs>
        <w:tab w:val="center" w:pos="4252"/>
        <w:tab w:val="right" w:pos="8504"/>
      </w:tabs>
      <w:snapToGrid w:val="0"/>
    </w:pPr>
  </w:style>
  <w:style w:type="character" w:customStyle="1" w:styleId="af5">
    <w:name w:val="フッター (文字)"/>
    <w:basedOn w:val="a1"/>
    <w:link w:val="af4"/>
    <w:rsid w:val="003A4274"/>
  </w:style>
  <w:style w:type="character" w:customStyle="1" w:styleId="a4">
    <w:name w:val="本文 (文字)"/>
    <w:basedOn w:val="a1"/>
    <w:link w:val="a0"/>
    <w:rsid w:val="00BF296C"/>
  </w:style>
  <w:style w:type="character" w:styleId="af6">
    <w:name w:val="annotation reference"/>
    <w:basedOn w:val="a1"/>
    <w:rsid w:val="00805BCE"/>
    <w:rPr>
      <w:sz w:val="16"/>
      <w:szCs w:val="16"/>
    </w:rPr>
  </w:style>
  <w:style w:type="paragraph" w:styleId="af7">
    <w:name w:val="annotation text"/>
    <w:basedOn w:val="a"/>
    <w:link w:val="af8"/>
    <w:rPr>
      <w:sz w:val="20"/>
      <w:szCs w:val="20"/>
    </w:rPr>
  </w:style>
  <w:style w:type="character" w:customStyle="1" w:styleId="af8">
    <w:name w:val="コメント文字列 (文字)"/>
    <w:basedOn w:val="a1"/>
    <w:link w:val="af7"/>
    <w:rPr>
      <w:sz w:val="20"/>
      <w:szCs w:val="20"/>
    </w:rPr>
  </w:style>
  <w:style w:type="paragraph" w:styleId="af9">
    <w:name w:val="Revision"/>
    <w:hidden/>
    <w:rsid w:val="006365BF"/>
    <w:pPr>
      <w:spacing w:after="0"/>
    </w:pPr>
  </w:style>
  <w:style w:type="paragraph" w:styleId="afa">
    <w:name w:val="annotation subject"/>
    <w:basedOn w:val="af7"/>
    <w:next w:val="af7"/>
    <w:link w:val="afb"/>
    <w:rsid w:val="006365BF"/>
    <w:rPr>
      <w:b/>
      <w:bCs/>
    </w:rPr>
  </w:style>
  <w:style w:type="character" w:customStyle="1" w:styleId="afb">
    <w:name w:val="コメント内容 (文字)"/>
    <w:basedOn w:val="af8"/>
    <w:link w:val="afa"/>
    <w:rsid w:val="006365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695C9-4659-4B6C-AB79-AE03E5E97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553</Words>
  <Characters>4268</Characters>
  <Application>Microsoft Office Word</Application>
  <DocSecurity>0</DocSecurity>
  <Lines>67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村川 修一</cp:lastModifiedBy>
  <cp:revision>4</cp:revision>
  <cp:lastPrinted>2026-01-28T02:30:00Z</cp:lastPrinted>
  <dcterms:created xsi:type="dcterms:W3CDTF">2026-03-30T05:47:00Z</dcterms:created>
  <dcterms:modified xsi:type="dcterms:W3CDTF">2026-03-31T07:13:00Z</dcterms:modified>
</cp:coreProperties>
</file>