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3A87A" w14:textId="1BBC5665" w:rsidR="00B658F2" w:rsidRPr="0022504B" w:rsidRDefault="00823E38" w:rsidP="00823E38">
      <w:pPr>
        <w:jc w:val="left"/>
        <w:rPr>
          <w:rFonts w:ascii="Calibri" w:hAnsi="Calibri" w:cs="Calibri"/>
          <w:sz w:val="22"/>
        </w:rPr>
      </w:pPr>
      <w:r w:rsidRPr="0022504B">
        <w:rPr>
          <w:rFonts w:ascii="Calibri" w:hAnsi="Calibri" w:cs="Calibri"/>
          <w:sz w:val="22"/>
        </w:rPr>
        <w:t xml:space="preserve">Title: </w:t>
      </w:r>
      <w:r w:rsidR="00B658F2" w:rsidRPr="0022504B">
        <w:rPr>
          <w:rFonts w:ascii="Calibri" w:hAnsi="Calibri" w:cs="Calibri"/>
          <w:sz w:val="22"/>
        </w:rPr>
        <w:t>How Do University Students Evaluate Firms? Gender, Field of Study, and Job Preferences in Japan</w:t>
      </w:r>
    </w:p>
    <w:p w14:paraId="22866BB7" w14:textId="59BF8F04" w:rsidR="00B658F2" w:rsidRPr="0022504B" w:rsidRDefault="00823E38" w:rsidP="00823E38">
      <w:pPr>
        <w:jc w:val="left"/>
        <w:rPr>
          <w:rFonts w:ascii="Calibri" w:hAnsi="Calibri" w:cs="Calibri"/>
          <w:sz w:val="22"/>
        </w:rPr>
      </w:pPr>
      <w:r w:rsidRPr="0022504B">
        <w:rPr>
          <w:rFonts w:ascii="Calibri" w:hAnsi="Calibri" w:cs="Calibri"/>
          <w:sz w:val="22"/>
        </w:rPr>
        <w:t xml:space="preserve">Conference theme: </w:t>
      </w:r>
      <w:r w:rsidR="001F5E11" w:rsidRPr="001F5E11">
        <w:rPr>
          <w:rFonts w:ascii="Calibri" w:hAnsi="Calibri" w:cs="Calibri"/>
          <w:sz w:val="22"/>
        </w:rPr>
        <w:t>Research - Hiwa-</w:t>
      </w:r>
      <w:proofErr w:type="spellStart"/>
      <w:r w:rsidR="001F5E11" w:rsidRPr="001F5E11">
        <w:rPr>
          <w:rFonts w:ascii="Calibri" w:hAnsi="Calibri" w:cs="Calibri"/>
          <w:sz w:val="22"/>
        </w:rPr>
        <w:t>i</w:t>
      </w:r>
      <w:proofErr w:type="spellEnd"/>
      <w:r w:rsidR="001F5E11" w:rsidRPr="001F5E11">
        <w:rPr>
          <w:rFonts w:ascii="Calibri" w:hAnsi="Calibri" w:cs="Calibri"/>
          <w:sz w:val="22"/>
        </w:rPr>
        <w:t>-</w:t>
      </w:r>
      <w:proofErr w:type="spellStart"/>
      <w:r w:rsidR="001F5E11" w:rsidRPr="001F5E11">
        <w:rPr>
          <w:rFonts w:ascii="Calibri" w:hAnsi="Calibri" w:cs="Calibri"/>
          <w:sz w:val="22"/>
        </w:rPr>
        <w:t>te-rangi</w:t>
      </w:r>
      <w:proofErr w:type="spellEnd"/>
    </w:p>
    <w:p w14:paraId="16E092CA" w14:textId="5C70821F" w:rsidR="00823E38" w:rsidRPr="0022504B" w:rsidRDefault="00823E38" w:rsidP="00823E38">
      <w:pPr>
        <w:jc w:val="left"/>
        <w:rPr>
          <w:rFonts w:ascii="Calibri" w:hAnsi="Calibri" w:cs="Calibri" w:hint="eastAsia"/>
          <w:sz w:val="22"/>
        </w:rPr>
      </w:pPr>
      <w:r w:rsidRPr="0022504B">
        <w:rPr>
          <w:rFonts w:ascii="Calibri" w:hAnsi="Calibri" w:cs="Calibri"/>
          <w:sz w:val="22"/>
        </w:rPr>
        <w:t>Presentation Langu</w:t>
      </w:r>
      <w:r w:rsidR="00A10B6C">
        <w:rPr>
          <w:rFonts w:ascii="Calibri" w:hAnsi="Calibri" w:cs="Calibri" w:hint="eastAsia"/>
          <w:sz w:val="22"/>
        </w:rPr>
        <w:t>a</w:t>
      </w:r>
      <w:r w:rsidRPr="0022504B">
        <w:rPr>
          <w:rFonts w:ascii="Calibri" w:hAnsi="Calibri" w:cs="Calibri"/>
          <w:sz w:val="22"/>
        </w:rPr>
        <w:t xml:space="preserve">ge: </w:t>
      </w:r>
      <w:r w:rsidR="00A10B6C">
        <w:rPr>
          <w:rFonts w:ascii="Calibri" w:hAnsi="Calibri" w:cs="Calibri" w:hint="eastAsia"/>
          <w:sz w:val="22"/>
        </w:rPr>
        <w:t>English</w:t>
      </w:r>
    </w:p>
    <w:p w14:paraId="7DA42CD8" w14:textId="77777777" w:rsidR="00823E38" w:rsidRPr="0022504B" w:rsidRDefault="00823E38" w:rsidP="00823E38">
      <w:pPr>
        <w:jc w:val="left"/>
        <w:rPr>
          <w:rFonts w:ascii="Calibri" w:hAnsi="Calibri" w:cs="Calibri"/>
          <w:sz w:val="22"/>
        </w:rPr>
      </w:pPr>
    </w:p>
    <w:p w14:paraId="5CA5A03B" w14:textId="30B74952" w:rsidR="00823E38" w:rsidRPr="0022504B" w:rsidRDefault="00823E38" w:rsidP="00823E38">
      <w:pPr>
        <w:jc w:val="left"/>
        <w:rPr>
          <w:rFonts w:ascii="Calibri" w:hAnsi="Calibri" w:cs="Calibri"/>
          <w:sz w:val="22"/>
        </w:rPr>
      </w:pPr>
      <w:r w:rsidRPr="0022504B">
        <w:rPr>
          <w:rFonts w:ascii="Calibri" w:hAnsi="Calibri" w:cs="Calibri"/>
          <w:sz w:val="22"/>
        </w:rPr>
        <w:t>Abstract:</w:t>
      </w:r>
    </w:p>
    <w:p w14:paraId="2F05AC37" w14:textId="0E51A355" w:rsidR="007469A0" w:rsidRPr="0022504B" w:rsidRDefault="007469A0" w:rsidP="007469A0">
      <w:pPr>
        <w:rPr>
          <w:rFonts w:ascii="Calibri" w:hAnsi="Calibri" w:cs="Calibri"/>
          <w:sz w:val="22"/>
        </w:rPr>
      </w:pPr>
      <w:r w:rsidRPr="0022504B">
        <w:rPr>
          <w:rFonts w:ascii="Calibri" w:hAnsi="Calibri" w:cs="Calibri"/>
          <w:sz w:val="22"/>
        </w:rPr>
        <w:t>This study examines how individuals evaluate potential employers, focusing on how such evaluations vary across gender and field of study, particularly between students in the humanities and social sciences and those in STEM fields. Rather than treating differences in job choice across gender and field of study as reflecting stable preferences, this paper conceptualizes them as differences in evaluative structures—namely, how individuals weight and interpret various attributes of firms when forming job preferences.</w:t>
      </w:r>
    </w:p>
    <w:p w14:paraId="02DDAEE5" w14:textId="0273A53F" w:rsidR="007469A0" w:rsidRPr="0022504B" w:rsidRDefault="007469A0" w:rsidP="007469A0">
      <w:pPr>
        <w:rPr>
          <w:rFonts w:ascii="Calibri" w:hAnsi="Calibri" w:cs="Calibri"/>
          <w:sz w:val="22"/>
        </w:rPr>
      </w:pPr>
      <w:r w:rsidRPr="0022504B">
        <w:rPr>
          <w:rFonts w:ascii="Calibri" w:hAnsi="Calibri" w:cs="Calibri"/>
          <w:sz w:val="22"/>
        </w:rPr>
        <w:t>The study is situated in Japan’s graduate labor market, where university students evaluate and apply to multiple firms under a relatively standardized system of simultaneous recruitment</w:t>
      </w:r>
      <w:r w:rsidR="00C85964">
        <w:rPr>
          <w:rFonts w:ascii="Calibri" w:hAnsi="Calibri" w:cs="Calibri" w:hint="eastAsia"/>
          <w:sz w:val="22"/>
        </w:rPr>
        <w:t xml:space="preserve"> </w:t>
      </w:r>
      <w:r w:rsidR="0038555C" w:rsidRPr="0022504B">
        <w:rPr>
          <w:rFonts w:ascii="Calibri" w:hAnsi="Calibri" w:cs="Calibri"/>
          <w:sz w:val="22"/>
        </w:rPr>
        <w:t>(Senoo</w:t>
      </w:r>
      <w:r w:rsidR="002D7820">
        <w:rPr>
          <w:rFonts w:ascii="Calibri" w:hAnsi="Calibri" w:cs="Calibri" w:hint="eastAsia"/>
          <w:sz w:val="22"/>
        </w:rPr>
        <w:t>,</w:t>
      </w:r>
      <w:r w:rsidR="0038555C" w:rsidRPr="0022504B">
        <w:rPr>
          <w:rFonts w:ascii="Calibri" w:hAnsi="Calibri" w:cs="Calibri"/>
          <w:sz w:val="22"/>
        </w:rPr>
        <w:t xml:space="preserve"> 2023).</w:t>
      </w:r>
      <w:r w:rsidRPr="0022504B">
        <w:rPr>
          <w:rFonts w:ascii="Calibri" w:hAnsi="Calibri" w:cs="Calibri"/>
          <w:sz w:val="22"/>
        </w:rPr>
        <w:t xml:space="preserve"> This setting allows for direct comparison of firms based on similar information.</w:t>
      </w:r>
    </w:p>
    <w:p w14:paraId="32E331F3" w14:textId="2997093A" w:rsidR="007469A0" w:rsidRPr="0022504B" w:rsidRDefault="007469A0" w:rsidP="007469A0">
      <w:pPr>
        <w:rPr>
          <w:rFonts w:ascii="Calibri" w:hAnsi="Calibri" w:cs="Calibri"/>
          <w:sz w:val="22"/>
        </w:rPr>
      </w:pPr>
      <w:r w:rsidRPr="0022504B">
        <w:rPr>
          <w:rFonts w:ascii="Calibri" w:hAnsi="Calibri" w:cs="Calibri"/>
          <w:sz w:val="22"/>
        </w:rPr>
        <w:t>Drawing on economic sociology and social psychology, this paper argues that differences in job preferences may arise not only from tastes, but also from evaluative processes shaped by social norms and structural constraints</w:t>
      </w:r>
      <w:r w:rsidR="00C85964">
        <w:rPr>
          <w:rFonts w:ascii="Calibri" w:hAnsi="Calibri" w:cs="Calibri" w:hint="eastAsia"/>
          <w:sz w:val="22"/>
        </w:rPr>
        <w:t xml:space="preserve"> </w:t>
      </w:r>
      <w:r w:rsidR="0038555C" w:rsidRPr="0022504B">
        <w:rPr>
          <w:rFonts w:ascii="Calibri" w:hAnsi="Calibri" w:cs="Calibri"/>
          <w:sz w:val="22"/>
        </w:rPr>
        <w:t>(Pager &amp; Pedulla</w:t>
      </w:r>
      <w:r w:rsidR="002D7820">
        <w:rPr>
          <w:rFonts w:ascii="Calibri" w:hAnsi="Calibri" w:cs="Calibri" w:hint="eastAsia"/>
          <w:sz w:val="22"/>
        </w:rPr>
        <w:t>,</w:t>
      </w:r>
      <w:r w:rsidR="0038555C" w:rsidRPr="0022504B">
        <w:rPr>
          <w:rFonts w:ascii="Calibri" w:hAnsi="Calibri" w:cs="Calibri"/>
          <w:sz w:val="22"/>
        </w:rPr>
        <w:t xml:space="preserve"> 2015; </w:t>
      </w:r>
      <w:proofErr w:type="spellStart"/>
      <w:r w:rsidR="0038555C" w:rsidRPr="0022504B">
        <w:rPr>
          <w:rFonts w:ascii="Calibri" w:hAnsi="Calibri" w:cs="Calibri"/>
          <w:sz w:val="22"/>
        </w:rPr>
        <w:t>Thébaud</w:t>
      </w:r>
      <w:proofErr w:type="spellEnd"/>
      <w:r w:rsidR="0038555C" w:rsidRPr="0022504B">
        <w:rPr>
          <w:rFonts w:ascii="Calibri" w:hAnsi="Calibri" w:cs="Calibri"/>
          <w:sz w:val="22"/>
        </w:rPr>
        <w:t xml:space="preserve"> &amp; Charles</w:t>
      </w:r>
      <w:r w:rsidR="002D7820">
        <w:rPr>
          <w:rFonts w:ascii="Calibri" w:hAnsi="Calibri" w:cs="Calibri" w:hint="eastAsia"/>
          <w:sz w:val="22"/>
        </w:rPr>
        <w:t>,</w:t>
      </w:r>
      <w:r w:rsidR="0038555C" w:rsidRPr="0022504B">
        <w:rPr>
          <w:rFonts w:ascii="Calibri" w:hAnsi="Calibri" w:cs="Calibri"/>
          <w:sz w:val="22"/>
        </w:rPr>
        <w:t xml:space="preserve"> 2018</w:t>
      </w:r>
      <w:r w:rsidR="00902F8E" w:rsidRPr="0022504B">
        <w:rPr>
          <w:rFonts w:ascii="Calibri" w:hAnsi="Calibri" w:cs="Calibri"/>
          <w:sz w:val="22"/>
        </w:rPr>
        <w:t>; Xu</w:t>
      </w:r>
      <w:r w:rsidR="002D7820">
        <w:rPr>
          <w:rFonts w:ascii="Calibri" w:hAnsi="Calibri" w:cs="Calibri" w:hint="eastAsia"/>
          <w:sz w:val="22"/>
        </w:rPr>
        <w:t>,</w:t>
      </w:r>
      <w:r w:rsidR="00902F8E" w:rsidRPr="0022504B">
        <w:rPr>
          <w:rFonts w:ascii="Calibri" w:hAnsi="Calibri" w:cs="Calibri"/>
          <w:sz w:val="22"/>
        </w:rPr>
        <w:t xml:space="preserve"> 2017</w:t>
      </w:r>
      <w:r w:rsidR="0038555C" w:rsidRPr="0022504B">
        <w:rPr>
          <w:rFonts w:ascii="Calibri" w:hAnsi="Calibri" w:cs="Calibri"/>
          <w:sz w:val="22"/>
        </w:rPr>
        <w:t>)</w:t>
      </w:r>
      <w:r w:rsidRPr="0022504B">
        <w:rPr>
          <w:rFonts w:ascii="Calibri" w:hAnsi="Calibri" w:cs="Calibri"/>
          <w:sz w:val="22"/>
        </w:rPr>
        <w:t>. Prior studies have shown that gender operates as a diffuse status characteristic that can influence evaluations even when it is normatively rejected in explicit attitudes. Moreover, research on gender segregation in higher education and occupations has shown that men and women often pursue different career paths even within the same field of study. This suggests that evaluative processes may vary across fields, depending on their institutional and occupational contexts.</w:t>
      </w:r>
    </w:p>
    <w:p w14:paraId="0941AD39" w14:textId="2249B76A" w:rsidR="007469A0" w:rsidRPr="0022504B" w:rsidRDefault="007469A0" w:rsidP="007469A0">
      <w:pPr>
        <w:rPr>
          <w:rFonts w:ascii="Calibri" w:hAnsi="Calibri" w:cs="Calibri"/>
          <w:sz w:val="22"/>
        </w:rPr>
      </w:pPr>
      <w:r w:rsidRPr="0022504B">
        <w:rPr>
          <w:rFonts w:ascii="Calibri" w:hAnsi="Calibri" w:cs="Calibri"/>
          <w:sz w:val="22"/>
        </w:rPr>
        <w:t xml:space="preserve">To investigate these issues, the study uses a vignette experiment embedded in a survey. Respondents evaluate hypothetical firms that differ in salary, working hours, job stability, and benefits. </w:t>
      </w:r>
      <w:r w:rsidR="009B0CA8" w:rsidRPr="0022504B">
        <w:rPr>
          <w:rFonts w:ascii="Calibri" w:hAnsi="Calibri" w:cs="Calibri"/>
          <w:sz w:val="22"/>
        </w:rPr>
        <w:t>This method is particularly appropriate because it allows multiple firm attributes to be randomly varied across hypothetical employers, thereby enabling a systematic examination of how respondents weigh and respond to different elements in the evaluation process</w:t>
      </w:r>
      <w:r w:rsidR="00C85964">
        <w:rPr>
          <w:rFonts w:ascii="Calibri" w:hAnsi="Calibri" w:cs="Calibri" w:hint="eastAsia"/>
          <w:sz w:val="22"/>
        </w:rPr>
        <w:t xml:space="preserve"> </w:t>
      </w:r>
      <w:r w:rsidR="00907295" w:rsidRPr="0022504B">
        <w:rPr>
          <w:rFonts w:ascii="Calibri" w:hAnsi="Calibri" w:cs="Calibri"/>
          <w:sz w:val="22"/>
        </w:rPr>
        <w:t>(Schachter &amp; Weisshaar</w:t>
      </w:r>
      <w:r w:rsidR="002D7820">
        <w:rPr>
          <w:rFonts w:ascii="Calibri" w:hAnsi="Calibri" w:cs="Calibri" w:hint="eastAsia"/>
          <w:sz w:val="22"/>
        </w:rPr>
        <w:t>,</w:t>
      </w:r>
      <w:r w:rsidR="00907295" w:rsidRPr="0022504B">
        <w:rPr>
          <w:rFonts w:ascii="Calibri" w:hAnsi="Calibri" w:cs="Calibri"/>
          <w:sz w:val="22"/>
        </w:rPr>
        <w:t xml:space="preserve"> 2025)</w:t>
      </w:r>
      <w:r w:rsidR="009B0CA8" w:rsidRPr="0022504B">
        <w:rPr>
          <w:rFonts w:ascii="Calibri" w:hAnsi="Calibri" w:cs="Calibri"/>
          <w:sz w:val="22"/>
        </w:rPr>
        <w:t xml:space="preserve">. </w:t>
      </w:r>
      <w:r w:rsidRPr="0022504B">
        <w:rPr>
          <w:rFonts w:ascii="Calibri" w:hAnsi="Calibri" w:cs="Calibri"/>
          <w:sz w:val="22"/>
        </w:rPr>
        <w:t>The sample consists of university students in Japan, allowing for a comparison across four groups: men and women in the humanities and social sciences</w:t>
      </w:r>
      <w:r w:rsidR="00A14565" w:rsidRPr="0022504B">
        <w:rPr>
          <w:rFonts w:ascii="Calibri" w:hAnsi="Calibri" w:cs="Calibri"/>
          <w:sz w:val="22"/>
        </w:rPr>
        <w:t>,</w:t>
      </w:r>
      <w:r w:rsidRPr="0022504B">
        <w:rPr>
          <w:rFonts w:ascii="Calibri" w:hAnsi="Calibri" w:cs="Calibri"/>
          <w:sz w:val="22"/>
        </w:rPr>
        <w:t xml:space="preserve"> and in STEM fields.</w:t>
      </w:r>
    </w:p>
    <w:p w14:paraId="6D3518A6" w14:textId="77777777" w:rsidR="007469A0" w:rsidRPr="0022504B" w:rsidRDefault="007469A0" w:rsidP="007469A0">
      <w:pPr>
        <w:rPr>
          <w:rFonts w:ascii="Calibri" w:hAnsi="Calibri" w:cs="Calibri"/>
          <w:sz w:val="22"/>
        </w:rPr>
      </w:pPr>
      <w:r w:rsidRPr="0022504B">
        <w:rPr>
          <w:rFonts w:ascii="Calibri" w:hAnsi="Calibri" w:cs="Calibri"/>
          <w:sz w:val="22"/>
        </w:rPr>
        <w:t xml:space="preserve">The empirical strategy focuses on comparing the structure of evaluation across groups. Specifically, regression models are estimated separately for each subgroup to assess how strongly different firm attributes predict overall evaluations and application intentions. This approach makes it possible to identify whether individuals differ not only in average preferences </w:t>
      </w:r>
      <w:r w:rsidRPr="0022504B">
        <w:rPr>
          <w:rFonts w:ascii="Calibri" w:hAnsi="Calibri" w:cs="Calibri"/>
          <w:sz w:val="22"/>
        </w:rPr>
        <w:lastRenderedPageBreak/>
        <w:t>but also in the relative weight they assign to different job characteristics.</w:t>
      </w:r>
    </w:p>
    <w:p w14:paraId="6F0C363F" w14:textId="77777777" w:rsidR="007469A0" w:rsidRPr="0022504B" w:rsidRDefault="007469A0" w:rsidP="007469A0">
      <w:pPr>
        <w:rPr>
          <w:rFonts w:ascii="Calibri" w:hAnsi="Calibri" w:cs="Calibri"/>
          <w:sz w:val="22"/>
        </w:rPr>
      </w:pPr>
      <w:r w:rsidRPr="0022504B">
        <w:rPr>
          <w:rFonts w:ascii="Calibri" w:hAnsi="Calibri" w:cs="Calibri"/>
          <w:sz w:val="22"/>
        </w:rPr>
        <w:t>The analysis will examine whether differences across gender and field of study are reflected in the relative importance assigned to firm attributes such as salary, working hours, and job stability. It will also examine whether observed differences in evaluations can be explained by these observable attributes or whether they persist beyond them. If these expectations are supported, the findings would suggest that differences in job choice are shaped by distinct evaluative structures rather than by stable preferences alone.</w:t>
      </w:r>
    </w:p>
    <w:p w14:paraId="0D4568EA" w14:textId="435DEF1A" w:rsidR="00597A52" w:rsidRPr="0022504B" w:rsidRDefault="007469A0" w:rsidP="007469A0">
      <w:pPr>
        <w:rPr>
          <w:rFonts w:ascii="Calibri" w:hAnsi="Calibri" w:cs="Calibri"/>
          <w:sz w:val="22"/>
        </w:rPr>
      </w:pPr>
      <w:r w:rsidRPr="0022504B">
        <w:rPr>
          <w:rFonts w:ascii="Calibri" w:hAnsi="Calibri" w:cs="Calibri"/>
          <w:sz w:val="22"/>
        </w:rPr>
        <w:t>By focusing on preference formation rather than observed outcomes, this study contributes to research on labor market inequality in two ways. Empirically, it provides evidence on how gender and field of study shape the evaluation of firms at the point of labor market entry. Theoretically, it advances our understanding of how status beliefs and institutional contexts interact to produce structured patterns of job choice. More broadly, the study highlights the importance of examining not only what individuals choose, but how institutional contexts shape the way they evaluate available options.</w:t>
      </w:r>
    </w:p>
    <w:p w14:paraId="36EF9288" w14:textId="77777777" w:rsidR="00823E38" w:rsidRPr="0022504B" w:rsidRDefault="00823E38" w:rsidP="007469A0">
      <w:pPr>
        <w:rPr>
          <w:rFonts w:ascii="Calibri" w:hAnsi="Calibri" w:cs="Calibri"/>
          <w:sz w:val="22"/>
        </w:rPr>
      </w:pPr>
    </w:p>
    <w:p w14:paraId="186E24B0" w14:textId="00884424" w:rsidR="00823E38" w:rsidRPr="0022504B" w:rsidRDefault="00823E38" w:rsidP="007469A0">
      <w:pPr>
        <w:rPr>
          <w:rFonts w:ascii="Calibri" w:hAnsi="Calibri" w:cs="Calibri"/>
          <w:sz w:val="22"/>
        </w:rPr>
      </w:pPr>
      <w:r w:rsidRPr="0022504B">
        <w:rPr>
          <w:rFonts w:ascii="Calibri" w:hAnsi="Calibri" w:cs="Calibri"/>
          <w:sz w:val="22"/>
        </w:rPr>
        <w:t>Keywords: Labor Market Entry, Field of Study, Gender, Vignette Experiment</w:t>
      </w:r>
    </w:p>
    <w:p w14:paraId="1F4111A4" w14:textId="77777777" w:rsidR="00C40EB4" w:rsidRPr="0022504B" w:rsidRDefault="00C40EB4" w:rsidP="007469A0">
      <w:pPr>
        <w:rPr>
          <w:rFonts w:ascii="Calibri" w:hAnsi="Calibri" w:cs="Calibri"/>
          <w:sz w:val="22"/>
        </w:rPr>
      </w:pPr>
    </w:p>
    <w:p w14:paraId="2902A718" w14:textId="1F068F8D" w:rsidR="00C40EB4" w:rsidRPr="0022504B" w:rsidRDefault="00C40EB4" w:rsidP="007469A0">
      <w:pPr>
        <w:rPr>
          <w:rFonts w:ascii="Calibri" w:hAnsi="Calibri" w:cs="Calibri"/>
          <w:sz w:val="22"/>
        </w:rPr>
      </w:pPr>
      <w:r w:rsidRPr="0022504B">
        <w:rPr>
          <w:rFonts w:ascii="Calibri" w:hAnsi="Calibri" w:cs="Calibri"/>
          <w:sz w:val="22"/>
        </w:rPr>
        <w:t>References:</w:t>
      </w:r>
    </w:p>
    <w:p w14:paraId="2F913F77" w14:textId="481C0845" w:rsidR="00A9222C" w:rsidRPr="0022504B" w:rsidRDefault="00A9222C" w:rsidP="00A9222C">
      <w:pPr>
        <w:rPr>
          <w:rFonts w:ascii="Calibri" w:hAnsi="Calibri" w:cs="Calibri"/>
          <w:sz w:val="22"/>
        </w:rPr>
      </w:pPr>
      <w:r w:rsidRPr="0022504B">
        <w:rPr>
          <w:rFonts w:ascii="Calibri" w:hAnsi="Calibri" w:cs="Calibri"/>
          <w:sz w:val="22"/>
        </w:rPr>
        <w:t xml:space="preserve">Pager, D., &amp; Pedulla, D. S. (2015). Race, self-selection, and the job search process. </w:t>
      </w:r>
      <w:r w:rsidRPr="00E82DFB">
        <w:rPr>
          <w:rFonts w:ascii="Calibri" w:hAnsi="Calibri" w:cs="Calibri"/>
          <w:i/>
          <w:iCs/>
          <w:sz w:val="22"/>
        </w:rPr>
        <w:t>American Journal of Sociology</w:t>
      </w:r>
      <w:r w:rsidRPr="0022504B">
        <w:rPr>
          <w:rFonts w:ascii="Calibri" w:hAnsi="Calibri" w:cs="Calibri"/>
          <w:sz w:val="22"/>
        </w:rPr>
        <w:t xml:space="preserve">, </w:t>
      </w:r>
      <w:r w:rsidRPr="00EA58E4">
        <w:rPr>
          <w:rFonts w:ascii="Calibri" w:hAnsi="Calibri" w:cs="Calibri"/>
          <w:i/>
          <w:iCs/>
          <w:sz w:val="22"/>
        </w:rPr>
        <w:t>120</w:t>
      </w:r>
      <w:r w:rsidRPr="0022504B">
        <w:rPr>
          <w:rFonts w:ascii="Calibri" w:hAnsi="Calibri" w:cs="Calibri"/>
          <w:sz w:val="22"/>
        </w:rPr>
        <w:t>(4)</w:t>
      </w:r>
      <w:r w:rsidRPr="00EA58E4">
        <w:rPr>
          <w:rFonts w:ascii="Calibri" w:hAnsi="Calibri" w:cs="Calibri"/>
          <w:i/>
          <w:iCs/>
          <w:sz w:val="22"/>
        </w:rPr>
        <w:t>,</w:t>
      </w:r>
      <w:r w:rsidRPr="0022504B">
        <w:rPr>
          <w:rFonts w:ascii="Calibri" w:hAnsi="Calibri" w:cs="Calibri"/>
          <w:sz w:val="22"/>
        </w:rPr>
        <w:t xml:space="preserve"> 1005–1054. </w:t>
      </w:r>
      <w:hyperlink r:id="rId4" w:history="1">
        <w:r w:rsidR="00595E2C" w:rsidRPr="0022504B">
          <w:rPr>
            <w:rStyle w:val="aa"/>
            <w:rFonts w:ascii="Calibri" w:hAnsi="Calibri" w:cs="Calibri"/>
            <w:sz w:val="22"/>
          </w:rPr>
          <w:t>https://doi.org/10.1086/681072</w:t>
        </w:r>
      </w:hyperlink>
    </w:p>
    <w:p w14:paraId="6271DCBB" w14:textId="259026EF" w:rsidR="00F870EE" w:rsidRPr="0022504B" w:rsidRDefault="00952987" w:rsidP="00A9222C">
      <w:pPr>
        <w:rPr>
          <w:rFonts w:ascii="Calibri" w:hAnsi="Calibri" w:cs="Calibri"/>
          <w:sz w:val="22"/>
        </w:rPr>
      </w:pPr>
      <w:r w:rsidRPr="0022504B">
        <w:rPr>
          <w:rFonts w:ascii="Calibri" w:hAnsi="Calibri" w:cs="Calibri"/>
          <w:sz w:val="22"/>
        </w:rPr>
        <w:t xml:space="preserve">Schachter, A., &amp; Weisshaar, K. (2025). Survey experiments in sociology. </w:t>
      </w:r>
      <w:r w:rsidRPr="008B3520">
        <w:rPr>
          <w:rFonts w:ascii="Calibri" w:hAnsi="Calibri" w:cs="Calibri"/>
          <w:i/>
          <w:iCs/>
          <w:sz w:val="22"/>
        </w:rPr>
        <w:t>Annual Review of Sociology</w:t>
      </w:r>
      <w:r w:rsidRPr="0022504B">
        <w:rPr>
          <w:rFonts w:ascii="Calibri" w:hAnsi="Calibri" w:cs="Calibri"/>
          <w:sz w:val="22"/>
        </w:rPr>
        <w:t xml:space="preserve">, </w:t>
      </w:r>
      <w:r w:rsidRPr="00EA58E4">
        <w:rPr>
          <w:rFonts w:ascii="Calibri" w:hAnsi="Calibri" w:cs="Calibri"/>
          <w:i/>
          <w:iCs/>
          <w:sz w:val="22"/>
        </w:rPr>
        <w:t>51</w:t>
      </w:r>
      <w:r w:rsidRPr="0022504B">
        <w:rPr>
          <w:rFonts w:ascii="Calibri" w:hAnsi="Calibri" w:cs="Calibri"/>
          <w:sz w:val="22"/>
        </w:rPr>
        <w:t>(1)</w:t>
      </w:r>
      <w:r w:rsidRPr="00EA58E4">
        <w:rPr>
          <w:rFonts w:ascii="Calibri" w:hAnsi="Calibri" w:cs="Calibri"/>
          <w:i/>
          <w:iCs/>
          <w:sz w:val="22"/>
        </w:rPr>
        <w:t xml:space="preserve">, </w:t>
      </w:r>
      <w:r w:rsidRPr="0022504B">
        <w:rPr>
          <w:rFonts w:ascii="Calibri" w:hAnsi="Calibri" w:cs="Calibri"/>
          <w:sz w:val="22"/>
        </w:rPr>
        <w:t>149–169. https://doi.org/10.1146/annurev-soc-083024-070113</w:t>
      </w:r>
    </w:p>
    <w:p w14:paraId="26A461AD" w14:textId="2FFEF10A" w:rsidR="00595E2C" w:rsidRPr="0022504B" w:rsidRDefault="00595E2C" w:rsidP="00A9222C">
      <w:pPr>
        <w:rPr>
          <w:rFonts w:ascii="Calibri" w:hAnsi="Calibri" w:cs="Calibri"/>
          <w:sz w:val="22"/>
        </w:rPr>
      </w:pPr>
      <w:r w:rsidRPr="0022504B">
        <w:rPr>
          <w:rFonts w:ascii="Calibri" w:hAnsi="Calibri" w:cs="Calibri"/>
          <w:sz w:val="22"/>
        </w:rPr>
        <w:t xml:space="preserve">Senoo, A. (2023). </w:t>
      </w:r>
      <w:proofErr w:type="spellStart"/>
      <w:r w:rsidRPr="004E6139">
        <w:rPr>
          <w:rFonts w:ascii="Calibri" w:hAnsi="Calibri" w:cs="Calibri"/>
          <w:i/>
          <w:iCs/>
          <w:sz w:val="22"/>
        </w:rPr>
        <w:t>Shūkatsu</w:t>
      </w:r>
      <w:proofErr w:type="spellEnd"/>
      <w:r w:rsidRPr="004E6139">
        <w:rPr>
          <w:rFonts w:ascii="Calibri" w:hAnsi="Calibri" w:cs="Calibri"/>
          <w:i/>
          <w:iCs/>
          <w:sz w:val="22"/>
        </w:rPr>
        <w:t xml:space="preserve"> no </w:t>
      </w:r>
      <w:proofErr w:type="spellStart"/>
      <w:r w:rsidRPr="004E6139">
        <w:rPr>
          <w:rFonts w:ascii="Calibri" w:hAnsi="Calibri" w:cs="Calibri"/>
          <w:i/>
          <w:iCs/>
          <w:sz w:val="22"/>
        </w:rPr>
        <w:t>shakaigaku</w:t>
      </w:r>
      <w:proofErr w:type="spellEnd"/>
      <w:r w:rsidRPr="0022504B">
        <w:rPr>
          <w:rFonts w:ascii="Calibri" w:hAnsi="Calibri" w:cs="Calibri"/>
          <w:sz w:val="22"/>
        </w:rPr>
        <w:t xml:space="preserve"> [The sociology of job hunting]. </w:t>
      </w:r>
      <w:proofErr w:type="spellStart"/>
      <w:r w:rsidRPr="0022504B">
        <w:rPr>
          <w:rFonts w:ascii="Calibri" w:hAnsi="Calibri" w:cs="Calibri"/>
          <w:sz w:val="22"/>
        </w:rPr>
        <w:t>Kōyō</w:t>
      </w:r>
      <w:proofErr w:type="spellEnd"/>
      <w:r w:rsidRPr="0022504B">
        <w:rPr>
          <w:rFonts w:ascii="Calibri" w:hAnsi="Calibri" w:cs="Calibri"/>
          <w:sz w:val="22"/>
        </w:rPr>
        <w:t xml:space="preserve"> </w:t>
      </w:r>
      <w:proofErr w:type="spellStart"/>
      <w:r w:rsidRPr="0022504B">
        <w:rPr>
          <w:rFonts w:ascii="Calibri" w:hAnsi="Calibri" w:cs="Calibri"/>
          <w:sz w:val="22"/>
        </w:rPr>
        <w:t>Shobō</w:t>
      </w:r>
      <w:proofErr w:type="spellEnd"/>
      <w:r w:rsidRPr="0022504B">
        <w:rPr>
          <w:rFonts w:ascii="Calibri" w:hAnsi="Calibri" w:cs="Calibri"/>
          <w:sz w:val="22"/>
        </w:rPr>
        <w:t>.</w:t>
      </w:r>
    </w:p>
    <w:p w14:paraId="723C75AB" w14:textId="77777777" w:rsidR="00A9222C" w:rsidRPr="0022504B" w:rsidRDefault="00A9222C" w:rsidP="00A9222C">
      <w:pPr>
        <w:rPr>
          <w:rFonts w:ascii="Calibri" w:hAnsi="Calibri" w:cs="Calibri"/>
          <w:sz w:val="22"/>
        </w:rPr>
      </w:pPr>
      <w:r w:rsidRPr="0022504B">
        <w:rPr>
          <w:rFonts w:ascii="Calibri" w:hAnsi="Calibri" w:cs="Calibri"/>
          <w:sz w:val="22"/>
        </w:rPr>
        <w:t xml:space="preserve">Thébaud, S., &amp; Charles, M. (2018). Segregation, stereotypes, and STEM. </w:t>
      </w:r>
      <w:r w:rsidRPr="008B3520">
        <w:rPr>
          <w:rFonts w:ascii="Calibri" w:hAnsi="Calibri" w:cs="Calibri"/>
          <w:i/>
          <w:iCs/>
          <w:sz w:val="22"/>
        </w:rPr>
        <w:t>Social Sciences</w:t>
      </w:r>
      <w:r w:rsidRPr="00EA58E4">
        <w:rPr>
          <w:rFonts w:ascii="Calibri" w:hAnsi="Calibri" w:cs="Calibri"/>
          <w:i/>
          <w:iCs/>
          <w:sz w:val="22"/>
        </w:rPr>
        <w:t>,</w:t>
      </w:r>
      <w:r w:rsidRPr="0022504B">
        <w:rPr>
          <w:rFonts w:ascii="Calibri" w:hAnsi="Calibri" w:cs="Calibri"/>
          <w:sz w:val="22"/>
        </w:rPr>
        <w:t xml:space="preserve"> </w:t>
      </w:r>
      <w:r w:rsidRPr="00EA58E4">
        <w:rPr>
          <w:rFonts w:ascii="Calibri" w:hAnsi="Calibri" w:cs="Calibri"/>
          <w:i/>
          <w:iCs/>
          <w:sz w:val="22"/>
        </w:rPr>
        <w:t>7</w:t>
      </w:r>
      <w:r w:rsidRPr="0022504B">
        <w:rPr>
          <w:rFonts w:ascii="Calibri" w:hAnsi="Calibri" w:cs="Calibri"/>
          <w:sz w:val="22"/>
        </w:rPr>
        <w:t>(7), Article 111. https://doi.org/10.3390/socsci7070111</w:t>
      </w:r>
    </w:p>
    <w:p w14:paraId="404E3D02" w14:textId="56FDB5B4" w:rsidR="00AF3D72" w:rsidRPr="0022504B" w:rsidRDefault="00A9222C" w:rsidP="00A9222C">
      <w:pPr>
        <w:rPr>
          <w:rFonts w:ascii="Calibri" w:hAnsi="Calibri" w:cs="Calibri" w:hint="eastAsia"/>
          <w:sz w:val="22"/>
        </w:rPr>
      </w:pPr>
      <w:r w:rsidRPr="0022504B">
        <w:rPr>
          <w:rFonts w:ascii="Calibri" w:hAnsi="Calibri" w:cs="Calibri"/>
          <w:sz w:val="22"/>
        </w:rPr>
        <w:t xml:space="preserve">Xu, Y. J. (2017). Attrition of women in STEM: Examining job/major congruence in the career choices of college graduates. </w:t>
      </w:r>
      <w:r w:rsidRPr="008B3520">
        <w:rPr>
          <w:rFonts w:ascii="Calibri" w:hAnsi="Calibri" w:cs="Calibri"/>
          <w:i/>
          <w:iCs/>
          <w:sz w:val="22"/>
        </w:rPr>
        <w:t>Journal of Career Development</w:t>
      </w:r>
      <w:r w:rsidRPr="00EA58E4">
        <w:rPr>
          <w:rFonts w:ascii="Calibri" w:hAnsi="Calibri" w:cs="Calibri"/>
          <w:i/>
          <w:iCs/>
          <w:sz w:val="22"/>
        </w:rPr>
        <w:t>, 44</w:t>
      </w:r>
      <w:r w:rsidRPr="0022504B">
        <w:rPr>
          <w:rFonts w:ascii="Calibri" w:hAnsi="Calibri" w:cs="Calibri"/>
          <w:sz w:val="22"/>
        </w:rPr>
        <w:t>(1), 3–19. https://doi.org/10.1177/0894845316633787</w:t>
      </w:r>
    </w:p>
    <w:sectPr w:rsidR="00AF3D72" w:rsidRPr="0022504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756"/>
    <w:rsid w:val="000A737D"/>
    <w:rsid w:val="001F5E11"/>
    <w:rsid w:val="0022504B"/>
    <w:rsid w:val="002A11B1"/>
    <w:rsid w:val="002D7820"/>
    <w:rsid w:val="0038555C"/>
    <w:rsid w:val="003E5756"/>
    <w:rsid w:val="004E6139"/>
    <w:rsid w:val="00595E2C"/>
    <w:rsid w:val="00597A52"/>
    <w:rsid w:val="006407C9"/>
    <w:rsid w:val="007469A0"/>
    <w:rsid w:val="00804D87"/>
    <w:rsid w:val="00823E38"/>
    <w:rsid w:val="008B3520"/>
    <w:rsid w:val="00902F8E"/>
    <w:rsid w:val="00907295"/>
    <w:rsid w:val="00952987"/>
    <w:rsid w:val="009B0CA8"/>
    <w:rsid w:val="009B302E"/>
    <w:rsid w:val="00A10B6C"/>
    <w:rsid w:val="00A14565"/>
    <w:rsid w:val="00A9222C"/>
    <w:rsid w:val="00AF3D72"/>
    <w:rsid w:val="00B658F2"/>
    <w:rsid w:val="00C00204"/>
    <w:rsid w:val="00C40EB4"/>
    <w:rsid w:val="00C85964"/>
    <w:rsid w:val="00CB6450"/>
    <w:rsid w:val="00D84D29"/>
    <w:rsid w:val="00DE54BD"/>
    <w:rsid w:val="00E82DFB"/>
    <w:rsid w:val="00EA58E4"/>
    <w:rsid w:val="00F75CD1"/>
    <w:rsid w:val="00F870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4F311EE"/>
  <w15:chartTrackingRefBased/>
  <w15:docId w15:val="{6C04CCD3-0D00-4357-9867-C2AC7181A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3E575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E575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E5756"/>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3E575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E575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E575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E575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E575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E575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E575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E575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E5756"/>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3E575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E575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E575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E575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E575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E575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E575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E575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E575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E575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E5756"/>
    <w:pPr>
      <w:spacing w:before="160" w:after="160"/>
      <w:jc w:val="center"/>
    </w:pPr>
    <w:rPr>
      <w:i/>
      <w:iCs/>
      <w:color w:val="404040" w:themeColor="text1" w:themeTint="BF"/>
    </w:rPr>
  </w:style>
  <w:style w:type="character" w:customStyle="1" w:styleId="a8">
    <w:name w:val="引用文 (文字)"/>
    <w:basedOn w:val="a0"/>
    <w:link w:val="a7"/>
    <w:uiPriority w:val="29"/>
    <w:rsid w:val="003E5756"/>
    <w:rPr>
      <w:i/>
      <w:iCs/>
      <w:color w:val="404040" w:themeColor="text1" w:themeTint="BF"/>
    </w:rPr>
  </w:style>
  <w:style w:type="paragraph" w:styleId="a9">
    <w:name w:val="List Paragraph"/>
    <w:basedOn w:val="a"/>
    <w:uiPriority w:val="34"/>
    <w:qFormat/>
    <w:rsid w:val="003E5756"/>
    <w:pPr>
      <w:ind w:left="720"/>
      <w:contextualSpacing/>
    </w:pPr>
  </w:style>
  <w:style w:type="character" w:styleId="21">
    <w:name w:val="Intense Emphasis"/>
    <w:basedOn w:val="a0"/>
    <w:uiPriority w:val="21"/>
    <w:qFormat/>
    <w:rsid w:val="003E5756"/>
    <w:rPr>
      <w:i/>
      <w:iCs/>
      <w:color w:val="0F4761" w:themeColor="accent1" w:themeShade="BF"/>
    </w:rPr>
  </w:style>
  <w:style w:type="paragraph" w:styleId="22">
    <w:name w:val="Intense Quote"/>
    <w:basedOn w:val="a"/>
    <w:next w:val="a"/>
    <w:link w:val="23"/>
    <w:uiPriority w:val="30"/>
    <w:qFormat/>
    <w:rsid w:val="003E57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E5756"/>
    <w:rPr>
      <w:i/>
      <w:iCs/>
      <w:color w:val="0F4761" w:themeColor="accent1" w:themeShade="BF"/>
    </w:rPr>
  </w:style>
  <w:style w:type="character" w:styleId="24">
    <w:name w:val="Intense Reference"/>
    <w:basedOn w:val="a0"/>
    <w:uiPriority w:val="32"/>
    <w:qFormat/>
    <w:rsid w:val="003E5756"/>
    <w:rPr>
      <w:b/>
      <w:bCs/>
      <w:smallCaps/>
      <w:color w:val="0F4761" w:themeColor="accent1" w:themeShade="BF"/>
      <w:spacing w:val="5"/>
    </w:rPr>
  </w:style>
  <w:style w:type="character" w:styleId="aa">
    <w:name w:val="Hyperlink"/>
    <w:basedOn w:val="a0"/>
    <w:uiPriority w:val="99"/>
    <w:unhideWhenUsed/>
    <w:rsid w:val="00C40EB4"/>
    <w:rPr>
      <w:color w:val="467886" w:themeColor="hyperlink"/>
      <w:u w:val="single"/>
    </w:rPr>
  </w:style>
  <w:style w:type="character" w:styleId="ab">
    <w:name w:val="Unresolved Mention"/>
    <w:basedOn w:val="a0"/>
    <w:uiPriority w:val="99"/>
    <w:semiHidden/>
    <w:unhideWhenUsed/>
    <w:rsid w:val="00C40E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86/681072"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127</TotalTime>
  <Pages>2</Pages>
  <Words>730</Words>
  <Characters>4161</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岳大 池田</dc:creator>
  <cp:keywords/>
  <dc:description/>
  <cp:lastModifiedBy>岳大 池田</cp:lastModifiedBy>
  <cp:revision>27</cp:revision>
  <dcterms:created xsi:type="dcterms:W3CDTF">2026-04-12T10:27:00Z</dcterms:created>
  <dcterms:modified xsi:type="dcterms:W3CDTF">2026-04-17T01:20:00Z</dcterms:modified>
</cp:coreProperties>
</file>