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B081C" w14:textId="5BA92FA4" w:rsidR="00BF029E" w:rsidRPr="006224D5" w:rsidRDefault="00BF029E" w:rsidP="00BF029E">
      <w:pPr>
        <w:spacing w:after="0" w:line="360" w:lineRule="auto"/>
        <w:rPr>
          <w:rFonts w:cstheme="minorHAnsi"/>
          <w:b/>
          <w:bCs/>
        </w:rPr>
      </w:pPr>
      <w:r w:rsidRPr="006224D5">
        <w:rPr>
          <w:rFonts w:cstheme="minorHAnsi"/>
          <w:b/>
          <w:bCs/>
        </w:rPr>
        <w:t>McMahon, Mary</w:t>
      </w:r>
    </w:p>
    <w:p w14:paraId="78B6C028" w14:textId="09EFA5F4" w:rsidR="00BF029E" w:rsidRPr="006224D5" w:rsidRDefault="00FD0554" w:rsidP="00BF029E">
      <w:pPr>
        <w:spacing w:after="0" w:line="360" w:lineRule="auto"/>
        <w:rPr>
          <w:rFonts w:cstheme="minorHAnsi"/>
          <w:b/>
          <w:bCs/>
        </w:rPr>
      </w:pPr>
      <w:r w:rsidRPr="006224D5">
        <w:rPr>
          <w:rFonts w:cstheme="minorHAnsi"/>
          <w:b/>
          <w:bCs/>
        </w:rPr>
        <w:t xml:space="preserve">Title: </w:t>
      </w:r>
      <w:r w:rsidR="00ED18B5" w:rsidRPr="006224D5">
        <w:rPr>
          <w:rFonts w:cstheme="minorHAnsi"/>
        </w:rPr>
        <w:t>Dr/</w:t>
      </w:r>
      <w:r w:rsidR="00BF029E" w:rsidRPr="006224D5">
        <w:rPr>
          <w:rFonts w:cstheme="minorHAnsi"/>
        </w:rPr>
        <w:t>Honorary Associate Professor</w:t>
      </w:r>
    </w:p>
    <w:p w14:paraId="1D3E9835" w14:textId="31301DC0" w:rsidR="00ED18B5" w:rsidRPr="006224D5" w:rsidRDefault="00ED18B5" w:rsidP="00BF029E">
      <w:pPr>
        <w:spacing w:after="0" w:line="360" w:lineRule="auto"/>
        <w:rPr>
          <w:rFonts w:cstheme="minorHAnsi"/>
          <w:b/>
          <w:bCs/>
        </w:rPr>
      </w:pPr>
      <w:r w:rsidRPr="006224D5">
        <w:rPr>
          <w:rFonts w:cstheme="minorHAnsi"/>
          <w:b/>
          <w:bCs/>
        </w:rPr>
        <w:t xml:space="preserve">Email: </w:t>
      </w:r>
      <w:r w:rsidRPr="006224D5">
        <w:rPr>
          <w:rFonts w:cstheme="minorHAnsi"/>
        </w:rPr>
        <w:t>marylmcmahon@uq.edu.au</w:t>
      </w:r>
    </w:p>
    <w:p w14:paraId="545EE1B1" w14:textId="2588378C" w:rsidR="00ED18B5" w:rsidRPr="006224D5" w:rsidRDefault="00FD0554" w:rsidP="00ED18B5">
      <w:pPr>
        <w:spacing w:after="0" w:line="360" w:lineRule="auto"/>
        <w:rPr>
          <w:rFonts w:cstheme="minorHAnsi"/>
          <w:b/>
          <w:bCs/>
        </w:rPr>
      </w:pPr>
      <w:r w:rsidRPr="006224D5">
        <w:rPr>
          <w:rFonts w:cstheme="minorHAnsi"/>
          <w:b/>
          <w:bCs/>
        </w:rPr>
        <w:t xml:space="preserve">Affiliation: </w:t>
      </w:r>
      <w:r w:rsidR="00ED18B5" w:rsidRPr="006224D5">
        <w:rPr>
          <w:rFonts w:cstheme="minorHAnsi"/>
        </w:rPr>
        <w:t>The University of Queensland</w:t>
      </w:r>
      <w:r w:rsidR="00ED18B5" w:rsidRPr="006224D5">
        <w:rPr>
          <w:rFonts w:cstheme="minorHAnsi"/>
          <w:b/>
          <w:bCs/>
        </w:rPr>
        <w:t xml:space="preserve"> </w:t>
      </w:r>
    </w:p>
    <w:p w14:paraId="6C9EEAF3" w14:textId="77777777" w:rsidR="00ED18B5" w:rsidRPr="006224D5" w:rsidRDefault="00ED18B5" w:rsidP="00ED18B5">
      <w:pPr>
        <w:spacing w:after="0" w:line="360" w:lineRule="auto"/>
        <w:rPr>
          <w:rFonts w:cstheme="minorHAnsi"/>
          <w:b/>
          <w:bCs/>
        </w:rPr>
      </w:pPr>
    </w:p>
    <w:p w14:paraId="7B87C762" w14:textId="63D0ABB1" w:rsidR="00994D60" w:rsidRPr="006224D5" w:rsidRDefault="00FD0554" w:rsidP="00ED18B5">
      <w:pPr>
        <w:spacing w:after="0" w:line="360" w:lineRule="auto"/>
        <w:rPr>
          <w:rFonts w:cstheme="minorHAnsi"/>
          <w:b/>
          <w:bCs/>
        </w:rPr>
      </w:pPr>
      <w:r w:rsidRPr="006224D5">
        <w:rPr>
          <w:rFonts w:cstheme="minorHAnsi"/>
          <w:b/>
          <w:bCs/>
        </w:rPr>
        <w:t xml:space="preserve">Proposal Title: </w:t>
      </w:r>
      <w:r w:rsidR="006410CF" w:rsidRPr="006224D5">
        <w:rPr>
          <w:rFonts w:cstheme="minorHAnsi"/>
        </w:rPr>
        <w:t xml:space="preserve">Ethical Practice and Practitioner Support: </w:t>
      </w:r>
      <w:r w:rsidR="00BF029E" w:rsidRPr="006224D5">
        <w:rPr>
          <w:rFonts w:cstheme="minorHAnsi"/>
        </w:rPr>
        <w:t>S</w:t>
      </w:r>
      <w:r w:rsidR="006410CF" w:rsidRPr="006224D5">
        <w:rPr>
          <w:rFonts w:cstheme="minorHAnsi"/>
        </w:rPr>
        <w:t>upervision</w:t>
      </w:r>
      <w:r w:rsidR="002858D7" w:rsidRPr="006224D5">
        <w:rPr>
          <w:rFonts w:cstheme="minorHAnsi"/>
        </w:rPr>
        <w:t>’s Potential Role</w:t>
      </w:r>
      <w:r w:rsidR="00BF029E" w:rsidRPr="006224D5">
        <w:rPr>
          <w:rFonts w:cstheme="minorHAnsi"/>
        </w:rPr>
        <w:t xml:space="preserve"> in School Guidance</w:t>
      </w:r>
      <w:r w:rsidR="002858D7" w:rsidRPr="006224D5">
        <w:rPr>
          <w:rFonts w:cstheme="minorHAnsi"/>
        </w:rPr>
        <w:t>,</w:t>
      </w:r>
      <w:r w:rsidR="00BF029E" w:rsidRPr="006224D5">
        <w:rPr>
          <w:rFonts w:cstheme="minorHAnsi"/>
        </w:rPr>
        <w:t xml:space="preserve"> Counselling</w:t>
      </w:r>
      <w:r w:rsidR="002858D7" w:rsidRPr="006224D5">
        <w:rPr>
          <w:rFonts w:cstheme="minorHAnsi"/>
        </w:rPr>
        <w:t>,</w:t>
      </w:r>
      <w:r w:rsidR="00BF029E" w:rsidRPr="006224D5">
        <w:rPr>
          <w:rFonts w:cstheme="minorHAnsi"/>
          <w:b/>
          <w:bCs/>
        </w:rPr>
        <w:t xml:space="preserve"> </w:t>
      </w:r>
      <w:r w:rsidR="002858D7" w:rsidRPr="006224D5">
        <w:rPr>
          <w:rFonts w:cstheme="minorHAnsi"/>
        </w:rPr>
        <w:t>and Career Practice</w:t>
      </w:r>
    </w:p>
    <w:p w14:paraId="284C719F" w14:textId="77777777" w:rsidR="00FD0554" w:rsidRPr="006224D5" w:rsidRDefault="00FD0554" w:rsidP="00BF029E">
      <w:pPr>
        <w:spacing w:after="0" w:line="360" w:lineRule="auto"/>
        <w:rPr>
          <w:rFonts w:cstheme="minorHAnsi"/>
          <w:b/>
          <w:bCs/>
        </w:rPr>
      </w:pPr>
    </w:p>
    <w:p w14:paraId="22B87728" w14:textId="69EAF16A" w:rsidR="00BF029E" w:rsidRPr="006F348B" w:rsidRDefault="003E7246" w:rsidP="00BF029E">
      <w:pPr>
        <w:spacing w:after="0" w:line="360" w:lineRule="auto"/>
        <w:rPr>
          <w:rFonts w:cstheme="minorHAnsi"/>
          <w:b/>
          <w:bCs/>
        </w:rPr>
      </w:pPr>
      <w:r w:rsidRPr="006224D5">
        <w:rPr>
          <w:rFonts w:cstheme="minorHAnsi"/>
          <w:b/>
          <w:bCs/>
        </w:rPr>
        <w:t xml:space="preserve">Conference Theme: </w:t>
      </w:r>
      <w:r w:rsidR="008F49D1" w:rsidRPr="006F348B">
        <w:rPr>
          <w:rFonts w:eastAsia="Times New Roman" w:cstheme="minorHAnsi"/>
          <w:b/>
          <w:bCs/>
        </w:rPr>
        <w:t xml:space="preserve">Best Practice – </w:t>
      </w:r>
      <w:proofErr w:type="spellStart"/>
      <w:r w:rsidR="008F49D1" w:rsidRPr="006F348B">
        <w:rPr>
          <w:rFonts w:eastAsia="Times New Roman" w:cstheme="minorHAnsi"/>
          <w:b/>
          <w:bCs/>
        </w:rPr>
        <w:t>Tupuānuku</w:t>
      </w:r>
      <w:proofErr w:type="spellEnd"/>
    </w:p>
    <w:p w14:paraId="0DC1A493" w14:textId="21F88647" w:rsidR="00BF029E" w:rsidRPr="006224D5" w:rsidRDefault="00BF029E" w:rsidP="00BF029E">
      <w:pPr>
        <w:spacing w:after="0" w:line="360" w:lineRule="auto"/>
        <w:rPr>
          <w:rFonts w:cstheme="minorHAnsi"/>
          <w:b/>
          <w:bCs/>
        </w:rPr>
      </w:pPr>
      <w:r w:rsidRPr="006224D5">
        <w:rPr>
          <w:rFonts w:cstheme="minorHAnsi"/>
          <w:b/>
          <w:bCs/>
        </w:rPr>
        <w:t xml:space="preserve">Keywords: </w:t>
      </w:r>
      <w:r w:rsidR="001F5DB7" w:rsidRPr="006224D5">
        <w:rPr>
          <w:rFonts w:cstheme="minorHAnsi"/>
        </w:rPr>
        <w:t>Supervision; Practitioner support; Ethical practice; School guidance and counselling; Career guidance</w:t>
      </w:r>
    </w:p>
    <w:p w14:paraId="33F4284D" w14:textId="77777777" w:rsidR="006F348B" w:rsidRDefault="006F348B" w:rsidP="003E7246">
      <w:pPr>
        <w:spacing w:after="0" w:line="360" w:lineRule="auto"/>
        <w:rPr>
          <w:rFonts w:cstheme="minorHAnsi"/>
          <w:b/>
          <w:bCs/>
        </w:rPr>
      </w:pPr>
    </w:p>
    <w:p w14:paraId="68A3282F" w14:textId="7AFF6C8C" w:rsidR="00BF029E" w:rsidRDefault="001F5DB7" w:rsidP="003E7246">
      <w:pPr>
        <w:spacing w:after="0" w:line="360" w:lineRule="auto"/>
        <w:rPr>
          <w:rFonts w:cstheme="minorHAnsi"/>
          <w:b/>
          <w:bCs/>
        </w:rPr>
      </w:pPr>
      <w:r w:rsidRPr="006224D5">
        <w:rPr>
          <w:rFonts w:cstheme="minorHAnsi"/>
          <w:b/>
          <w:bCs/>
        </w:rPr>
        <w:t xml:space="preserve">Abstract </w:t>
      </w:r>
    </w:p>
    <w:p w14:paraId="6A13B9C3" w14:textId="2588A57C" w:rsidR="0029667F" w:rsidRDefault="0029667F" w:rsidP="0029667F">
      <w:pPr>
        <w:spacing w:after="0" w:line="360" w:lineRule="auto"/>
        <w:rPr>
          <w:rFonts w:cstheme="minorHAnsi"/>
        </w:rPr>
      </w:pPr>
      <w:r w:rsidRPr="006224D5">
        <w:rPr>
          <w:rFonts w:cstheme="minorHAnsi"/>
        </w:rPr>
        <w:t>In an era of rapidly changing labour markets, complex societal change, and technological advances including AI, young people are transitioning from schools and higher education into less secure and rapidly changing labour markets. The issues presented by students to school guidance, counselling, and career practitioners are becoming more challenging and complex. At the same time, a range of new professional considerations is emerging through professionalisation of these disciplines, and practice advancements and innovations that are posing ethical challenges for practitioners. In these challenging contemporary environments, supporting practitioners is essential to foster their personal and professional growth, and promote reflective practice so that they can critically analyse their work and the ethical issues they face. Supervision, specifically clinical supervision, provides a safe space for supporting practitioners</w:t>
      </w:r>
      <w:r>
        <w:rPr>
          <w:rFonts w:cstheme="minorHAnsi"/>
        </w:rPr>
        <w:t xml:space="preserve"> and contributes to ethical practice</w:t>
      </w:r>
      <w:r w:rsidRPr="006224D5">
        <w:rPr>
          <w:rFonts w:cstheme="minorHAnsi"/>
        </w:rPr>
        <w:t xml:space="preserve">; supervision however, has received limited attention in </w:t>
      </w:r>
      <w:r w:rsidR="006F348B">
        <w:rPr>
          <w:rFonts w:cstheme="minorHAnsi"/>
        </w:rPr>
        <w:t>school guidance and counselling and career counselling</w:t>
      </w:r>
      <w:r w:rsidRPr="006224D5">
        <w:rPr>
          <w:rFonts w:cstheme="minorHAnsi"/>
        </w:rPr>
        <w:t xml:space="preserve">. </w:t>
      </w:r>
    </w:p>
    <w:p w14:paraId="181BCAD0" w14:textId="77777777" w:rsidR="0029667F" w:rsidRPr="006224D5" w:rsidRDefault="0029667F" w:rsidP="0029667F">
      <w:pPr>
        <w:spacing w:after="0" w:line="360" w:lineRule="auto"/>
        <w:rPr>
          <w:rFonts w:cstheme="minorHAnsi"/>
        </w:rPr>
      </w:pPr>
    </w:p>
    <w:p w14:paraId="1D17B73E" w14:textId="4A484DB0" w:rsidR="0029667F" w:rsidRPr="006224D5" w:rsidRDefault="0029667F" w:rsidP="0029667F">
      <w:pPr>
        <w:spacing w:after="0" w:line="360" w:lineRule="auto"/>
        <w:rPr>
          <w:rFonts w:cstheme="minorHAnsi"/>
        </w:rPr>
      </w:pPr>
      <w:r w:rsidRPr="006224D5">
        <w:rPr>
          <w:rFonts w:cstheme="minorHAnsi"/>
        </w:rPr>
        <w:t>The aim of this presentation is to consider the changing landscape of school guidance, counselling, and career practice and propose supervision, specifically clinical supervision, as a reflective space for supporting practitioners</w:t>
      </w:r>
      <w:r w:rsidR="00CF7284">
        <w:rPr>
          <w:rFonts w:cstheme="minorHAnsi"/>
        </w:rPr>
        <w:t xml:space="preserve"> and contributing to ethical practice</w:t>
      </w:r>
      <w:r w:rsidRPr="006224D5">
        <w:rPr>
          <w:rFonts w:cstheme="minorHAnsi"/>
        </w:rPr>
        <w:t xml:space="preserve">. In this presentation, the theoretical and research background to the what, why, when, and how of supervision will be overviewed as well as the implications of professionalisation and emerging ethical issues. A snapshot of results from relevant Australian research will be considered. Practical strategies for reflecting on practice and engaging in supervision will be offered.  </w:t>
      </w:r>
    </w:p>
    <w:p w14:paraId="157180C7" w14:textId="77777777" w:rsidR="001A4B22" w:rsidRPr="006224D5" w:rsidRDefault="001A4B22" w:rsidP="003E7246">
      <w:pPr>
        <w:spacing w:after="0" w:line="360" w:lineRule="auto"/>
        <w:rPr>
          <w:rFonts w:cstheme="minorHAnsi"/>
          <w:b/>
          <w:bCs/>
        </w:rPr>
      </w:pPr>
    </w:p>
    <w:p w14:paraId="166D29EC" w14:textId="0C49BBCD" w:rsidR="00F81C73" w:rsidRPr="006224D5" w:rsidRDefault="00F81C73" w:rsidP="003E7246">
      <w:pPr>
        <w:spacing w:after="0" w:line="360" w:lineRule="auto"/>
        <w:rPr>
          <w:rFonts w:cstheme="minorHAnsi"/>
          <w:b/>
          <w:bCs/>
        </w:rPr>
      </w:pPr>
      <w:r w:rsidRPr="006224D5">
        <w:rPr>
          <w:rFonts w:cstheme="minorHAnsi"/>
          <w:b/>
          <w:bCs/>
        </w:rPr>
        <w:t xml:space="preserve">Introduction </w:t>
      </w:r>
    </w:p>
    <w:p w14:paraId="0904E8D6" w14:textId="6C60820C" w:rsidR="00F81C73" w:rsidRPr="006224D5" w:rsidRDefault="003C6FA0" w:rsidP="0029667F">
      <w:pPr>
        <w:spacing w:after="0" w:line="360" w:lineRule="auto"/>
        <w:rPr>
          <w:rFonts w:cstheme="minorHAnsi"/>
        </w:rPr>
      </w:pPr>
      <w:r w:rsidRPr="006224D5">
        <w:rPr>
          <w:rFonts w:cstheme="minorHAnsi"/>
        </w:rPr>
        <w:lastRenderedPageBreak/>
        <w:t xml:space="preserve">In </w:t>
      </w:r>
      <w:r w:rsidR="00392392" w:rsidRPr="006224D5">
        <w:rPr>
          <w:rFonts w:cstheme="minorHAnsi"/>
        </w:rPr>
        <w:t>an era</w:t>
      </w:r>
      <w:r w:rsidRPr="006224D5">
        <w:rPr>
          <w:rFonts w:cstheme="minorHAnsi"/>
        </w:rPr>
        <w:t xml:space="preserve"> of rapidly changing labour markets</w:t>
      </w:r>
      <w:r w:rsidR="00FD0554" w:rsidRPr="006224D5">
        <w:rPr>
          <w:rFonts w:cstheme="minorHAnsi"/>
        </w:rPr>
        <w:t>,</w:t>
      </w:r>
      <w:r w:rsidRPr="006224D5">
        <w:rPr>
          <w:rFonts w:cstheme="minorHAnsi"/>
        </w:rPr>
        <w:t xml:space="preserve"> </w:t>
      </w:r>
      <w:r w:rsidR="00FD0554" w:rsidRPr="006224D5">
        <w:rPr>
          <w:rFonts w:cstheme="minorHAnsi"/>
        </w:rPr>
        <w:t>c</w:t>
      </w:r>
      <w:r w:rsidRPr="006224D5">
        <w:rPr>
          <w:rFonts w:cstheme="minorHAnsi"/>
        </w:rPr>
        <w:t xml:space="preserve">omplex societal change, </w:t>
      </w:r>
      <w:r w:rsidR="00FD0554" w:rsidRPr="006224D5">
        <w:rPr>
          <w:rFonts w:cstheme="minorHAnsi"/>
        </w:rPr>
        <w:t>and technological advances including AI,</w:t>
      </w:r>
      <w:r w:rsidR="00622840" w:rsidRPr="006224D5">
        <w:rPr>
          <w:rFonts w:cstheme="minorHAnsi"/>
        </w:rPr>
        <w:t xml:space="preserve"> young people are transitioning from schools and higher education into less secure and rapidly changing labour markets. T</w:t>
      </w:r>
      <w:r w:rsidRPr="006224D5">
        <w:rPr>
          <w:rFonts w:cstheme="minorHAnsi"/>
        </w:rPr>
        <w:t xml:space="preserve">he issues presented by </w:t>
      </w:r>
      <w:r w:rsidR="00FD0554" w:rsidRPr="006224D5">
        <w:rPr>
          <w:rFonts w:cstheme="minorHAnsi"/>
        </w:rPr>
        <w:t xml:space="preserve">students to </w:t>
      </w:r>
      <w:r w:rsidR="00622840" w:rsidRPr="006224D5">
        <w:rPr>
          <w:rFonts w:cstheme="minorHAnsi"/>
        </w:rPr>
        <w:t xml:space="preserve">school </w:t>
      </w:r>
      <w:r w:rsidR="00FD0554" w:rsidRPr="006224D5">
        <w:rPr>
          <w:rFonts w:cstheme="minorHAnsi"/>
        </w:rPr>
        <w:t>guidance</w:t>
      </w:r>
      <w:r w:rsidR="002858D7" w:rsidRPr="006224D5">
        <w:rPr>
          <w:rFonts w:cstheme="minorHAnsi"/>
        </w:rPr>
        <w:t>,</w:t>
      </w:r>
      <w:r w:rsidR="00FD0554" w:rsidRPr="006224D5">
        <w:rPr>
          <w:rFonts w:cstheme="minorHAnsi"/>
        </w:rPr>
        <w:t xml:space="preserve"> counselling</w:t>
      </w:r>
      <w:r w:rsidR="002858D7" w:rsidRPr="006224D5">
        <w:rPr>
          <w:rFonts w:cstheme="minorHAnsi"/>
        </w:rPr>
        <w:t>,</w:t>
      </w:r>
      <w:r w:rsidR="00FD0554" w:rsidRPr="006224D5">
        <w:rPr>
          <w:rFonts w:cstheme="minorHAnsi"/>
        </w:rPr>
        <w:t xml:space="preserve"> </w:t>
      </w:r>
      <w:r w:rsidR="002858D7" w:rsidRPr="006224D5">
        <w:rPr>
          <w:rFonts w:cstheme="minorHAnsi"/>
        </w:rPr>
        <w:t xml:space="preserve">and career </w:t>
      </w:r>
      <w:r w:rsidR="00FD0554" w:rsidRPr="006224D5">
        <w:rPr>
          <w:rFonts w:cstheme="minorHAnsi"/>
        </w:rPr>
        <w:t>practitioners</w:t>
      </w:r>
      <w:r w:rsidR="002858D7" w:rsidRPr="006224D5">
        <w:rPr>
          <w:rFonts w:cstheme="minorHAnsi"/>
        </w:rPr>
        <w:t xml:space="preserve"> </w:t>
      </w:r>
      <w:r w:rsidRPr="006224D5">
        <w:rPr>
          <w:rFonts w:cstheme="minorHAnsi"/>
        </w:rPr>
        <w:t xml:space="preserve">are becoming more challenging and complex. </w:t>
      </w:r>
      <w:r w:rsidR="00FD0554" w:rsidRPr="006224D5">
        <w:rPr>
          <w:rFonts w:cstheme="minorHAnsi"/>
        </w:rPr>
        <w:t xml:space="preserve">At the same time, a range of new </w:t>
      </w:r>
      <w:r w:rsidR="002858D7" w:rsidRPr="006224D5">
        <w:rPr>
          <w:rFonts w:cstheme="minorHAnsi"/>
        </w:rPr>
        <w:t xml:space="preserve">professional considerations is emerging </w:t>
      </w:r>
      <w:r w:rsidR="00622840" w:rsidRPr="006224D5">
        <w:rPr>
          <w:rFonts w:cstheme="minorHAnsi"/>
        </w:rPr>
        <w:t>through</w:t>
      </w:r>
      <w:r w:rsidR="002858D7" w:rsidRPr="006224D5">
        <w:rPr>
          <w:rFonts w:cstheme="minorHAnsi"/>
        </w:rPr>
        <w:t xml:space="preserve"> professionalisation</w:t>
      </w:r>
      <w:r w:rsidR="00622840" w:rsidRPr="006224D5">
        <w:rPr>
          <w:rFonts w:cstheme="minorHAnsi"/>
        </w:rPr>
        <w:t xml:space="preserve"> of these disciplines</w:t>
      </w:r>
      <w:r w:rsidR="002858D7" w:rsidRPr="006224D5">
        <w:rPr>
          <w:rFonts w:cstheme="minorHAnsi"/>
        </w:rPr>
        <w:t xml:space="preserve">, and practice advancements and innovations </w:t>
      </w:r>
      <w:r w:rsidR="00622840" w:rsidRPr="006224D5">
        <w:rPr>
          <w:rFonts w:cstheme="minorHAnsi"/>
        </w:rPr>
        <w:t xml:space="preserve">that </w:t>
      </w:r>
      <w:r w:rsidR="002858D7" w:rsidRPr="006224D5">
        <w:rPr>
          <w:rFonts w:cstheme="minorHAnsi"/>
        </w:rPr>
        <w:t>are posing ethical challenges for practitioners.</w:t>
      </w:r>
      <w:r w:rsidR="00FD0554" w:rsidRPr="006224D5">
        <w:rPr>
          <w:rFonts w:cstheme="minorHAnsi"/>
        </w:rPr>
        <w:t xml:space="preserve"> </w:t>
      </w:r>
      <w:r w:rsidR="002858D7" w:rsidRPr="006224D5">
        <w:rPr>
          <w:rFonts w:cstheme="minorHAnsi"/>
        </w:rPr>
        <w:t xml:space="preserve">In these challenging contemporary environments, </w:t>
      </w:r>
      <w:r w:rsidR="00622840" w:rsidRPr="006224D5">
        <w:rPr>
          <w:rFonts w:cstheme="minorHAnsi"/>
        </w:rPr>
        <w:t>s</w:t>
      </w:r>
      <w:r w:rsidR="002858D7" w:rsidRPr="006224D5">
        <w:rPr>
          <w:rFonts w:cstheme="minorHAnsi"/>
        </w:rPr>
        <w:t>upporting practitioners is essential to foster their personal and professional growth, and promote reflective practice so that they can critically analyse</w:t>
      </w:r>
      <w:r w:rsidR="00622840" w:rsidRPr="006224D5">
        <w:rPr>
          <w:rFonts w:cstheme="minorHAnsi"/>
        </w:rPr>
        <w:t xml:space="preserve"> their work and the ethical issues they face. </w:t>
      </w:r>
      <w:r w:rsidR="003765AD" w:rsidRPr="006224D5">
        <w:rPr>
          <w:rFonts w:cstheme="minorHAnsi"/>
        </w:rPr>
        <w:t>Supervision</w:t>
      </w:r>
      <w:r w:rsidR="00374EAE" w:rsidRPr="006224D5">
        <w:rPr>
          <w:rFonts w:cstheme="minorHAnsi"/>
        </w:rPr>
        <w:t>, specifically clinical supervision,</w:t>
      </w:r>
      <w:r w:rsidR="003765AD" w:rsidRPr="006224D5">
        <w:rPr>
          <w:rFonts w:cstheme="minorHAnsi"/>
        </w:rPr>
        <w:t xml:space="preserve"> </w:t>
      </w:r>
      <w:r w:rsidR="00ED2237" w:rsidRPr="006224D5">
        <w:rPr>
          <w:rFonts w:cstheme="minorHAnsi"/>
        </w:rPr>
        <w:t>provide</w:t>
      </w:r>
      <w:r w:rsidR="00622840" w:rsidRPr="006224D5">
        <w:rPr>
          <w:rFonts w:cstheme="minorHAnsi"/>
        </w:rPr>
        <w:t xml:space="preserve">s a safe space for </w:t>
      </w:r>
      <w:r w:rsidR="003765AD" w:rsidRPr="006224D5">
        <w:rPr>
          <w:rFonts w:cstheme="minorHAnsi"/>
        </w:rPr>
        <w:t>support</w:t>
      </w:r>
      <w:r w:rsidR="00622840" w:rsidRPr="006224D5">
        <w:rPr>
          <w:rFonts w:cstheme="minorHAnsi"/>
        </w:rPr>
        <w:t>ing</w:t>
      </w:r>
      <w:r w:rsidR="003765AD" w:rsidRPr="006224D5">
        <w:rPr>
          <w:rFonts w:cstheme="minorHAnsi"/>
        </w:rPr>
        <w:t xml:space="preserve"> </w:t>
      </w:r>
      <w:r w:rsidR="00FD0554" w:rsidRPr="006224D5">
        <w:rPr>
          <w:rFonts w:cstheme="minorHAnsi"/>
        </w:rPr>
        <w:t>practitioners</w:t>
      </w:r>
      <w:r w:rsidR="0029667F">
        <w:rPr>
          <w:rFonts w:cstheme="minorHAnsi"/>
        </w:rPr>
        <w:t xml:space="preserve"> and contributes to ethical practice</w:t>
      </w:r>
      <w:r w:rsidR="00622840" w:rsidRPr="006224D5">
        <w:rPr>
          <w:rFonts w:cstheme="minorHAnsi"/>
        </w:rPr>
        <w:t xml:space="preserve">; supervision however, has received limited attention in </w:t>
      </w:r>
      <w:r w:rsidR="00F765DE">
        <w:rPr>
          <w:rFonts w:cstheme="minorHAnsi"/>
        </w:rPr>
        <w:t>school guidance and counselling and career counselling</w:t>
      </w:r>
      <w:r w:rsidRPr="006224D5">
        <w:rPr>
          <w:rFonts w:cstheme="minorHAnsi"/>
        </w:rPr>
        <w:t xml:space="preserve">. </w:t>
      </w:r>
    </w:p>
    <w:p w14:paraId="6CA1C48A" w14:textId="130F860D" w:rsidR="00F81C73" w:rsidRPr="006224D5" w:rsidRDefault="00F81C73" w:rsidP="00F81C73">
      <w:pPr>
        <w:spacing w:after="0" w:line="360" w:lineRule="auto"/>
        <w:rPr>
          <w:rFonts w:cstheme="minorHAnsi"/>
        </w:rPr>
      </w:pPr>
      <w:r w:rsidRPr="006224D5">
        <w:rPr>
          <w:rFonts w:cstheme="minorHAnsi"/>
          <w:b/>
          <w:bCs/>
        </w:rPr>
        <w:t>Objectives</w:t>
      </w:r>
    </w:p>
    <w:p w14:paraId="5481F41E" w14:textId="4036F000" w:rsidR="00F81C73" w:rsidRPr="006224D5" w:rsidRDefault="003C6FA0" w:rsidP="006224D5">
      <w:pPr>
        <w:spacing w:after="0" w:line="360" w:lineRule="auto"/>
        <w:rPr>
          <w:rFonts w:cstheme="minorHAnsi"/>
        </w:rPr>
      </w:pPr>
      <w:r w:rsidRPr="006224D5">
        <w:rPr>
          <w:rFonts w:cstheme="minorHAnsi"/>
        </w:rPr>
        <w:t>Th</w:t>
      </w:r>
      <w:r w:rsidR="005C4DE1" w:rsidRPr="006224D5">
        <w:rPr>
          <w:rFonts w:cstheme="minorHAnsi"/>
        </w:rPr>
        <w:t>e aim of this</w:t>
      </w:r>
      <w:r w:rsidRPr="006224D5">
        <w:rPr>
          <w:rFonts w:cstheme="minorHAnsi"/>
        </w:rPr>
        <w:t xml:space="preserve"> presentation </w:t>
      </w:r>
      <w:r w:rsidR="005C4DE1" w:rsidRPr="006224D5">
        <w:rPr>
          <w:rFonts w:cstheme="minorHAnsi"/>
        </w:rPr>
        <w:t xml:space="preserve">is to </w:t>
      </w:r>
      <w:r w:rsidRPr="006224D5">
        <w:rPr>
          <w:rFonts w:cstheme="minorHAnsi"/>
        </w:rPr>
        <w:t xml:space="preserve">consider </w:t>
      </w:r>
      <w:r w:rsidR="00C33108" w:rsidRPr="006224D5">
        <w:rPr>
          <w:rFonts w:cstheme="minorHAnsi"/>
        </w:rPr>
        <w:t xml:space="preserve">the changing landscape of school guidance, counselling, and career practice and </w:t>
      </w:r>
      <w:r w:rsidR="003E0EA1" w:rsidRPr="006224D5">
        <w:rPr>
          <w:rFonts w:cstheme="minorHAnsi"/>
        </w:rPr>
        <w:t>propose supervision, specifically clinical supervision, as a</w:t>
      </w:r>
      <w:r w:rsidR="00622840" w:rsidRPr="006224D5">
        <w:rPr>
          <w:rFonts w:cstheme="minorHAnsi"/>
        </w:rPr>
        <w:t xml:space="preserve"> reflective space </w:t>
      </w:r>
      <w:r w:rsidR="003E0EA1" w:rsidRPr="006224D5">
        <w:rPr>
          <w:rFonts w:cstheme="minorHAnsi"/>
        </w:rPr>
        <w:t>for</w:t>
      </w:r>
      <w:r w:rsidR="00622840" w:rsidRPr="006224D5">
        <w:rPr>
          <w:rFonts w:cstheme="minorHAnsi"/>
        </w:rPr>
        <w:t xml:space="preserve"> support</w:t>
      </w:r>
      <w:r w:rsidR="003E0EA1" w:rsidRPr="006224D5">
        <w:rPr>
          <w:rFonts w:cstheme="minorHAnsi"/>
        </w:rPr>
        <w:t>ing</w:t>
      </w:r>
      <w:r w:rsidR="00622840" w:rsidRPr="006224D5">
        <w:rPr>
          <w:rFonts w:cstheme="minorHAnsi"/>
        </w:rPr>
        <w:t xml:space="preserve"> practitioners.</w:t>
      </w:r>
      <w:r w:rsidR="00F81C73" w:rsidRPr="006224D5">
        <w:rPr>
          <w:rFonts w:cstheme="minorHAnsi"/>
        </w:rPr>
        <w:t xml:space="preserve"> In this presentation, the theoretical and research background to the what, why, when, and how of supervision will be overviewed as well as the implications of professionalisation and emerging ethical issues. </w:t>
      </w:r>
      <w:r w:rsidR="006224D5" w:rsidRPr="006224D5">
        <w:rPr>
          <w:rFonts w:cstheme="minorHAnsi"/>
        </w:rPr>
        <w:t>A snapshot of r</w:t>
      </w:r>
      <w:r w:rsidR="00F81C73" w:rsidRPr="006224D5">
        <w:rPr>
          <w:rFonts w:cstheme="minorHAnsi"/>
        </w:rPr>
        <w:t xml:space="preserve">esults from relevant Australian research will be considered (e.g., McMahon et al., 2025; Pennell et al., 2023). Practical strategies for reflecting on practice and engaging in supervision will be offered.  </w:t>
      </w:r>
    </w:p>
    <w:p w14:paraId="5A0A9186" w14:textId="3C0A4781" w:rsidR="00374EAE" w:rsidRPr="006224D5" w:rsidRDefault="00F81C73" w:rsidP="00F81C73">
      <w:pPr>
        <w:spacing w:after="0" w:line="360" w:lineRule="auto"/>
        <w:rPr>
          <w:rFonts w:cstheme="minorHAnsi"/>
          <w:b/>
          <w:bCs/>
        </w:rPr>
      </w:pPr>
      <w:r w:rsidRPr="006224D5">
        <w:rPr>
          <w:rFonts w:cstheme="minorHAnsi"/>
          <w:b/>
          <w:bCs/>
        </w:rPr>
        <w:t>Theoretical Basis</w:t>
      </w:r>
      <w:r w:rsidR="003C6FA0" w:rsidRPr="006224D5">
        <w:rPr>
          <w:rFonts w:cstheme="minorHAnsi"/>
          <w:b/>
          <w:bCs/>
        </w:rPr>
        <w:t xml:space="preserve"> </w:t>
      </w:r>
    </w:p>
    <w:p w14:paraId="11BE716E" w14:textId="65E492B7" w:rsidR="003F2BEC" w:rsidRPr="003F2BEC" w:rsidRDefault="0029667F" w:rsidP="003F2BEC">
      <w:pPr>
        <w:pStyle w:val="Default"/>
        <w:spacing w:line="360" w:lineRule="auto"/>
        <w:rPr>
          <w:rFonts w:asciiTheme="minorHAnsi" w:hAnsiTheme="minorHAnsi" w:cstheme="minorHAnsi"/>
          <w:sz w:val="22"/>
          <w:szCs w:val="22"/>
        </w:rPr>
      </w:pPr>
      <w:r w:rsidRPr="0029667F">
        <w:rPr>
          <w:sz w:val="22"/>
          <w:szCs w:val="22"/>
        </w:rPr>
        <w:t>Supervision, specifically clinical supervision, offers practitioners “a supportive, learning relationship that works towards the development of best ethical and professional practice in client work” (Westergaard, 2013, p. 22).</w:t>
      </w:r>
      <w:r>
        <w:rPr>
          <w:rFonts w:ascii="Times New Roman" w:hAnsi="Times New Roman" w:cs="Times New Roman"/>
        </w:rPr>
        <w:t xml:space="preserve"> </w:t>
      </w:r>
      <w:r w:rsidR="003E0EA1" w:rsidRPr="006224D5">
        <w:rPr>
          <w:rFonts w:asciiTheme="minorHAnsi" w:hAnsiTheme="minorHAnsi" w:cstheme="minorHAnsi"/>
          <w:sz w:val="22"/>
          <w:szCs w:val="22"/>
        </w:rPr>
        <w:t xml:space="preserve">Clinical supervision concerns professional practice and differs from administrative supervision that considers organisational and managerial issues such as workplace conduct, role statements, and resource allocation. Unlike administrative supervision that is usually conducted by a line manager, clinical supervision involves experienced practitioners working with those who are less experienced. </w:t>
      </w:r>
      <w:r w:rsidR="00374EAE" w:rsidRPr="006224D5">
        <w:rPr>
          <w:rFonts w:asciiTheme="minorHAnsi" w:hAnsiTheme="minorHAnsi" w:cstheme="minorHAnsi"/>
          <w:sz w:val="22"/>
          <w:szCs w:val="22"/>
        </w:rPr>
        <w:t>Supervision facilitates a cyclical</w:t>
      </w:r>
      <w:r w:rsidR="00F25862">
        <w:rPr>
          <w:rFonts w:asciiTheme="minorHAnsi" w:hAnsiTheme="minorHAnsi" w:cstheme="minorHAnsi"/>
          <w:sz w:val="22"/>
          <w:szCs w:val="22"/>
        </w:rPr>
        <w:t xml:space="preserve"> experiential </w:t>
      </w:r>
      <w:r w:rsidR="00374EAE" w:rsidRPr="006224D5">
        <w:rPr>
          <w:rFonts w:asciiTheme="minorHAnsi" w:hAnsiTheme="minorHAnsi" w:cstheme="minorHAnsi"/>
          <w:sz w:val="22"/>
          <w:szCs w:val="22"/>
        </w:rPr>
        <w:t>learning process where practitioners can self-assess, self-reflect, respond to feedback, and apply learning from feedback in their practice</w:t>
      </w:r>
      <w:r w:rsidR="003F2BEC">
        <w:rPr>
          <w:rFonts w:asciiTheme="minorHAnsi" w:hAnsiTheme="minorHAnsi" w:cstheme="minorHAnsi"/>
          <w:sz w:val="22"/>
          <w:szCs w:val="22"/>
        </w:rPr>
        <w:t xml:space="preserve"> (Patton &amp; McMahon, 202</w:t>
      </w:r>
      <w:r w:rsidR="00F25862">
        <w:rPr>
          <w:rFonts w:asciiTheme="minorHAnsi" w:hAnsiTheme="minorHAnsi" w:cstheme="minorHAnsi"/>
          <w:sz w:val="22"/>
          <w:szCs w:val="22"/>
        </w:rPr>
        <w:t>1</w:t>
      </w:r>
      <w:r w:rsidR="003F2BEC">
        <w:rPr>
          <w:rFonts w:asciiTheme="minorHAnsi" w:hAnsiTheme="minorHAnsi" w:cstheme="minorHAnsi"/>
          <w:sz w:val="22"/>
          <w:szCs w:val="22"/>
        </w:rPr>
        <w:t>)</w:t>
      </w:r>
      <w:r w:rsidR="00374EAE" w:rsidRPr="006224D5">
        <w:rPr>
          <w:rFonts w:asciiTheme="minorHAnsi" w:hAnsiTheme="minorHAnsi" w:cstheme="minorHAnsi"/>
          <w:sz w:val="22"/>
          <w:szCs w:val="22"/>
        </w:rPr>
        <w:t xml:space="preserve">. </w:t>
      </w:r>
      <w:r w:rsidR="003F2BEC" w:rsidRPr="003F2BEC">
        <w:rPr>
          <w:rFonts w:asciiTheme="minorHAnsi" w:hAnsiTheme="minorHAnsi" w:cstheme="minorHAnsi"/>
          <w:sz w:val="22"/>
          <w:szCs w:val="22"/>
        </w:rPr>
        <w:t>In practice, supervision may be conducted in a one-on-one relationship between a supervisor and a supervisee or in small groups, including peer groups.</w:t>
      </w:r>
    </w:p>
    <w:p w14:paraId="081B42EE" w14:textId="521230AC" w:rsidR="00374EAE" w:rsidRDefault="00AE11D6" w:rsidP="006224D5">
      <w:pPr>
        <w:pStyle w:val="Default"/>
        <w:spacing w:line="360" w:lineRule="auto"/>
        <w:rPr>
          <w:rFonts w:asciiTheme="minorHAnsi" w:hAnsiTheme="minorHAnsi" w:cstheme="minorHAnsi"/>
          <w:sz w:val="22"/>
          <w:szCs w:val="22"/>
        </w:rPr>
      </w:pPr>
      <w:r w:rsidRPr="006224D5">
        <w:rPr>
          <w:rFonts w:asciiTheme="minorHAnsi" w:hAnsiTheme="minorHAnsi" w:cstheme="minorHAnsi"/>
          <w:sz w:val="22"/>
          <w:szCs w:val="22"/>
        </w:rPr>
        <w:t xml:space="preserve">Feeling supported is a major benefit of supervision as well as personal and professional growth, greater self-efficacy, and the opportunity to gain new ideas and skills (McMahon et al., 2025). </w:t>
      </w:r>
      <w:r w:rsidR="003F2BEC">
        <w:rPr>
          <w:rFonts w:asciiTheme="minorHAnsi" w:hAnsiTheme="minorHAnsi" w:cstheme="minorHAnsi"/>
          <w:sz w:val="22"/>
          <w:szCs w:val="22"/>
        </w:rPr>
        <w:t>Importantly, in an era of rapid social and technological change and more challenging work environments, p</w:t>
      </w:r>
      <w:r w:rsidR="0091311D" w:rsidRPr="006224D5">
        <w:rPr>
          <w:rFonts w:asciiTheme="minorHAnsi" w:hAnsiTheme="minorHAnsi" w:cstheme="minorHAnsi"/>
          <w:sz w:val="22"/>
          <w:szCs w:val="22"/>
        </w:rPr>
        <w:t xml:space="preserve">articipating in supervision can reduce </w:t>
      </w:r>
      <w:r w:rsidRPr="006224D5">
        <w:rPr>
          <w:rFonts w:asciiTheme="minorHAnsi" w:hAnsiTheme="minorHAnsi" w:cstheme="minorHAnsi"/>
          <w:sz w:val="22"/>
          <w:szCs w:val="22"/>
        </w:rPr>
        <w:t xml:space="preserve">practitioner </w:t>
      </w:r>
      <w:r w:rsidR="0091311D" w:rsidRPr="006224D5">
        <w:rPr>
          <w:rFonts w:asciiTheme="minorHAnsi" w:hAnsiTheme="minorHAnsi" w:cstheme="minorHAnsi"/>
          <w:sz w:val="22"/>
          <w:szCs w:val="22"/>
        </w:rPr>
        <w:t xml:space="preserve">stress </w:t>
      </w:r>
      <w:r w:rsidRPr="006224D5">
        <w:rPr>
          <w:rFonts w:asciiTheme="minorHAnsi" w:hAnsiTheme="minorHAnsi" w:cstheme="minorHAnsi"/>
          <w:sz w:val="22"/>
          <w:szCs w:val="22"/>
        </w:rPr>
        <w:t xml:space="preserve">(Pennell et al., 2023) </w:t>
      </w:r>
      <w:r w:rsidR="0091311D" w:rsidRPr="006224D5">
        <w:rPr>
          <w:rFonts w:asciiTheme="minorHAnsi" w:hAnsiTheme="minorHAnsi" w:cstheme="minorHAnsi"/>
          <w:sz w:val="22"/>
          <w:szCs w:val="22"/>
        </w:rPr>
        <w:t xml:space="preserve">and burnout (Damra &amp; </w:t>
      </w:r>
      <w:proofErr w:type="spellStart"/>
      <w:r w:rsidR="0091311D" w:rsidRPr="006224D5">
        <w:rPr>
          <w:rFonts w:asciiTheme="minorHAnsi" w:hAnsiTheme="minorHAnsi" w:cstheme="minorHAnsi"/>
          <w:sz w:val="22"/>
          <w:szCs w:val="22"/>
        </w:rPr>
        <w:t>Qa’aymeh</w:t>
      </w:r>
      <w:proofErr w:type="spellEnd"/>
      <w:r w:rsidR="0091311D" w:rsidRPr="006224D5">
        <w:rPr>
          <w:rFonts w:asciiTheme="minorHAnsi" w:hAnsiTheme="minorHAnsi" w:cstheme="minorHAnsi"/>
          <w:sz w:val="22"/>
          <w:szCs w:val="22"/>
        </w:rPr>
        <w:t>, 2024)</w:t>
      </w:r>
      <w:r w:rsidR="00717C6A" w:rsidRPr="006224D5">
        <w:rPr>
          <w:rFonts w:asciiTheme="minorHAnsi" w:hAnsiTheme="minorHAnsi" w:cstheme="minorHAnsi"/>
          <w:sz w:val="22"/>
          <w:szCs w:val="22"/>
        </w:rPr>
        <w:t>.</w:t>
      </w:r>
    </w:p>
    <w:p w14:paraId="1EC4DF0F" w14:textId="77777777" w:rsidR="00F765DE" w:rsidRDefault="00F765DE" w:rsidP="006224D5">
      <w:pPr>
        <w:pStyle w:val="Default"/>
        <w:spacing w:line="360" w:lineRule="auto"/>
        <w:rPr>
          <w:rFonts w:asciiTheme="minorHAnsi" w:hAnsiTheme="minorHAnsi" w:cstheme="minorHAnsi"/>
          <w:sz w:val="22"/>
          <w:szCs w:val="22"/>
        </w:rPr>
      </w:pPr>
    </w:p>
    <w:p w14:paraId="74A7D55E" w14:textId="24794BBC" w:rsidR="00F765DE" w:rsidRDefault="009B551A" w:rsidP="006224D5">
      <w:pPr>
        <w:pStyle w:val="Default"/>
        <w:spacing w:line="360" w:lineRule="auto"/>
        <w:rPr>
          <w:rFonts w:asciiTheme="minorHAnsi" w:hAnsiTheme="minorHAnsi" w:cstheme="minorHAnsi"/>
          <w:color w:val="282828"/>
          <w:sz w:val="22"/>
          <w:szCs w:val="22"/>
        </w:rPr>
      </w:pPr>
      <w:r>
        <w:rPr>
          <w:rFonts w:asciiTheme="minorHAnsi" w:hAnsiTheme="minorHAnsi" w:cstheme="minorHAnsi"/>
          <w:sz w:val="22"/>
          <w:szCs w:val="22"/>
        </w:rPr>
        <w:t xml:space="preserve">Participation in supervision aligns with the professional </w:t>
      </w:r>
      <w:r w:rsidRPr="009B551A">
        <w:rPr>
          <w:rFonts w:asciiTheme="minorHAnsi" w:hAnsiTheme="minorHAnsi" w:cstheme="minorHAnsi"/>
          <w:sz w:val="22"/>
          <w:szCs w:val="22"/>
        </w:rPr>
        <w:t xml:space="preserve">standards and ethical guidelines of many professional associations. For example, the Ethical Guidelines of the International Association for Educational and Vocational Guidance </w:t>
      </w:r>
      <w:r>
        <w:rPr>
          <w:rFonts w:asciiTheme="minorHAnsi" w:hAnsiTheme="minorHAnsi" w:cstheme="minorHAnsi"/>
          <w:sz w:val="22"/>
          <w:szCs w:val="22"/>
        </w:rPr>
        <w:t xml:space="preserve">(2025) </w:t>
      </w:r>
      <w:r w:rsidRPr="009B551A">
        <w:rPr>
          <w:rFonts w:asciiTheme="minorHAnsi" w:hAnsiTheme="minorHAnsi" w:cstheme="minorHAnsi"/>
          <w:sz w:val="22"/>
          <w:szCs w:val="22"/>
        </w:rPr>
        <w:t xml:space="preserve">recommend that practitioners seek “Ethical consultation … when facing ethical ambiguity—e.g., from supervisors, colleagues, or professional associations” and “Participate in regular supervision when available, and offer and participate in peer support and consultation when formal supervision </w:t>
      </w:r>
      <w:r w:rsidRPr="003F2BEC">
        <w:rPr>
          <w:rFonts w:asciiTheme="minorHAnsi" w:hAnsiTheme="minorHAnsi" w:cstheme="minorHAnsi"/>
          <w:sz w:val="22"/>
          <w:szCs w:val="22"/>
        </w:rPr>
        <w:t>is unavailable” in relation to their professional learning and development responsibilities.</w:t>
      </w:r>
      <w:r w:rsidR="003F2BEC" w:rsidRPr="003F2BEC">
        <w:rPr>
          <w:rFonts w:asciiTheme="minorHAnsi" w:hAnsiTheme="minorHAnsi" w:cstheme="minorHAnsi"/>
          <w:sz w:val="22"/>
          <w:szCs w:val="22"/>
        </w:rPr>
        <w:t xml:space="preserve"> Similarly, the Career Industry Council of Australia (2025) recommends, in its professional standards that practitioners who specialise in career counselling “</w:t>
      </w:r>
      <w:r w:rsidR="003F2BEC" w:rsidRPr="003F2BEC">
        <w:rPr>
          <w:rFonts w:asciiTheme="minorHAnsi" w:hAnsiTheme="minorHAnsi" w:cstheme="minorHAnsi"/>
          <w:color w:val="282828"/>
          <w:sz w:val="22"/>
          <w:szCs w:val="22"/>
        </w:rPr>
        <w:t>Engage in regular supervision, mentoring, or peer review appropriate to support reflective practice and professional growth” (p. 44</w:t>
      </w:r>
      <w:r w:rsidR="00F25862">
        <w:rPr>
          <w:rFonts w:asciiTheme="minorHAnsi" w:hAnsiTheme="minorHAnsi" w:cstheme="minorHAnsi"/>
          <w:color w:val="282828"/>
          <w:sz w:val="22"/>
          <w:szCs w:val="22"/>
        </w:rPr>
        <w:t>). Supervision therefore, may be viewed as not only providing support for practitioners, but also as a means of continuing professional development for them, as well as contributing to ethical practice.</w:t>
      </w:r>
    </w:p>
    <w:p w14:paraId="0B37AA27" w14:textId="4B958DE6" w:rsidR="00F81C73" w:rsidRPr="006224D5" w:rsidRDefault="00F81C73" w:rsidP="00F81C73">
      <w:pPr>
        <w:pStyle w:val="Default"/>
        <w:spacing w:line="360" w:lineRule="auto"/>
        <w:rPr>
          <w:rFonts w:asciiTheme="minorHAnsi" w:hAnsiTheme="minorHAnsi" w:cstheme="minorHAnsi"/>
          <w:b/>
          <w:bCs/>
          <w:sz w:val="22"/>
          <w:szCs w:val="22"/>
        </w:rPr>
      </w:pPr>
      <w:r w:rsidRPr="006224D5">
        <w:rPr>
          <w:rFonts w:asciiTheme="minorHAnsi" w:hAnsiTheme="minorHAnsi" w:cstheme="minorHAnsi"/>
          <w:b/>
          <w:bCs/>
          <w:sz w:val="22"/>
          <w:szCs w:val="22"/>
        </w:rPr>
        <w:t>Methodology</w:t>
      </w:r>
    </w:p>
    <w:p w14:paraId="50FA1BA6" w14:textId="1677C333" w:rsidR="00F81C73" w:rsidRPr="006224D5" w:rsidRDefault="00AE11D6" w:rsidP="006224D5">
      <w:pPr>
        <w:spacing w:after="0" w:line="360" w:lineRule="auto"/>
        <w:rPr>
          <w:rFonts w:cstheme="minorHAnsi"/>
        </w:rPr>
      </w:pPr>
      <w:r w:rsidRPr="006224D5">
        <w:rPr>
          <w:rFonts w:cstheme="minorHAnsi"/>
        </w:rPr>
        <w:t xml:space="preserve">This presentation </w:t>
      </w:r>
      <w:r w:rsidR="006224D5">
        <w:rPr>
          <w:rFonts w:cstheme="minorHAnsi"/>
        </w:rPr>
        <w:t>presents a snapshot of</w:t>
      </w:r>
      <w:r w:rsidRPr="006224D5">
        <w:rPr>
          <w:rFonts w:cstheme="minorHAnsi"/>
        </w:rPr>
        <w:t xml:space="preserve"> results from Australian research (McMahon et al., 2025</w:t>
      </w:r>
      <w:r w:rsidR="00CF7284">
        <w:rPr>
          <w:rFonts w:cstheme="minorHAnsi"/>
        </w:rPr>
        <w:t>)</w:t>
      </w:r>
      <w:r w:rsidRPr="006224D5">
        <w:rPr>
          <w:rFonts w:cstheme="minorHAnsi"/>
        </w:rPr>
        <w:t xml:space="preserve">. </w:t>
      </w:r>
      <w:r w:rsidR="00F81C73" w:rsidRPr="006224D5">
        <w:rPr>
          <w:rFonts w:cstheme="minorHAnsi"/>
        </w:rPr>
        <w:t>Participants were 163 Australian school psychology</w:t>
      </w:r>
      <w:r w:rsidR="00F765DE">
        <w:rPr>
          <w:rFonts w:cstheme="minorHAnsi"/>
        </w:rPr>
        <w:t xml:space="preserve"> and</w:t>
      </w:r>
      <w:r w:rsidR="00F81C73" w:rsidRPr="006224D5">
        <w:rPr>
          <w:rFonts w:cstheme="minorHAnsi"/>
        </w:rPr>
        <w:t xml:space="preserve"> guidance</w:t>
      </w:r>
      <w:r w:rsidR="00F765DE">
        <w:rPr>
          <w:rFonts w:cstheme="minorHAnsi"/>
        </w:rPr>
        <w:t xml:space="preserve"> and</w:t>
      </w:r>
      <w:r w:rsidR="00F81C73" w:rsidRPr="006224D5">
        <w:rPr>
          <w:rFonts w:cstheme="minorHAnsi"/>
        </w:rPr>
        <w:t xml:space="preserve"> counselling</w:t>
      </w:r>
      <w:r w:rsidR="00F765DE">
        <w:rPr>
          <w:rFonts w:cstheme="minorHAnsi"/>
        </w:rPr>
        <w:t xml:space="preserve"> practitioners</w:t>
      </w:r>
      <w:r w:rsidR="00F81C73" w:rsidRPr="006224D5">
        <w:rPr>
          <w:rFonts w:cstheme="minorHAnsi"/>
        </w:rPr>
        <w:t xml:space="preserve">, </w:t>
      </w:r>
      <w:r w:rsidR="00F765DE">
        <w:rPr>
          <w:rFonts w:cstheme="minorHAnsi"/>
        </w:rPr>
        <w:t>including</w:t>
      </w:r>
      <w:r w:rsidR="00F81C73" w:rsidRPr="006224D5">
        <w:rPr>
          <w:rFonts w:cstheme="minorHAnsi"/>
        </w:rPr>
        <w:t xml:space="preserve"> career practitioners. </w:t>
      </w:r>
      <w:r w:rsidR="0091311D" w:rsidRPr="006224D5">
        <w:rPr>
          <w:rFonts w:cstheme="minorHAnsi"/>
        </w:rPr>
        <w:t>Data were collected through an online survey</w:t>
      </w:r>
      <w:r w:rsidRPr="006224D5">
        <w:rPr>
          <w:rFonts w:cstheme="minorHAnsi"/>
        </w:rPr>
        <w:t xml:space="preserve"> that incorporated The Perceived Stress Scale – 10 (PSS-10; Cohen et al., 1983) and the Guidance Officer Questionnaire (GOQ; McMahon, 1998; see McMahon &amp; Patton, 2001).</w:t>
      </w:r>
      <w:r w:rsidR="00DD36D4" w:rsidRPr="006224D5">
        <w:rPr>
          <w:rFonts w:cstheme="minorHAnsi"/>
        </w:rPr>
        <w:t xml:space="preserve"> The data were analysed using descriptive statistics such as frequencies</w:t>
      </w:r>
      <w:r w:rsidR="00F81C73" w:rsidRPr="006224D5">
        <w:rPr>
          <w:rFonts w:cstheme="minorHAnsi"/>
        </w:rPr>
        <w:t>,</w:t>
      </w:r>
      <w:r w:rsidR="00717C6A" w:rsidRPr="006224D5">
        <w:rPr>
          <w:rFonts w:cstheme="minorHAnsi"/>
        </w:rPr>
        <w:t xml:space="preserve"> as well as</w:t>
      </w:r>
      <w:r w:rsidR="00DD36D4" w:rsidRPr="006224D5">
        <w:rPr>
          <w:rFonts w:cstheme="minorHAnsi"/>
        </w:rPr>
        <w:t xml:space="preserve"> Spearman rank correlation</w:t>
      </w:r>
      <w:r w:rsidR="00F81C73" w:rsidRPr="006224D5">
        <w:rPr>
          <w:rFonts w:cstheme="minorHAnsi"/>
        </w:rPr>
        <w:t xml:space="preserve">s, and </w:t>
      </w:r>
      <w:r w:rsidR="00DD36D4" w:rsidRPr="006224D5">
        <w:rPr>
          <w:rFonts w:cstheme="minorHAnsi"/>
        </w:rPr>
        <w:t>Mann-Whitney tests.</w:t>
      </w:r>
      <w:r w:rsidR="00E776C3" w:rsidRPr="006224D5">
        <w:rPr>
          <w:rFonts w:cstheme="minorHAnsi"/>
        </w:rPr>
        <w:t xml:space="preserve"> </w:t>
      </w:r>
    </w:p>
    <w:p w14:paraId="6F1EB437" w14:textId="7070D3E7" w:rsidR="00F81C73" w:rsidRPr="006224D5" w:rsidRDefault="00F81C73" w:rsidP="00F81C73">
      <w:pPr>
        <w:spacing w:after="0" w:line="360" w:lineRule="auto"/>
        <w:rPr>
          <w:rFonts w:cstheme="minorHAnsi"/>
          <w:b/>
          <w:bCs/>
        </w:rPr>
      </w:pPr>
      <w:r w:rsidRPr="006224D5">
        <w:rPr>
          <w:rFonts w:cstheme="minorHAnsi"/>
          <w:b/>
          <w:bCs/>
        </w:rPr>
        <w:t>Results</w:t>
      </w:r>
    </w:p>
    <w:p w14:paraId="5E5F25E3" w14:textId="363DC292" w:rsidR="00E776C3" w:rsidRPr="006224D5" w:rsidRDefault="004E1C02" w:rsidP="006224D5">
      <w:pPr>
        <w:spacing w:after="0" w:line="360" w:lineRule="auto"/>
        <w:rPr>
          <w:rFonts w:cstheme="minorHAnsi"/>
        </w:rPr>
      </w:pPr>
      <w:r>
        <w:rPr>
          <w:rFonts w:cstheme="minorHAnsi"/>
        </w:rPr>
        <w:t xml:space="preserve">Participants engaged in individual, group, and peer supervision as well as supervision conducted by phone or email. Most participants also supported each other through informal chats with peers. </w:t>
      </w:r>
      <w:r w:rsidR="00E776C3" w:rsidRPr="006224D5">
        <w:rPr>
          <w:rFonts w:cstheme="minorHAnsi"/>
        </w:rPr>
        <w:t>Almost all participants felt support</w:t>
      </w:r>
      <w:r>
        <w:rPr>
          <w:rFonts w:cstheme="minorHAnsi"/>
        </w:rPr>
        <w:t>ed</w:t>
      </w:r>
      <w:r w:rsidR="00E776C3" w:rsidRPr="006224D5">
        <w:rPr>
          <w:rFonts w:cstheme="minorHAnsi"/>
        </w:rPr>
        <w:t xml:space="preserve"> </w:t>
      </w:r>
      <w:r>
        <w:rPr>
          <w:rFonts w:cstheme="minorHAnsi"/>
        </w:rPr>
        <w:t xml:space="preserve">through </w:t>
      </w:r>
      <w:r w:rsidR="00E776C3" w:rsidRPr="006224D5">
        <w:rPr>
          <w:rFonts w:cstheme="minorHAnsi"/>
        </w:rPr>
        <w:t>their clinical supervision, and most experienced benefits such as debriefing, new ideas and strategies, feedback, and personal growth.</w:t>
      </w:r>
    </w:p>
    <w:p w14:paraId="2C92D014" w14:textId="335446C1" w:rsidR="00F81C73" w:rsidRPr="006224D5" w:rsidRDefault="00F81C73" w:rsidP="00F81C73">
      <w:pPr>
        <w:spacing w:after="0" w:line="360" w:lineRule="auto"/>
        <w:rPr>
          <w:rFonts w:cstheme="minorHAnsi"/>
          <w:b/>
          <w:bCs/>
        </w:rPr>
      </w:pPr>
      <w:r w:rsidRPr="006224D5">
        <w:rPr>
          <w:rFonts w:cstheme="minorHAnsi"/>
          <w:b/>
          <w:bCs/>
        </w:rPr>
        <w:t>Conclusions</w:t>
      </w:r>
    </w:p>
    <w:p w14:paraId="566FBD78" w14:textId="393A2E57" w:rsidR="004E1C02" w:rsidRPr="004E1C02" w:rsidRDefault="004E1C02" w:rsidP="00F25862">
      <w:pPr>
        <w:spacing w:after="0" w:line="360" w:lineRule="auto"/>
        <w:rPr>
          <w:rFonts w:cstheme="minorHAnsi"/>
        </w:rPr>
      </w:pPr>
      <w:r>
        <w:rPr>
          <w:rFonts w:cstheme="minorHAnsi"/>
        </w:rPr>
        <w:t xml:space="preserve">In conclusion, the participants found supervision </w:t>
      </w:r>
      <w:r w:rsidR="006F5338">
        <w:rPr>
          <w:rFonts w:cstheme="minorHAnsi"/>
        </w:rPr>
        <w:t xml:space="preserve">supportive and </w:t>
      </w:r>
      <w:r>
        <w:rPr>
          <w:rFonts w:cstheme="minorHAnsi"/>
        </w:rPr>
        <w:t>beneficial</w:t>
      </w:r>
      <w:r w:rsidR="006F5338">
        <w:rPr>
          <w:rFonts w:cstheme="minorHAnsi"/>
        </w:rPr>
        <w:t>;</w:t>
      </w:r>
      <w:r w:rsidR="009B551A">
        <w:rPr>
          <w:rFonts w:cstheme="minorHAnsi"/>
        </w:rPr>
        <w:t xml:space="preserve"> gaining new ideas and strategies could strengthen </w:t>
      </w:r>
      <w:r w:rsidR="00F25862">
        <w:rPr>
          <w:rFonts w:cstheme="minorHAnsi"/>
        </w:rPr>
        <w:t xml:space="preserve">their </w:t>
      </w:r>
      <w:r w:rsidR="009B551A">
        <w:rPr>
          <w:rFonts w:cstheme="minorHAnsi"/>
        </w:rPr>
        <w:t>practice</w:t>
      </w:r>
      <w:r w:rsidR="00F25862">
        <w:rPr>
          <w:rFonts w:cstheme="minorHAnsi"/>
        </w:rPr>
        <w:t>. This suggests that i</w:t>
      </w:r>
      <w:r w:rsidRPr="004E1C02">
        <w:rPr>
          <w:rFonts w:cstheme="minorHAnsi"/>
        </w:rPr>
        <w:t xml:space="preserve">nvestment by employers in supervision </w:t>
      </w:r>
      <w:r w:rsidR="00F25862">
        <w:rPr>
          <w:rFonts w:cstheme="minorHAnsi"/>
        </w:rPr>
        <w:t xml:space="preserve">for their school guidance, counselling, and career practitioners </w:t>
      </w:r>
      <w:r w:rsidRPr="004E1C02">
        <w:rPr>
          <w:rFonts w:cstheme="minorHAnsi"/>
        </w:rPr>
        <w:t>could be beneficial</w:t>
      </w:r>
      <w:r w:rsidR="00F25862">
        <w:rPr>
          <w:rFonts w:cstheme="minorHAnsi"/>
        </w:rPr>
        <w:t>.</w:t>
      </w:r>
      <w:r w:rsidR="006F348B">
        <w:rPr>
          <w:rFonts w:cstheme="minorHAnsi"/>
        </w:rPr>
        <w:t xml:space="preserve"> Participation in supervision could be part of a repertoire of practices that contribute to ongoing professional development and assist practitioners to fulfill professional responsibilities as set out in professional standards and ethical guidelines.</w:t>
      </w:r>
    </w:p>
    <w:p w14:paraId="3EB28B14" w14:textId="135ABFFE" w:rsidR="00C33108" w:rsidRPr="006224D5" w:rsidRDefault="00C33108" w:rsidP="00E776C3">
      <w:pPr>
        <w:spacing w:after="0" w:line="360" w:lineRule="auto"/>
        <w:rPr>
          <w:rFonts w:cstheme="minorHAnsi"/>
          <w:b/>
          <w:bCs/>
        </w:rPr>
      </w:pPr>
      <w:r w:rsidRPr="006224D5">
        <w:rPr>
          <w:rFonts w:cstheme="minorHAnsi"/>
          <w:b/>
          <w:bCs/>
        </w:rPr>
        <w:t>References</w:t>
      </w:r>
    </w:p>
    <w:p w14:paraId="6B2E2F1C" w14:textId="77777777" w:rsidR="003F2BEC" w:rsidRPr="003F2BEC" w:rsidRDefault="003F2BEC" w:rsidP="003F2BEC">
      <w:pPr>
        <w:spacing w:after="0" w:line="360" w:lineRule="auto"/>
        <w:ind w:left="567" w:hanging="567"/>
        <w:rPr>
          <w:rFonts w:ascii="Calibri" w:hAnsi="Calibri" w:cs="Calibri"/>
        </w:rPr>
      </w:pPr>
      <w:r w:rsidRPr="003F2BEC">
        <w:rPr>
          <w:rFonts w:ascii="Calibri" w:hAnsi="Calibri" w:cs="Calibri"/>
        </w:rPr>
        <w:t xml:space="preserve">Career Industry Council of Australia. (CICA; 2026). </w:t>
      </w:r>
      <w:r w:rsidRPr="003F2BEC">
        <w:rPr>
          <w:rFonts w:ascii="Calibri" w:hAnsi="Calibri" w:cs="Calibri"/>
          <w:i/>
          <w:iCs/>
        </w:rPr>
        <w:t>Professional Standards for Australian Career Development Practitioners</w:t>
      </w:r>
      <w:r w:rsidRPr="003F2BEC">
        <w:rPr>
          <w:rFonts w:ascii="Calibri" w:hAnsi="Calibri" w:cs="Calibri"/>
        </w:rPr>
        <w:t xml:space="preserve">. CICA. </w:t>
      </w:r>
      <w:hyperlink r:id="rId5" w:history="1">
        <w:r w:rsidRPr="003F2BEC">
          <w:rPr>
            <w:rStyle w:val="Hyperlink"/>
            <w:rFonts w:ascii="Calibri" w:hAnsi="Calibri" w:cs="Calibri"/>
          </w:rPr>
          <w:t>https://cica.org.au/wp-content/uploads/CICA-Professional-Standards-for-Australian-Career-Development-Practitioners-5th-ed-published-2026.pdf</w:t>
        </w:r>
      </w:hyperlink>
    </w:p>
    <w:p w14:paraId="46EA96BF" w14:textId="62E7A191" w:rsidR="00DD36D4" w:rsidRPr="003F2BEC" w:rsidRDefault="00DD36D4" w:rsidP="003F2BEC">
      <w:pPr>
        <w:spacing w:after="0" w:line="360" w:lineRule="auto"/>
        <w:ind w:left="567" w:hanging="567"/>
        <w:rPr>
          <w:rFonts w:ascii="Calibri" w:hAnsi="Calibri" w:cs="Calibri"/>
        </w:rPr>
      </w:pPr>
      <w:r w:rsidRPr="003F2BEC">
        <w:rPr>
          <w:rFonts w:ascii="Calibri" w:hAnsi="Calibri" w:cs="Calibri"/>
          <w:lang w:val="fi-FI"/>
        </w:rPr>
        <w:t>Cohen</w:t>
      </w:r>
      <w:r w:rsidR="00CF7284" w:rsidRPr="003F2BEC">
        <w:rPr>
          <w:rFonts w:ascii="Calibri" w:hAnsi="Calibri" w:cs="Calibri"/>
          <w:lang w:val="fi-FI"/>
        </w:rPr>
        <w:t>,</w:t>
      </w:r>
      <w:r w:rsidRPr="003F2BEC">
        <w:rPr>
          <w:rFonts w:ascii="Calibri" w:hAnsi="Calibri" w:cs="Calibri"/>
          <w:lang w:val="fi-FI"/>
        </w:rPr>
        <w:t xml:space="preserve"> S., Kamarch</w:t>
      </w:r>
      <w:r w:rsidR="00CF7284" w:rsidRPr="003F2BEC">
        <w:rPr>
          <w:rFonts w:ascii="Calibri" w:hAnsi="Calibri" w:cs="Calibri"/>
          <w:lang w:val="fi-FI"/>
        </w:rPr>
        <w:t>,</w:t>
      </w:r>
      <w:r w:rsidRPr="003F2BEC">
        <w:rPr>
          <w:rFonts w:ascii="Calibri" w:hAnsi="Calibri" w:cs="Calibri"/>
          <w:lang w:val="fi-FI"/>
        </w:rPr>
        <w:t xml:space="preserve"> T., </w:t>
      </w:r>
      <w:r w:rsidR="0029667F" w:rsidRPr="003F2BEC">
        <w:rPr>
          <w:rFonts w:ascii="Calibri" w:hAnsi="Calibri" w:cs="Calibri"/>
          <w:lang w:val="fi-FI"/>
        </w:rPr>
        <w:t xml:space="preserve">&amp; </w:t>
      </w:r>
      <w:r w:rsidRPr="003F2BEC">
        <w:rPr>
          <w:rFonts w:ascii="Calibri" w:hAnsi="Calibri" w:cs="Calibri"/>
          <w:lang w:val="fi-FI"/>
        </w:rPr>
        <w:t>Mermelstein</w:t>
      </w:r>
      <w:r w:rsidR="00CF7284" w:rsidRPr="003F2BEC">
        <w:rPr>
          <w:rFonts w:ascii="Calibri" w:hAnsi="Calibri" w:cs="Calibri"/>
          <w:lang w:val="fi-FI"/>
        </w:rPr>
        <w:t>,</w:t>
      </w:r>
      <w:r w:rsidRPr="003F2BEC">
        <w:rPr>
          <w:rFonts w:ascii="Calibri" w:hAnsi="Calibri" w:cs="Calibri"/>
          <w:lang w:val="fi-FI"/>
        </w:rPr>
        <w:t xml:space="preserve"> R. (1983). </w:t>
      </w:r>
      <w:r w:rsidRPr="003F2BEC">
        <w:rPr>
          <w:rFonts w:ascii="Calibri" w:hAnsi="Calibri" w:cs="Calibri"/>
        </w:rPr>
        <w:t xml:space="preserve">A global measure of perceived stress. </w:t>
      </w:r>
      <w:r w:rsidRPr="003F2BEC">
        <w:rPr>
          <w:rFonts w:ascii="Calibri" w:hAnsi="Calibri" w:cs="Calibri"/>
          <w:i/>
          <w:iCs/>
        </w:rPr>
        <w:t xml:space="preserve">Journal of Health and Social </w:t>
      </w:r>
      <w:proofErr w:type="spellStart"/>
      <w:r w:rsidRPr="003F2BEC">
        <w:rPr>
          <w:rFonts w:ascii="Calibri" w:hAnsi="Calibri" w:cs="Calibri"/>
          <w:i/>
          <w:iCs/>
        </w:rPr>
        <w:t>Behavior</w:t>
      </w:r>
      <w:proofErr w:type="spellEnd"/>
      <w:r w:rsidRPr="003F2BEC">
        <w:rPr>
          <w:rFonts w:ascii="Calibri" w:hAnsi="Calibri" w:cs="Calibri"/>
        </w:rPr>
        <w:t>, 24, 385–396. https://doi.org/10.2307/2136404</w:t>
      </w:r>
    </w:p>
    <w:p w14:paraId="413BDB67" w14:textId="07CFAD27" w:rsidR="00CF7284" w:rsidRPr="003F2BEC" w:rsidRDefault="00CF7284" w:rsidP="003F2BEC">
      <w:pPr>
        <w:spacing w:after="0" w:line="360" w:lineRule="auto"/>
        <w:ind w:left="567" w:hanging="567"/>
        <w:rPr>
          <w:rFonts w:ascii="Calibri" w:hAnsi="Calibri" w:cs="Calibri"/>
        </w:rPr>
      </w:pPr>
      <w:r w:rsidRPr="003F2BEC">
        <w:rPr>
          <w:rFonts w:ascii="Calibri" w:hAnsi="Calibri" w:cs="Calibri"/>
        </w:rPr>
        <w:t xml:space="preserve">Damra, J. K., &amp; </w:t>
      </w:r>
      <w:proofErr w:type="spellStart"/>
      <w:r w:rsidRPr="003F2BEC">
        <w:rPr>
          <w:rFonts w:ascii="Calibri" w:hAnsi="Calibri" w:cs="Calibri"/>
        </w:rPr>
        <w:t>Qa’aymeh</w:t>
      </w:r>
      <w:proofErr w:type="spellEnd"/>
      <w:r w:rsidRPr="003F2BEC">
        <w:rPr>
          <w:rFonts w:ascii="Calibri" w:hAnsi="Calibri" w:cs="Calibri"/>
        </w:rPr>
        <w:t xml:space="preserve">, S. (2024). Exploring the supervisory needs of school </w:t>
      </w:r>
      <w:proofErr w:type="spellStart"/>
      <w:r w:rsidRPr="003F2BEC">
        <w:rPr>
          <w:rFonts w:ascii="Calibri" w:hAnsi="Calibri" w:cs="Calibri"/>
        </w:rPr>
        <w:t>counselors</w:t>
      </w:r>
      <w:proofErr w:type="spellEnd"/>
      <w:r w:rsidRPr="003F2BEC">
        <w:rPr>
          <w:rFonts w:ascii="Calibri" w:hAnsi="Calibri" w:cs="Calibri"/>
        </w:rPr>
        <w:t xml:space="preserve"> in refugee school settings. </w:t>
      </w:r>
      <w:r w:rsidRPr="003F2BEC">
        <w:rPr>
          <w:rFonts w:ascii="Calibri" w:hAnsi="Calibri" w:cs="Calibri"/>
          <w:i/>
          <w:iCs/>
        </w:rPr>
        <w:t>International Journal for the Advancement of Counselling, 46</w:t>
      </w:r>
      <w:r w:rsidRPr="003F2BEC">
        <w:rPr>
          <w:rFonts w:ascii="Calibri" w:hAnsi="Calibri" w:cs="Calibri"/>
        </w:rPr>
        <w:t>,703–720. https://doi.org/10.1007/s10447-024-09568-x</w:t>
      </w:r>
    </w:p>
    <w:p w14:paraId="0CE50965" w14:textId="77777777" w:rsidR="003F2BEC" w:rsidRPr="003F2BEC" w:rsidRDefault="003F2BEC" w:rsidP="003F2BEC">
      <w:pPr>
        <w:spacing w:after="0" w:line="360" w:lineRule="auto"/>
        <w:ind w:left="567" w:hanging="567"/>
        <w:rPr>
          <w:rFonts w:ascii="Calibri" w:hAnsi="Calibri" w:cs="Calibri"/>
        </w:rPr>
      </w:pPr>
      <w:r w:rsidRPr="003F2BEC">
        <w:rPr>
          <w:rFonts w:ascii="Calibri" w:hAnsi="Calibri" w:cs="Calibri"/>
        </w:rPr>
        <w:t xml:space="preserve">International Association for Educational and Vocational Guidance. (2025). </w:t>
      </w:r>
      <w:r w:rsidRPr="003F2BEC">
        <w:rPr>
          <w:rFonts w:ascii="Calibri" w:hAnsi="Calibri" w:cs="Calibri"/>
          <w:i/>
          <w:iCs/>
        </w:rPr>
        <w:t>IAEVG Ethical Guidelines</w:t>
      </w:r>
      <w:r w:rsidRPr="003F2BEC">
        <w:rPr>
          <w:rFonts w:ascii="Calibri" w:hAnsi="Calibri" w:cs="Calibri"/>
        </w:rPr>
        <w:t>. https://iaevg.com/Ethical-guidelines</w:t>
      </w:r>
    </w:p>
    <w:p w14:paraId="44840A3D" w14:textId="086DD95E" w:rsidR="00CF7284" w:rsidRPr="003F2BEC" w:rsidRDefault="00CF7284" w:rsidP="003F2BEC">
      <w:pPr>
        <w:spacing w:after="0" w:line="360" w:lineRule="auto"/>
        <w:ind w:left="567" w:hanging="567"/>
        <w:rPr>
          <w:rFonts w:ascii="Calibri" w:hAnsi="Calibri" w:cs="Calibri"/>
        </w:rPr>
      </w:pPr>
      <w:r w:rsidRPr="003F2BEC">
        <w:rPr>
          <w:rFonts w:ascii="Calibri" w:hAnsi="Calibri" w:cs="Calibri"/>
        </w:rPr>
        <w:t>McMahon, M. L. (1998). Perceptions of clinical supervision in school guidance and counselling. [Unpublished doctoral dissertation]. Queensland University of Technology.</w:t>
      </w:r>
    </w:p>
    <w:p w14:paraId="60B39656" w14:textId="6E977C2F" w:rsidR="00C33108" w:rsidRPr="003F2BEC" w:rsidRDefault="00C33108" w:rsidP="003F2BEC">
      <w:pPr>
        <w:spacing w:after="0" w:line="360" w:lineRule="auto"/>
        <w:ind w:left="567" w:hanging="567"/>
        <w:rPr>
          <w:rFonts w:ascii="Calibri" w:hAnsi="Calibri" w:cs="Calibri"/>
        </w:rPr>
      </w:pPr>
      <w:r w:rsidRPr="003F2BEC">
        <w:rPr>
          <w:rFonts w:ascii="Calibri" w:hAnsi="Calibri" w:cs="Calibri"/>
        </w:rPr>
        <w:t xml:space="preserve">McMahon, M., Campbell, M., Juri, M. Zahid, &amp; Pennell, D. (2025). </w:t>
      </w:r>
      <w:r w:rsidRPr="003F2BEC">
        <w:rPr>
          <w:rFonts w:ascii="Calibri" w:hAnsi="Calibri" w:cs="Calibri"/>
          <w:lang w:eastAsia="en-AU"/>
        </w:rPr>
        <w:t xml:space="preserve">Clinical supervision and supervision training: Experiences of Australian school counsellors and psychologists. </w:t>
      </w:r>
      <w:r w:rsidRPr="003F2BEC">
        <w:rPr>
          <w:rFonts w:ascii="Calibri" w:hAnsi="Calibri" w:cs="Calibri"/>
          <w:i/>
          <w:iCs/>
          <w:lang w:eastAsia="en-AU"/>
        </w:rPr>
        <w:t xml:space="preserve">Journal of Psychologists and Counsellors in Schools, 35, </w:t>
      </w:r>
      <w:r w:rsidRPr="003F2BEC">
        <w:rPr>
          <w:rFonts w:ascii="Calibri" w:hAnsi="Calibri" w:cs="Calibri"/>
          <w:lang w:eastAsia="en-AU"/>
        </w:rPr>
        <w:t>367</w:t>
      </w:r>
      <w:r w:rsidR="0029667F" w:rsidRPr="003F2BEC">
        <w:rPr>
          <w:rFonts w:ascii="Calibri" w:hAnsi="Calibri" w:cs="Calibri"/>
        </w:rPr>
        <w:t>–</w:t>
      </w:r>
      <w:r w:rsidRPr="003F2BEC">
        <w:rPr>
          <w:rFonts w:ascii="Calibri" w:hAnsi="Calibri" w:cs="Calibri"/>
          <w:lang w:eastAsia="en-AU"/>
        </w:rPr>
        <w:t>380. https://doi.org/10.1177/20556365251389313</w:t>
      </w:r>
    </w:p>
    <w:p w14:paraId="636AD58D" w14:textId="77777777" w:rsidR="00DD36D4" w:rsidRPr="003F2BEC" w:rsidRDefault="00DD36D4" w:rsidP="003F2BEC">
      <w:pPr>
        <w:spacing w:after="0" w:line="360" w:lineRule="auto"/>
        <w:ind w:left="567" w:hanging="567"/>
        <w:rPr>
          <w:rFonts w:ascii="Calibri" w:hAnsi="Calibri" w:cs="Calibri"/>
        </w:rPr>
      </w:pPr>
      <w:r w:rsidRPr="003F2BEC">
        <w:rPr>
          <w:rFonts w:ascii="Calibri" w:hAnsi="Calibri" w:cs="Calibri"/>
        </w:rPr>
        <w:t xml:space="preserve">McMahon, M., &amp; Patton, W. (2001). Clinical supervision: The perceptions and experiences of school </w:t>
      </w:r>
      <w:proofErr w:type="spellStart"/>
      <w:r w:rsidRPr="003F2BEC">
        <w:rPr>
          <w:rFonts w:ascii="Calibri" w:hAnsi="Calibri" w:cs="Calibri"/>
        </w:rPr>
        <w:t>counselors</w:t>
      </w:r>
      <w:proofErr w:type="spellEnd"/>
      <w:r w:rsidRPr="003F2BEC">
        <w:rPr>
          <w:rFonts w:ascii="Calibri" w:hAnsi="Calibri" w:cs="Calibri"/>
        </w:rPr>
        <w:t xml:space="preserve"> in Australia. </w:t>
      </w:r>
      <w:r w:rsidRPr="003F2BEC">
        <w:rPr>
          <w:rFonts w:ascii="Calibri" w:hAnsi="Calibri" w:cs="Calibri"/>
          <w:i/>
          <w:iCs/>
        </w:rPr>
        <w:t xml:space="preserve">International Journal for the Advancement of Counselling, </w:t>
      </w:r>
      <w:r w:rsidRPr="003F2BEC">
        <w:rPr>
          <w:rFonts w:ascii="Calibri" w:hAnsi="Calibri" w:cs="Calibri"/>
        </w:rPr>
        <w:t xml:space="preserve">23, 201–214. </w:t>
      </w:r>
      <w:r w:rsidRPr="003F2BEC">
        <w:rPr>
          <w:rStyle w:val="c-bibliographic-informationvalue"/>
          <w:rFonts w:ascii="Calibri" w:hAnsi="Calibri" w:cs="Calibri"/>
        </w:rPr>
        <w:t>https://doi.org/10.1023/A:1013170011770</w:t>
      </w:r>
    </w:p>
    <w:p w14:paraId="150649D4" w14:textId="77777777" w:rsidR="00F25862" w:rsidRPr="00F25862" w:rsidRDefault="00F25862" w:rsidP="00F25862">
      <w:pPr>
        <w:spacing w:after="0" w:line="360" w:lineRule="auto"/>
        <w:ind w:left="567" w:hanging="567"/>
        <w:rPr>
          <w:rFonts w:ascii="Calibri" w:hAnsi="Calibri" w:cs="Calibri"/>
        </w:rPr>
      </w:pPr>
      <w:r w:rsidRPr="00F25862">
        <w:rPr>
          <w:rFonts w:ascii="Calibri" w:hAnsi="Calibri" w:cs="Calibri"/>
        </w:rPr>
        <w:t xml:space="preserve">Patton, W., &amp; McMahon, M. (2021). </w:t>
      </w:r>
      <w:r w:rsidRPr="00F25862">
        <w:rPr>
          <w:rFonts w:ascii="Calibri" w:hAnsi="Calibri" w:cs="Calibri"/>
          <w:i/>
          <w:iCs/>
        </w:rPr>
        <w:t>Career development and systems theory: Connecting theory and practice</w:t>
      </w:r>
      <w:r w:rsidRPr="00F25862">
        <w:rPr>
          <w:rFonts w:ascii="Calibri" w:hAnsi="Calibri" w:cs="Calibri"/>
        </w:rPr>
        <w:t>. Sense.</w:t>
      </w:r>
    </w:p>
    <w:p w14:paraId="2851ACFE" w14:textId="707B6862" w:rsidR="00392392" w:rsidRPr="003F2BEC" w:rsidRDefault="00C33108" w:rsidP="003F2BEC">
      <w:pPr>
        <w:spacing w:after="0" w:line="360" w:lineRule="auto"/>
        <w:ind w:left="567" w:hanging="567"/>
        <w:rPr>
          <w:rFonts w:ascii="Calibri" w:hAnsi="Calibri" w:cs="Calibri"/>
        </w:rPr>
      </w:pPr>
      <w:r w:rsidRPr="00F25862">
        <w:rPr>
          <w:rFonts w:ascii="Calibri" w:hAnsi="Calibri" w:cs="Calibri"/>
        </w:rPr>
        <w:t>Pennell, D., Campbell, M., Juri, M. Zahid, &amp; McMahon, M. (2023). Australian school counsellors’</w:t>
      </w:r>
      <w:r w:rsidRPr="003F2BEC">
        <w:rPr>
          <w:rFonts w:ascii="Calibri" w:hAnsi="Calibri" w:cs="Calibri"/>
        </w:rPr>
        <w:t xml:space="preserve"> experience of stress. </w:t>
      </w:r>
      <w:r w:rsidRPr="003F2BEC">
        <w:rPr>
          <w:rFonts w:ascii="Calibri" w:hAnsi="Calibri" w:cs="Calibri"/>
          <w:i/>
          <w:iCs/>
        </w:rPr>
        <w:t xml:space="preserve">Journal of Psychologists and Counsellors in Schools, </w:t>
      </w:r>
      <w:r w:rsidRPr="003F2BEC">
        <w:rPr>
          <w:rFonts w:ascii="Calibri" w:hAnsi="Calibri" w:cs="Calibri"/>
        </w:rPr>
        <w:t>1</w:t>
      </w:r>
      <w:r w:rsidR="0029667F" w:rsidRPr="003F2BEC">
        <w:rPr>
          <w:rFonts w:ascii="Calibri" w:hAnsi="Calibri" w:cs="Calibri"/>
        </w:rPr>
        <w:t>–</w:t>
      </w:r>
      <w:r w:rsidRPr="003F2BEC">
        <w:rPr>
          <w:rFonts w:ascii="Calibri" w:hAnsi="Calibri" w:cs="Calibri"/>
        </w:rPr>
        <w:t xml:space="preserve">13. </w:t>
      </w:r>
      <w:r w:rsidR="0029667F" w:rsidRPr="003F2BEC">
        <w:rPr>
          <w:rFonts w:ascii="Calibri" w:hAnsi="Calibri" w:cs="Calibri"/>
        </w:rPr>
        <w:t>https://doi.org/10.1177/20556365231207410</w:t>
      </w:r>
    </w:p>
    <w:p w14:paraId="7CB36C9E" w14:textId="69A730CB" w:rsidR="0029667F" w:rsidRPr="003F2BEC" w:rsidRDefault="0029667F" w:rsidP="003F2BEC">
      <w:pPr>
        <w:spacing w:after="0" w:line="360" w:lineRule="auto"/>
        <w:ind w:left="567" w:hanging="567"/>
        <w:rPr>
          <w:rFonts w:ascii="Calibri" w:hAnsi="Calibri" w:cs="Calibri"/>
        </w:rPr>
      </w:pPr>
      <w:r w:rsidRPr="003F2BEC">
        <w:rPr>
          <w:rFonts w:ascii="Calibri" w:hAnsi="Calibri" w:cs="Calibri"/>
        </w:rPr>
        <w:t xml:space="preserve">Westergaard, J. (2013). Supervision in the helping professions: Making the case for support and supervision for career counsellors. </w:t>
      </w:r>
      <w:r w:rsidRPr="003F2BEC">
        <w:rPr>
          <w:rFonts w:ascii="Calibri" w:hAnsi="Calibri" w:cs="Calibri"/>
          <w:i/>
          <w:iCs/>
        </w:rPr>
        <w:t>Australian Journal of Career Development</w:t>
      </w:r>
      <w:r w:rsidRPr="003F2BEC">
        <w:rPr>
          <w:rFonts w:ascii="Calibri" w:hAnsi="Calibri" w:cs="Calibri"/>
        </w:rPr>
        <w:t xml:space="preserve">, </w:t>
      </w:r>
      <w:r w:rsidRPr="003F2BEC">
        <w:rPr>
          <w:rFonts w:ascii="Calibri" w:hAnsi="Calibri" w:cs="Calibri"/>
          <w:i/>
          <w:iCs/>
        </w:rPr>
        <w:t>22</w:t>
      </w:r>
      <w:r w:rsidRPr="003F2BEC">
        <w:rPr>
          <w:rFonts w:ascii="Calibri" w:hAnsi="Calibri" w:cs="Calibri"/>
        </w:rPr>
        <w:t xml:space="preserve">(1), 21–28. https://doi.org/10.1177/1038416213478805 </w:t>
      </w:r>
    </w:p>
    <w:p w14:paraId="0A1FEAA4" w14:textId="77777777" w:rsidR="0029667F" w:rsidRPr="006224D5" w:rsidRDefault="0029667F" w:rsidP="00F81C73">
      <w:pPr>
        <w:spacing w:after="0" w:line="360" w:lineRule="auto"/>
        <w:ind w:left="567" w:hanging="567"/>
        <w:rPr>
          <w:rFonts w:cstheme="minorHAnsi"/>
          <w:sz w:val="24"/>
          <w:szCs w:val="24"/>
        </w:rPr>
      </w:pPr>
    </w:p>
    <w:sectPr w:rsidR="0029667F" w:rsidRPr="006224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76B40"/>
    <w:multiLevelType w:val="hybridMultilevel"/>
    <w:tmpl w:val="C2FCB634"/>
    <w:lvl w:ilvl="0" w:tplc="63A41908">
      <w:start w:val="1"/>
      <w:numFmt w:val="decimal"/>
      <w:lvlText w:val="%1."/>
      <w:lvlJc w:val="left"/>
      <w:pPr>
        <w:tabs>
          <w:tab w:val="num" w:pos="928"/>
        </w:tabs>
        <w:ind w:left="928" w:hanging="360"/>
      </w:pPr>
      <w:rPr>
        <w:rFonts w:hint="default"/>
        <w:b w:val="0"/>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4EF85381"/>
    <w:multiLevelType w:val="hybridMultilevel"/>
    <w:tmpl w:val="875A18FA"/>
    <w:lvl w:ilvl="0" w:tplc="78969B60">
      <w:start w:val="1"/>
      <w:numFmt w:val="bullet"/>
      <w:lvlText w:val=""/>
      <w:lvlJc w:val="left"/>
      <w:pPr>
        <w:tabs>
          <w:tab w:val="num" w:pos="720"/>
        </w:tabs>
        <w:ind w:left="720" w:hanging="360"/>
      </w:pPr>
      <w:rPr>
        <w:rFonts w:ascii="Wingdings 3" w:hAnsi="Wingdings 3" w:hint="default"/>
      </w:rPr>
    </w:lvl>
    <w:lvl w:ilvl="1" w:tplc="382C6C14">
      <w:start w:val="1"/>
      <w:numFmt w:val="bullet"/>
      <w:lvlText w:val=""/>
      <w:lvlJc w:val="left"/>
      <w:pPr>
        <w:tabs>
          <w:tab w:val="num" w:pos="1440"/>
        </w:tabs>
        <w:ind w:left="1440" w:hanging="360"/>
      </w:pPr>
      <w:rPr>
        <w:rFonts w:ascii="Wingdings 3" w:hAnsi="Wingdings 3" w:hint="default"/>
      </w:rPr>
    </w:lvl>
    <w:lvl w:ilvl="2" w:tplc="C38EA6EA" w:tentative="1">
      <w:start w:val="1"/>
      <w:numFmt w:val="bullet"/>
      <w:lvlText w:val=""/>
      <w:lvlJc w:val="left"/>
      <w:pPr>
        <w:tabs>
          <w:tab w:val="num" w:pos="2160"/>
        </w:tabs>
        <w:ind w:left="2160" w:hanging="360"/>
      </w:pPr>
      <w:rPr>
        <w:rFonts w:ascii="Wingdings 3" w:hAnsi="Wingdings 3" w:hint="default"/>
      </w:rPr>
    </w:lvl>
    <w:lvl w:ilvl="3" w:tplc="01D809D2" w:tentative="1">
      <w:start w:val="1"/>
      <w:numFmt w:val="bullet"/>
      <w:lvlText w:val=""/>
      <w:lvlJc w:val="left"/>
      <w:pPr>
        <w:tabs>
          <w:tab w:val="num" w:pos="2880"/>
        </w:tabs>
        <w:ind w:left="2880" w:hanging="360"/>
      </w:pPr>
      <w:rPr>
        <w:rFonts w:ascii="Wingdings 3" w:hAnsi="Wingdings 3" w:hint="default"/>
      </w:rPr>
    </w:lvl>
    <w:lvl w:ilvl="4" w:tplc="1CC86982" w:tentative="1">
      <w:start w:val="1"/>
      <w:numFmt w:val="bullet"/>
      <w:lvlText w:val=""/>
      <w:lvlJc w:val="left"/>
      <w:pPr>
        <w:tabs>
          <w:tab w:val="num" w:pos="3600"/>
        </w:tabs>
        <w:ind w:left="3600" w:hanging="360"/>
      </w:pPr>
      <w:rPr>
        <w:rFonts w:ascii="Wingdings 3" w:hAnsi="Wingdings 3" w:hint="default"/>
      </w:rPr>
    </w:lvl>
    <w:lvl w:ilvl="5" w:tplc="067C3166" w:tentative="1">
      <w:start w:val="1"/>
      <w:numFmt w:val="bullet"/>
      <w:lvlText w:val=""/>
      <w:lvlJc w:val="left"/>
      <w:pPr>
        <w:tabs>
          <w:tab w:val="num" w:pos="4320"/>
        </w:tabs>
        <w:ind w:left="4320" w:hanging="360"/>
      </w:pPr>
      <w:rPr>
        <w:rFonts w:ascii="Wingdings 3" w:hAnsi="Wingdings 3" w:hint="default"/>
      </w:rPr>
    </w:lvl>
    <w:lvl w:ilvl="6" w:tplc="5CEE81D2" w:tentative="1">
      <w:start w:val="1"/>
      <w:numFmt w:val="bullet"/>
      <w:lvlText w:val=""/>
      <w:lvlJc w:val="left"/>
      <w:pPr>
        <w:tabs>
          <w:tab w:val="num" w:pos="5040"/>
        </w:tabs>
        <w:ind w:left="5040" w:hanging="360"/>
      </w:pPr>
      <w:rPr>
        <w:rFonts w:ascii="Wingdings 3" w:hAnsi="Wingdings 3" w:hint="default"/>
      </w:rPr>
    </w:lvl>
    <w:lvl w:ilvl="7" w:tplc="B50408B8" w:tentative="1">
      <w:start w:val="1"/>
      <w:numFmt w:val="bullet"/>
      <w:lvlText w:val=""/>
      <w:lvlJc w:val="left"/>
      <w:pPr>
        <w:tabs>
          <w:tab w:val="num" w:pos="5760"/>
        </w:tabs>
        <w:ind w:left="5760" w:hanging="360"/>
      </w:pPr>
      <w:rPr>
        <w:rFonts w:ascii="Wingdings 3" w:hAnsi="Wingdings 3" w:hint="default"/>
      </w:rPr>
    </w:lvl>
    <w:lvl w:ilvl="8" w:tplc="D20EEC58" w:tentative="1">
      <w:start w:val="1"/>
      <w:numFmt w:val="bullet"/>
      <w:lvlText w:val=""/>
      <w:lvlJc w:val="left"/>
      <w:pPr>
        <w:tabs>
          <w:tab w:val="num" w:pos="6480"/>
        </w:tabs>
        <w:ind w:left="6480" w:hanging="360"/>
      </w:pPr>
      <w:rPr>
        <w:rFonts w:ascii="Wingdings 3" w:hAnsi="Wingdings 3" w:hint="default"/>
      </w:rPr>
    </w:lvl>
  </w:abstractNum>
  <w:num w:numId="1" w16cid:durableId="92015952">
    <w:abstractNumId w:val="0"/>
  </w:num>
  <w:num w:numId="2" w16cid:durableId="1153913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C3"/>
    <w:rsid w:val="001036FD"/>
    <w:rsid w:val="00111BAB"/>
    <w:rsid w:val="00152DC3"/>
    <w:rsid w:val="00191CDF"/>
    <w:rsid w:val="001A4B22"/>
    <w:rsid w:val="001F5DB7"/>
    <w:rsid w:val="00242500"/>
    <w:rsid w:val="002858D7"/>
    <w:rsid w:val="0029667F"/>
    <w:rsid w:val="0033228F"/>
    <w:rsid w:val="00373542"/>
    <w:rsid w:val="00374EAE"/>
    <w:rsid w:val="003765AD"/>
    <w:rsid w:val="00392392"/>
    <w:rsid w:val="003C6FA0"/>
    <w:rsid w:val="003D3F1C"/>
    <w:rsid w:val="003E0EA1"/>
    <w:rsid w:val="003E7246"/>
    <w:rsid w:val="003F2BEC"/>
    <w:rsid w:val="004A299C"/>
    <w:rsid w:val="004D2250"/>
    <w:rsid w:val="004E1C02"/>
    <w:rsid w:val="00571B84"/>
    <w:rsid w:val="005C4DE1"/>
    <w:rsid w:val="005F0451"/>
    <w:rsid w:val="006224D5"/>
    <w:rsid w:val="00622840"/>
    <w:rsid w:val="006410CF"/>
    <w:rsid w:val="006E3BC9"/>
    <w:rsid w:val="006F348B"/>
    <w:rsid w:val="006F5338"/>
    <w:rsid w:val="00717C6A"/>
    <w:rsid w:val="00772822"/>
    <w:rsid w:val="007E738D"/>
    <w:rsid w:val="0086225B"/>
    <w:rsid w:val="00892151"/>
    <w:rsid w:val="00894B0B"/>
    <w:rsid w:val="008B11C1"/>
    <w:rsid w:val="008B6FAA"/>
    <w:rsid w:val="008F49D1"/>
    <w:rsid w:val="0091311D"/>
    <w:rsid w:val="00994D60"/>
    <w:rsid w:val="009B551A"/>
    <w:rsid w:val="00AE0BD4"/>
    <w:rsid w:val="00AE11D6"/>
    <w:rsid w:val="00BF029E"/>
    <w:rsid w:val="00C33108"/>
    <w:rsid w:val="00C35079"/>
    <w:rsid w:val="00C64F6E"/>
    <w:rsid w:val="00C86781"/>
    <w:rsid w:val="00CD1C40"/>
    <w:rsid w:val="00CF7284"/>
    <w:rsid w:val="00D96A6B"/>
    <w:rsid w:val="00DD36D4"/>
    <w:rsid w:val="00DD37AD"/>
    <w:rsid w:val="00DF6177"/>
    <w:rsid w:val="00E6167D"/>
    <w:rsid w:val="00E776C3"/>
    <w:rsid w:val="00E854C1"/>
    <w:rsid w:val="00ED18B5"/>
    <w:rsid w:val="00ED2237"/>
    <w:rsid w:val="00F25862"/>
    <w:rsid w:val="00F2640B"/>
    <w:rsid w:val="00F765DE"/>
    <w:rsid w:val="00F81C73"/>
    <w:rsid w:val="00F93694"/>
    <w:rsid w:val="00FC3C3A"/>
    <w:rsid w:val="00FD05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BC068"/>
  <w15:chartTrackingRefBased/>
  <w15:docId w15:val="{B080D46F-5F68-4624-AEE7-5321F9571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D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2D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2D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2D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2D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2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D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2D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2D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2D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2D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2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DC3"/>
    <w:rPr>
      <w:rFonts w:eastAsiaTheme="majorEastAsia" w:cstheme="majorBidi"/>
      <w:color w:val="272727" w:themeColor="text1" w:themeTint="D8"/>
    </w:rPr>
  </w:style>
  <w:style w:type="paragraph" w:styleId="Title">
    <w:name w:val="Title"/>
    <w:basedOn w:val="Normal"/>
    <w:next w:val="Normal"/>
    <w:link w:val="TitleChar"/>
    <w:uiPriority w:val="10"/>
    <w:qFormat/>
    <w:rsid w:val="00152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DC3"/>
    <w:pPr>
      <w:spacing w:before="160"/>
      <w:jc w:val="center"/>
    </w:pPr>
    <w:rPr>
      <w:i/>
      <w:iCs/>
      <w:color w:val="404040" w:themeColor="text1" w:themeTint="BF"/>
    </w:rPr>
  </w:style>
  <w:style w:type="character" w:customStyle="1" w:styleId="QuoteChar">
    <w:name w:val="Quote Char"/>
    <w:basedOn w:val="DefaultParagraphFont"/>
    <w:link w:val="Quote"/>
    <w:uiPriority w:val="29"/>
    <w:rsid w:val="00152DC3"/>
    <w:rPr>
      <w:i/>
      <w:iCs/>
      <w:color w:val="404040" w:themeColor="text1" w:themeTint="BF"/>
    </w:rPr>
  </w:style>
  <w:style w:type="paragraph" w:styleId="ListParagraph">
    <w:name w:val="List Paragraph"/>
    <w:basedOn w:val="Normal"/>
    <w:uiPriority w:val="34"/>
    <w:qFormat/>
    <w:rsid w:val="00152DC3"/>
    <w:pPr>
      <w:ind w:left="720"/>
      <w:contextualSpacing/>
    </w:pPr>
  </w:style>
  <w:style w:type="character" w:styleId="IntenseEmphasis">
    <w:name w:val="Intense Emphasis"/>
    <w:basedOn w:val="DefaultParagraphFont"/>
    <w:uiPriority w:val="21"/>
    <w:qFormat/>
    <w:rsid w:val="00152DC3"/>
    <w:rPr>
      <w:i/>
      <w:iCs/>
      <w:color w:val="2F5496" w:themeColor="accent1" w:themeShade="BF"/>
    </w:rPr>
  </w:style>
  <w:style w:type="paragraph" w:styleId="IntenseQuote">
    <w:name w:val="Intense Quote"/>
    <w:basedOn w:val="Normal"/>
    <w:next w:val="Normal"/>
    <w:link w:val="IntenseQuoteChar"/>
    <w:uiPriority w:val="30"/>
    <w:qFormat/>
    <w:rsid w:val="00152D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2DC3"/>
    <w:rPr>
      <w:i/>
      <w:iCs/>
      <w:color w:val="2F5496" w:themeColor="accent1" w:themeShade="BF"/>
    </w:rPr>
  </w:style>
  <w:style w:type="character" w:styleId="IntenseReference">
    <w:name w:val="Intense Reference"/>
    <w:basedOn w:val="DefaultParagraphFont"/>
    <w:uiPriority w:val="32"/>
    <w:qFormat/>
    <w:rsid w:val="00152DC3"/>
    <w:rPr>
      <w:b/>
      <w:bCs/>
      <w:smallCaps/>
      <w:color w:val="2F5496" w:themeColor="accent1" w:themeShade="BF"/>
      <w:spacing w:val="5"/>
    </w:rPr>
  </w:style>
  <w:style w:type="character" w:styleId="Hyperlink">
    <w:name w:val="Hyperlink"/>
    <w:basedOn w:val="DefaultParagraphFont"/>
    <w:uiPriority w:val="99"/>
    <w:unhideWhenUsed/>
    <w:rsid w:val="00C33108"/>
    <w:rPr>
      <w:color w:val="0563C1" w:themeColor="hyperlink"/>
      <w:u w:val="single"/>
    </w:rPr>
  </w:style>
  <w:style w:type="character" w:styleId="UnresolvedMention">
    <w:name w:val="Unresolved Mention"/>
    <w:basedOn w:val="DefaultParagraphFont"/>
    <w:uiPriority w:val="99"/>
    <w:semiHidden/>
    <w:unhideWhenUsed/>
    <w:rsid w:val="00C33108"/>
    <w:rPr>
      <w:color w:val="605E5C"/>
      <w:shd w:val="clear" w:color="auto" w:fill="E1DFDD"/>
    </w:rPr>
  </w:style>
  <w:style w:type="character" w:customStyle="1" w:styleId="c-bibliographic-informationvalue">
    <w:name w:val="c-bibliographic-information__value"/>
    <w:basedOn w:val="DefaultParagraphFont"/>
    <w:rsid w:val="00DD36D4"/>
  </w:style>
  <w:style w:type="paragraph" w:customStyle="1" w:styleId="Default">
    <w:name w:val="Default"/>
    <w:rsid w:val="003E0EA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ica.org.au/wp-content/uploads/CICA-Professional-Standards-for-Australian-Career-Development-Practitioners-5th-ed-published-2026.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1527</Words>
  <Characters>8706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McMahon</dc:creator>
  <cp:keywords/>
  <dc:description/>
  <cp:lastModifiedBy>Mary McMahon</cp:lastModifiedBy>
  <cp:revision>2</cp:revision>
  <dcterms:created xsi:type="dcterms:W3CDTF">2026-04-17T04:05:00Z</dcterms:created>
  <dcterms:modified xsi:type="dcterms:W3CDTF">2026-04-17T04:05:00Z</dcterms:modified>
</cp:coreProperties>
</file>