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FD7C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Empowering Futures: Evaluating the Impact of an Engineering Holiday Camp on Young Women's Career Choices</w:t>
      </w:r>
    </w:p>
    <w:p w14:paraId="7DED3E55" w14:textId="5BA36084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Keywords:</w:t>
      </w:r>
      <w:r w:rsidRPr="008F36D4">
        <w:rPr>
          <w:rFonts w:ascii="Calibri" w:hAnsi="Calibri" w:cs="Calibri"/>
          <w:sz w:val="22"/>
          <w:szCs w:val="22"/>
        </w:rPr>
        <w:t xml:space="preserve"> Outreach, </w:t>
      </w:r>
      <w:r w:rsidRPr="000F7EAF">
        <w:rPr>
          <w:rFonts w:ascii="Calibri" w:hAnsi="Calibri" w:cs="Calibri"/>
          <w:sz w:val="22"/>
          <w:szCs w:val="22"/>
        </w:rPr>
        <w:t>schools, e</w:t>
      </w:r>
      <w:r w:rsidRPr="008F36D4">
        <w:rPr>
          <w:rFonts w:ascii="Calibri" w:hAnsi="Calibri" w:cs="Calibri"/>
          <w:sz w:val="22"/>
          <w:szCs w:val="22"/>
        </w:rPr>
        <w:t xml:space="preserve">ngineering, </w:t>
      </w:r>
      <w:r w:rsidRPr="000F7EAF">
        <w:rPr>
          <w:rFonts w:ascii="Calibri" w:hAnsi="Calibri" w:cs="Calibri"/>
          <w:sz w:val="22"/>
          <w:szCs w:val="22"/>
        </w:rPr>
        <w:t>women</w:t>
      </w:r>
    </w:p>
    <w:p w14:paraId="117D3D3D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Introduction</w:t>
      </w:r>
    </w:p>
    <w:p w14:paraId="717D5D06" w14:textId="59F6FFBD" w:rsidR="00183DF8" w:rsidRDefault="00183DF8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83DF8">
        <w:rPr>
          <w:rFonts w:ascii="Calibri" w:hAnsi="Calibri" w:cs="Calibri"/>
          <w:sz w:val="22"/>
          <w:szCs w:val="22"/>
        </w:rPr>
        <w:t>The underrepresentation of women in engineering is a persistent global challenge rooted in societal stereotyping, unwelcoming educational environments, and low STEM self-efficacy. Despite research on STEM pathways, the engineering sector has seen minimal growth in gender diversity over the last decade. In 2019, the University of Auckland’s Faculty of Engineering</w:t>
      </w:r>
      <w:r w:rsidR="004D63D4">
        <w:rPr>
          <w:rFonts w:ascii="Calibri" w:hAnsi="Calibri" w:cs="Calibri"/>
          <w:sz w:val="22"/>
          <w:szCs w:val="22"/>
        </w:rPr>
        <w:t xml:space="preserve"> and Design</w:t>
      </w:r>
      <w:r w:rsidRPr="00183DF8">
        <w:rPr>
          <w:rFonts w:ascii="Calibri" w:hAnsi="Calibri" w:cs="Calibri"/>
          <w:sz w:val="22"/>
          <w:szCs w:val="22"/>
        </w:rPr>
        <w:t xml:space="preserve"> launched a strategic initiative to address this, establishing the annual Women in Engineering (WIE) Holiday Camp. This intervention provides an immersive, supportive environment to bridge the gender gap.</w:t>
      </w:r>
    </w:p>
    <w:p w14:paraId="67EE55C2" w14:textId="3AEB5735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Objectives</w:t>
      </w:r>
    </w:p>
    <w:p w14:paraId="19C37E2E" w14:textId="234754AA" w:rsidR="004D63D4" w:rsidRPr="004D63D4" w:rsidRDefault="004D63D4" w:rsidP="004D63D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D63D4">
        <w:rPr>
          <w:rFonts w:ascii="Calibri" w:hAnsi="Calibri" w:cs="Calibri"/>
          <w:sz w:val="22"/>
          <w:szCs w:val="22"/>
        </w:rPr>
        <w:t xml:space="preserve">Many high school students lack exposure to the real-world impact of engineering. Furthermore, while the </w:t>
      </w:r>
      <w:r w:rsidRPr="004D63D4">
        <w:rPr>
          <w:rFonts w:ascii="Calibri" w:hAnsi="Calibri" w:cs="Calibri"/>
          <w:sz w:val="22"/>
          <w:szCs w:val="22"/>
        </w:rPr>
        <w:t>faculty</w:t>
      </w:r>
      <w:r w:rsidRPr="004D63D4">
        <w:rPr>
          <w:rFonts w:ascii="Calibri" w:hAnsi="Calibri" w:cs="Calibri"/>
          <w:sz w:val="22"/>
          <w:szCs w:val="22"/>
        </w:rPr>
        <w:t xml:space="preserve"> engages over 800 women annually, only around 250 enrol</w:t>
      </w:r>
      <w:r>
        <w:rPr>
          <w:rFonts w:ascii="Calibri" w:hAnsi="Calibri" w:cs="Calibri"/>
          <w:sz w:val="22"/>
          <w:szCs w:val="22"/>
        </w:rPr>
        <w:t xml:space="preserve"> in the degree each year</w:t>
      </w:r>
      <w:r w:rsidR="00F93AE7">
        <w:rPr>
          <w:rFonts w:ascii="Calibri" w:hAnsi="Calibri" w:cs="Calibri"/>
          <w:sz w:val="22"/>
          <w:szCs w:val="22"/>
        </w:rPr>
        <w:t xml:space="preserve">, around 25% of the </w:t>
      </w:r>
      <w:r w:rsidR="00B6349A">
        <w:rPr>
          <w:rFonts w:ascii="Calibri" w:hAnsi="Calibri" w:cs="Calibri"/>
          <w:sz w:val="22"/>
          <w:szCs w:val="22"/>
        </w:rPr>
        <w:t>first-year</w:t>
      </w:r>
      <w:r w:rsidR="00F93AE7">
        <w:rPr>
          <w:rFonts w:ascii="Calibri" w:hAnsi="Calibri" w:cs="Calibri"/>
          <w:sz w:val="22"/>
          <w:szCs w:val="22"/>
        </w:rPr>
        <w:t xml:space="preserve"> cohort.</w:t>
      </w:r>
      <w:r w:rsidRPr="004D63D4">
        <w:rPr>
          <w:rFonts w:ascii="Calibri" w:hAnsi="Calibri" w:cs="Calibri"/>
          <w:sz w:val="22"/>
          <w:szCs w:val="22"/>
        </w:rPr>
        <w:t xml:space="preserve"> This study investigates this "leak" in the pipeline by evaluating the WIE Holiday Camp through three questions:</w:t>
      </w:r>
    </w:p>
    <w:p w14:paraId="7BCC611B" w14:textId="77777777" w:rsidR="004D63D4" w:rsidRPr="004D63D4" w:rsidRDefault="004D63D4" w:rsidP="004D63D4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D63D4">
        <w:rPr>
          <w:rFonts w:ascii="Calibri" w:hAnsi="Calibri" w:cs="Calibri"/>
          <w:sz w:val="22"/>
          <w:szCs w:val="22"/>
        </w:rPr>
        <w:t>What are the core goals of the WIE Holiday Camp and how well are they achieved?</w:t>
      </w:r>
    </w:p>
    <w:p w14:paraId="6AB64410" w14:textId="77777777" w:rsidR="004D63D4" w:rsidRPr="004D63D4" w:rsidRDefault="004D63D4" w:rsidP="004D63D4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D63D4">
        <w:rPr>
          <w:rFonts w:ascii="Calibri" w:hAnsi="Calibri" w:cs="Calibri"/>
          <w:sz w:val="22"/>
          <w:szCs w:val="22"/>
        </w:rPr>
        <w:t>How do students perceive and respond to these activities?</w:t>
      </w:r>
    </w:p>
    <w:p w14:paraId="6D5E125F" w14:textId="77777777" w:rsidR="004D63D4" w:rsidRPr="004D63D4" w:rsidRDefault="004D63D4" w:rsidP="004D63D4">
      <w:pPr>
        <w:numPr>
          <w:ilvl w:val="0"/>
          <w:numId w:val="5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D63D4">
        <w:rPr>
          <w:rFonts w:ascii="Calibri" w:hAnsi="Calibri" w:cs="Calibri"/>
          <w:sz w:val="22"/>
          <w:szCs w:val="22"/>
        </w:rPr>
        <w:t>In what ways do these experiences motivate young women to pursue engineering pathways?</w:t>
      </w:r>
    </w:p>
    <w:p w14:paraId="5A7A5553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Theoretical Basis</w:t>
      </w:r>
    </w:p>
    <w:p w14:paraId="222826CC" w14:textId="19BD65B5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sz w:val="22"/>
          <w:szCs w:val="22"/>
        </w:rPr>
        <w:t xml:space="preserve">The study adopts a dual theoretical framework. Firstly, it </w:t>
      </w:r>
      <w:r w:rsidRPr="001E5A8C">
        <w:rPr>
          <w:rFonts w:ascii="Calibri" w:hAnsi="Calibri" w:cs="Calibri"/>
          <w:sz w:val="22"/>
          <w:szCs w:val="22"/>
        </w:rPr>
        <w:t xml:space="preserve">utilizes </w:t>
      </w:r>
      <w:proofErr w:type="spellStart"/>
      <w:r w:rsidRPr="001E5A8C">
        <w:rPr>
          <w:rFonts w:ascii="Calibri" w:hAnsi="Calibri" w:cs="Calibri"/>
          <w:sz w:val="22"/>
          <w:szCs w:val="22"/>
        </w:rPr>
        <w:t>Esbroeck</w:t>
      </w:r>
      <w:proofErr w:type="spellEnd"/>
      <w:r w:rsidRPr="001E5A8C">
        <w:rPr>
          <w:rFonts w:ascii="Calibri" w:hAnsi="Calibri" w:cs="Calibri"/>
          <w:sz w:val="22"/>
          <w:szCs w:val="22"/>
        </w:rPr>
        <w:t xml:space="preserve"> et al.’s (2004) Dynamic Model of Career Choice Development, which views career choice as a continuous process of interaction between the individual and their environment. The camp serves as a critical intervention point for self-exploration and environmental mapping. Secondly, the research draws on Ahmed’s</w:t>
      </w:r>
      <w:r w:rsidRPr="008F36D4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E5A8C">
        <w:rPr>
          <w:rFonts w:ascii="Calibri" w:hAnsi="Calibri" w:cs="Calibri"/>
          <w:sz w:val="22"/>
          <w:szCs w:val="22"/>
        </w:rPr>
        <w:t>(2006) phenomenology of orientation,</w:t>
      </w:r>
      <w:r w:rsidRPr="008F36D4">
        <w:rPr>
          <w:rFonts w:ascii="Calibri" w:hAnsi="Calibri" w:cs="Calibri"/>
          <w:sz w:val="22"/>
          <w:szCs w:val="22"/>
        </w:rPr>
        <w:t xml:space="preserve"> exploring how lived experiences and the "nearness" of role models </w:t>
      </w:r>
      <w:r w:rsidR="001E5A8C">
        <w:rPr>
          <w:rFonts w:ascii="Calibri" w:hAnsi="Calibri" w:cs="Calibri"/>
          <w:sz w:val="22"/>
          <w:szCs w:val="22"/>
        </w:rPr>
        <w:t xml:space="preserve">can </w:t>
      </w:r>
      <w:r w:rsidRPr="008F36D4">
        <w:rPr>
          <w:rFonts w:ascii="Calibri" w:hAnsi="Calibri" w:cs="Calibri"/>
          <w:sz w:val="22"/>
          <w:szCs w:val="22"/>
        </w:rPr>
        <w:t xml:space="preserve">direct individuals toward specific professional paths. By fostering </w:t>
      </w:r>
      <w:r w:rsidR="00515823">
        <w:rPr>
          <w:rFonts w:ascii="Calibri" w:hAnsi="Calibri" w:cs="Calibri"/>
          <w:sz w:val="22"/>
          <w:szCs w:val="22"/>
        </w:rPr>
        <w:t>positive emotions during the camp, we</w:t>
      </w:r>
      <w:r w:rsidRPr="008F36D4">
        <w:rPr>
          <w:rFonts w:ascii="Calibri" w:hAnsi="Calibri" w:cs="Calibri"/>
          <w:sz w:val="22"/>
          <w:szCs w:val="22"/>
        </w:rPr>
        <w:t xml:space="preserve"> seek to reshape the participants' "orientations" toward the field.</w:t>
      </w:r>
    </w:p>
    <w:p w14:paraId="79652B2F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Methodology</w:t>
      </w:r>
    </w:p>
    <w:p w14:paraId="3936AA6D" w14:textId="2971D1C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sz w:val="22"/>
          <w:szCs w:val="22"/>
        </w:rPr>
        <w:t xml:space="preserve">A mixed-methods longitudinal approach was employed to track </w:t>
      </w:r>
      <w:r w:rsidRPr="000F7EAF">
        <w:rPr>
          <w:rFonts w:ascii="Calibri" w:hAnsi="Calibri" w:cs="Calibri"/>
          <w:sz w:val="22"/>
          <w:szCs w:val="22"/>
        </w:rPr>
        <w:t xml:space="preserve">Camp </w:t>
      </w:r>
      <w:r w:rsidRPr="008F36D4">
        <w:rPr>
          <w:rFonts w:ascii="Calibri" w:hAnsi="Calibri" w:cs="Calibri"/>
          <w:sz w:val="22"/>
          <w:szCs w:val="22"/>
        </w:rPr>
        <w:t xml:space="preserve">participants aged 16–18. Quantitative data were gathered through annual online surveys, while qualitative insights were captured via one-on-one interviews and focus group discussions. This methodology allows the </w:t>
      </w:r>
      <w:r w:rsidRPr="008F36D4">
        <w:rPr>
          <w:rFonts w:ascii="Calibri" w:hAnsi="Calibri" w:cs="Calibri"/>
          <w:sz w:val="22"/>
          <w:szCs w:val="22"/>
        </w:rPr>
        <w:lastRenderedPageBreak/>
        <w:t>researchers to map individual journeys and identify "turning points" or effective intervention stages during and after the camp.</w:t>
      </w:r>
    </w:p>
    <w:p w14:paraId="0134F749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Results</w:t>
      </w:r>
    </w:p>
    <w:p w14:paraId="67FF5D45" w14:textId="62AF0E1A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sz w:val="22"/>
          <w:szCs w:val="22"/>
        </w:rPr>
        <w:t>Preliminary findings from the 2023 and 2024 cohorts indicate high levels of engagement</w:t>
      </w:r>
      <w:r w:rsidRPr="000F7EAF">
        <w:rPr>
          <w:rFonts w:ascii="Calibri" w:hAnsi="Calibri" w:cs="Calibri"/>
          <w:sz w:val="22"/>
          <w:szCs w:val="22"/>
        </w:rPr>
        <w:t xml:space="preserve"> with the camp itself</w:t>
      </w:r>
      <w:r w:rsidRPr="008F36D4">
        <w:rPr>
          <w:rFonts w:ascii="Calibri" w:hAnsi="Calibri" w:cs="Calibri"/>
          <w:sz w:val="22"/>
          <w:szCs w:val="22"/>
        </w:rPr>
        <w:t>. Data from a pilot study, including a 30% survey response rate and seven in-depth interviews, show that 50% of participants reported significant benefits. Key outcomes include:</w:t>
      </w:r>
    </w:p>
    <w:p w14:paraId="4AAA1149" w14:textId="77777777" w:rsidR="008F36D4" w:rsidRPr="008F36D4" w:rsidRDefault="008F36D4" w:rsidP="000F7EAF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Increased Knowledge:</w:t>
      </w:r>
      <w:r w:rsidRPr="008F36D4">
        <w:rPr>
          <w:rFonts w:ascii="Calibri" w:hAnsi="Calibri" w:cs="Calibri"/>
          <w:sz w:val="22"/>
          <w:szCs w:val="22"/>
        </w:rPr>
        <w:t xml:space="preserve"> Improved clarity regarding engineering as a diverse career.</w:t>
      </w:r>
    </w:p>
    <w:p w14:paraId="7965EE10" w14:textId="77777777" w:rsidR="008F36D4" w:rsidRPr="008F36D4" w:rsidRDefault="008F36D4" w:rsidP="000F7EAF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Social Capital:</w:t>
      </w:r>
      <w:r w:rsidRPr="008F36D4">
        <w:rPr>
          <w:rFonts w:ascii="Calibri" w:hAnsi="Calibri" w:cs="Calibri"/>
          <w:sz w:val="22"/>
          <w:szCs w:val="22"/>
        </w:rPr>
        <w:t xml:space="preserve"> The development of networks with peers, academics, and industry professionals.</w:t>
      </w:r>
    </w:p>
    <w:p w14:paraId="566AE621" w14:textId="77777777" w:rsidR="008F36D4" w:rsidRPr="008F36D4" w:rsidRDefault="008F36D4" w:rsidP="000F7EAF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Self-Efficacy:</w:t>
      </w:r>
      <w:r w:rsidRPr="008F36D4">
        <w:rPr>
          <w:rFonts w:ascii="Calibri" w:hAnsi="Calibri" w:cs="Calibri"/>
          <w:sz w:val="22"/>
          <w:szCs w:val="22"/>
        </w:rPr>
        <w:t xml:space="preserve"> A shift in self-perception, where participants recognized their eligibility and capability to succeed in the faculty's educational environment.</w:t>
      </w:r>
    </w:p>
    <w:p w14:paraId="5E0B65D0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Conclusion</w:t>
      </w:r>
    </w:p>
    <w:p w14:paraId="764DD6FE" w14:textId="046BE82F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sz w:val="22"/>
          <w:szCs w:val="22"/>
        </w:rPr>
        <w:t xml:space="preserve">The WIE Holiday Camp functions as an effective career intervention by enhancing comfort with technical environments and providing visible role models. By lowering barriers to the </w:t>
      </w:r>
      <w:r w:rsidR="009404CB">
        <w:rPr>
          <w:rFonts w:ascii="Calibri" w:hAnsi="Calibri" w:cs="Calibri"/>
          <w:sz w:val="22"/>
          <w:szCs w:val="22"/>
        </w:rPr>
        <w:t>“</w:t>
      </w:r>
      <w:r w:rsidRPr="008F36D4">
        <w:rPr>
          <w:rFonts w:ascii="Calibri" w:hAnsi="Calibri" w:cs="Calibri"/>
          <w:sz w:val="22"/>
          <w:szCs w:val="22"/>
        </w:rPr>
        <w:t>E in STEM," the programme clarifies educational pathways and empowers young women to make informed choices. The study suggests that repeated, high-touch outreach initiatives are vital for dismantling gendered barriers in technical disciplines.</w:t>
      </w:r>
    </w:p>
    <w:p w14:paraId="233DC6D6" w14:textId="77777777" w:rsidR="008F36D4" w:rsidRPr="008F36D4" w:rsidRDefault="008F36D4" w:rsidP="000F7EAF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F36D4">
        <w:rPr>
          <w:rFonts w:ascii="Calibri" w:hAnsi="Calibri" w:cs="Calibri"/>
          <w:b/>
          <w:bCs/>
          <w:sz w:val="22"/>
          <w:szCs w:val="22"/>
        </w:rPr>
        <w:t>References</w:t>
      </w:r>
    </w:p>
    <w:p w14:paraId="1401BD43" w14:textId="3EFF2D76" w:rsidR="008F36D4" w:rsidRPr="008F36D4" w:rsidRDefault="008F36D4" w:rsidP="004B6C0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F36D4">
        <w:rPr>
          <w:rFonts w:ascii="Calibri" w:hAnsi="Calibri" w:cs="Calibri"/>
          <w:sz w:val="22"/>
          <w:szCs w:val="22"/>
        </w:rPr>
        <w:t xml:space="preserve">Ahmed, S. (2006). </w:t>
      </w:r>
      <w:r w:rsidRPr="008F36D4">
        <w:rPr>
          <w:rFonts w:ascii="Calibri" w:hAnsi="Calibri" w:cs="Calibri"/>
          <w:i/>
          <w:iCs/>
          <w:sz w:val="22"/>
          <w:szCs w:val="22"/>
        </w:rPr>
        <w:t>Queer phenomenology: Orientations, objects, others</w:t>
      </w:r>
      <w:r w:rsidRPr="008F36D4">
        <w:rPr>
          <w:rFonts w:ascii="Calibri" w:hAnsi="Calibri" w:cs="Calibri"/>
          <w:sz w:val="22"/>
          <w:szCs w:val="22"/>
        </w:rPr>
        <w:t>. Duke University Press.</w:t>
      </w:r>
      <w:r w:rsidR="00FA1CBE">
        <w:rPr>
          <w:rFonts w:ascii="Calibri" w:hAnsi="Calibri" w:cs="Calibri"/>
          <w:sz w:val="22"/>
          <w:szCs w:val="22"/>
        </w:rPr>
        <w:t xml:space="preserve"> </w:t>
      </w:r>
      <w:hyperlink r:id="rId5" w:tgtFrame="_blank" w:history="1">
        <w:r w:rsidR="00FA1CBE" w:rsidRPr="00FA1CBE">
          <w:rPr>
            <w:rStyle w:val="Hyperlink"/>
            <w:rFonts w:ascii="Calibri" w:hAnsi="Calibri" w:cs="Calibri"/>
            <w:sz w:val="22"/>
            <w:szCs w:val="22"/>
          </w:rPr>
          <w:t>https://doi.org/10.1215/9780822388074</w:t>
        </w:r>
      </w:hyperlink>
    </w:p>
    <w:p w14:paraId="21C66BB0" w14:textId="5C0AA70D" w:rsidR="008F36D4" w:rsidRPr="00114618" w:rsidRDefault="008F36D4" w:rsidP="004B6C0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8F36D4">
        <w:rPr>
          <w:rFonts w:ascii="Calibri" w:hAnsi="Calibri" w:cs="Calibri"/>
          <w:sz w:val="22"/>
          <w:szCs w:val="22"/>
        </w:rPr>
        <w:t>Esbroeck</w:t>
      </w:r>
      <w:proofErr w:type="spellEnd"/>
      <w:r w:rsidRPr="008F36D4">
        <w:rPr>
          <w:rFonts w:ascii="Calibri" w:hAnsi="Calibri" w:cs="Calibri"/>
          <w:sz w:val="22"/>
          <w:szCs w:val="22"/>
        </w:rPr>
        <w:t xml:space="preserve">, R. V., </w:t>
      </w:r>
      <w:proofErr w:type="spellStart"/>
      <w:r w:rsidRPr="008F36D4">
        <w:rPr>
          <w:rFonts w:ascii="Calibri" w:hAnsi="Calibri" w:cs="Calibri"/>
          <w:sz w:val="22"/>
          <w:szCs w:val="22"/>
        </w:rPr>
        <w:t>Tibos</w:t>
      </w:r>
      <w:proofErr w:type="spellEnd"/>
      <w:r w:rsidRPr="008F36D4">
        <w:rPr>
          <w:rFonts w:ascii="Calibri" w:hAnsi="Calibri" w:cs="Calibri"/>
          <w:sz w:val="22"/>
          <w:szCs w:val="22"/>
        </w:rPr>
        <w:t xml:space="preserve">, K. I. M., &amp; Zaman, M. (2004). A dynamic model of career choice development. </w:t>
      </w:r>
      <w:r w:rsidRPr="008F36D4">
        <w:rPr>
          <w:rFonts w:ascii="Calibri" w:hAnsi="Calibri" w:cs="Calibri"/>
          <w:i/>
          <w:iCs/>
          <w:sz w:val="22"/>
          <w:szCs w:val="22"/>
        </w:rPr>
        <w:t>International Journal for Educational and Vocational Guidance</w:t>
      </w:r>
      <w:r w:rsidRPr="008F36D4">
        <w:rPr>
          <w:rFonts w:ascii="Calibri" w:hAnsi="Calibri" w:cs="Calibri"/>
          <w:sz w:val="22"/>
          <w:szCs w:val="22"/>
        </w:rPr>
        <w:t>, 5, 5-18.</w:t>
      </w:r>
      <w:r w:rsidR="00FA1CBE">
        <w:rPr>
          <w:rFonts w:ascii="Calibri" w:hAnsi="Calibri" w:cs="Calibri"/>
          <w:sz w:val="22"/>
          <w:szCs w:val="22"/>
        </w:rPr>
        <w:t xml:space="preserve"> </w:t>
      </w:r>
      <w:hyperlink r:id="rId6" w:tgtFrame="_blank" w:history="1">
        <w:r w:rsidR="00114618" w:rsidRPr="00114618">
          <w:rPr>
            <w:rStyle w:val="Hyperlink"/>
            <w:rFonts w:ascii="Calibri" w:hAnsi="Calibri" w:cs="Calibri"/>
            <w:sz w:val="22"/>
            <w:szCs w:val="22"/>
          </w:rPr>
          <w:t>10.1007/s10775-005-2122-7</w:t>
        </w:r>
      </w:hyperlink>
    </w:p>
    <w:p w14:paraId="6976BE4F" w14:textId="56C82CD3" w:rsidR="00020D16" w:rsidRPr="008F36D4" w:rsidRDefault="00A40732" w:rsidP="004B6C0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40732">
        <w:rPr>
          <w:rFonts w:ascii="Calibri" w:hAnsi="Calibri" w:cs="Calibri"/>
          <w:sz w:val="22"/>
          <w:szCs w:val="22"/>
        </w:rPr>
        <w:t>Fox, A., Tran, B., Woodmass, I., &amp; Donald, C. (2024). Women in engineering: Inspiring school students to pursue the “E” in STEM.</w:t>
      </w:r>
      <w:r w:rsidR="00A070BD">
        <w:rPr>
          <w:rFonts w:ascii="Calibri" w:hAnsi="Calibri" w:cs="Calibri"/>
          <w:sz w:val="22"/>
          <w:szCs w:val="22"/>
        </w:rPr>
        <w:t xml:space="preserve"> In</w:t>
      </w:r>
      <w:r w:rsidRPr="00A40732">
        <w:rPr>
          <w:rFonts w:ascii="Calibri" w:hAnsi="Calibri" w:cs="Calibri"/>
          <w:sz w:val="22"/>
          <w:szCs w:val="22"/>
        </w:rPr>
        <w:t xml:space="preserve"> </w:t>
      </w:r>
      <w:r w:rsidRPr="00A40732">
        <w:rPr>
          <w:rFonts w:ascii="Calibri" w:hAnsi="Calibri" w:cs="Calibri"/>
          <w:i/>
          <w:iCs/>
          <w:sz w:val="22"/>
          <w:szCs w:val="22"/>
        </w:rPr>
        <w:t>Proceedings of the 35th Annual Conference of the Australasian Association for Engineering Education (AAEE 2024).</w:t>
      </w:r>
      <w:r w:rsidRPr="00A40732">
        <w:rPr>
          <w:rFonts w:ascii="Calibri" w:hAnsi="Calibri" w:cs="Calibri"/>
          <w:sz w:val="22"/>
          <w:szCs w:val="22"/>
        </w:rPr>
        <w:t xml:space="preserve"> Engineers Australia. </w:t>
      </w:r>
      <w:hyperlink r:id="rId7" w:history="1">
        <w:r w:rsidR="00A070BD" w:rsidRPr="00BC591F">
          <w:rPr>
            <w:rStyle w:val="Hyperlink"/>
            <w:rFonts w:ascii="Calibri" w:hAnsi="Calibri" w:cs="Calibri"/>
            <w:sz w:val="22"/>
            <w:szCs w:val="22"/>
          </w:rPr>
          <w:t>https://search.informit.org/doi/10.3316/informit.T2025032000017300903144892</w:t>
        </w:r>
      </w:hyperlink>
      <w:r w:rsidR="00A070BD">
        <w:rPr>
          <w:rFonts w:ascii="Calibri" w:hAnsi="Calibri" w:cs="Calibri"/>
          <w:sz w:val="22"/>
          <w:szCs w:val="22"/>
        </w:rPr>
        <w:t xml:space="preserve"> </w:t>
      </w:r>
    </w:p>
    <w:p w14:paraId="32E431E5" w14:textId="77777777" w:rsidR="00690A24" w:rsidRPr="000F7EAF" w:rsidRDefault="00690A24" w:rsidP="000F7E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690A24" w:rsidRPr="000F7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8BD"/>
    <w:multiLevelType w:val="multilevel"/>
    <w:tmpl w:val="EEC8E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C6629"/>
    <w:multiLevelType w:val="multilevel"/>
    <w:tmpl w:val="FC5C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475FD"/>
    <w:multiLevelType w:val="multilevel"/>
    <w:tmpl w:val="8F9C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5068AB"/>
    <w:multiLevelType w:val="hybridMultilevel"/>
    <w:tmpl w:val="5A62E8BC"/>
    <w:lvl w:ilvl="0" w:tplc="0AF0D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DD02D4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48BE37D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178508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54CC7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CE4549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45866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432AF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5C82E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" w15:restartNumberingAfterBreak="0">
    <w:nsid w:val="69DA210B"/>
    <w:multiLevelType w:val="multilevel"/>
    <w:tmpl w:val="B0DA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B66174"/>
    <w:multiLevelType w:val="multilevel"/>
    <w:tmpl w:val="F550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544597">
    <w:abstractNumId w:val="5"/>
  </w:num>
  <w:num w:numId="2" w16cid:durableId="1374769771">
    <w:abstractNumId w:val="0"/>
  </w:num>
  <w:num w:numId="3" w16cid:durableId="1436289696">
    <w:abstractNumId w:val="1"/>
  </w:num>
  <w:num w:numId="4" w16cid:durableId="536165755">
    <w:abstractNumId w:val="3"/>
  </w:num>
  <w:num w:numId="5" w16cid:durableId="167141037">
    <w:abstractNumId w:val="4"/>
  </w:num>
  <w:num w:numId="6" w16cid:durableId="1582442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6D4"/>
    <w:rsid w:val="00020D16"/>
    <w:rsid w:val="000423B0"/>
    <w:rsid w:val="000F764C"/>
    <w:rsid w:val="000F7EAF"/>
    <w:rsid w:val="00114618"/>
    <w:rsid w:val="00183DF8"/>
    <w:rsid w:val="001E5A8C"/>
    <w:rsid w:val="002260F5"/>
    <w:rsid w:val="00396773"/>
    <w:rsid w:val="004767C2"/>
    <w:rsid w:val="004B6C0D"/>
    <w:rsid w:val="004D63D4"/>
    <w:rsid w:val="00515823"/>
    <w:rsid w:val="00533116"/>
    <w:rsid w:val="00536453"/>
    <w:rsid w:val="00690A24"/>
    <w:rsid w:val="006B57FF"/>
    <w:rsid w:val="007767E4"/>
    <w:rsid w:val="00804A25"/>
    <w:rsid w:val="008F36D4"/>
    <w:rsid w:val="009404CB"/>
    <w:rsid w:val="00A070BD"/>
    <w:rsid w:val="00A40732"/>
    <w:rsid w:val="00B6349A"/>
    <w:rsid w:val="00F93AE7"/>
    <w:rsid w:val="00FA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6533D"/>
  <w15:chartTrackingRefBased/>
  <w15:docId w15:val="{8E0C72C8-7580-4D3E-9491-048C867C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6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70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arch.informit.org/doi/10.3316/informit.T20250320000173009031448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10775-005-2122-7" TargetMode="External"/><Relationship Id="rId5" Type="http://schemas.openxmlformats.org/officeDocument/2006/relationships/hyperlink" Target="https://doi.org/10.1215/978082238807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1b36e95-0d50-42e9-958f-b63fa906beaa}" enabled="0" method="" siteId="{d1b36e95-0d50-42e9-958f-b63fa906b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636</Words>
  <Characters>3759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Fox</dc:creator>
  <cp:keywords/>
  <dc:description/>
  <cp:lastModifiedBy>Ashleigh Fox</cp:lastModifiedBy>
  <cp:revision>21</cp:revision>
  <cp:lastPrinted>2026-04-13T10:34:00Z</cp:lastPrinted>
  <dcterms:created xsi:type="dcterms:W3CDTF">2026-04-13T10:18:00Z</dcterms:created>
  <dcterms:modified xsi:type="dcterms:W3CDTF">2026-04-14T09:45:00Z</dcterms:modified>
</cp:coreProperties>
</file>