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6ACD4" w14:textId="2E258363" w:rsidR="00097BD3" w:rsidRPr="008A6ABC" w:rsidRDefault="00097BD3" w:rsidP="0040254C">
      <w:pPr>
        <w:pStyle w:val="a9"/>
        <w:widowControl/>
        <w:numPr>
          <w:ilvl w:val="0"/>
          <w:numId w:val="2"/>
        </w:numPr>
        <w:spacing w:line="360" w:lineRule="auto"/>
        <w:ind w:left="284" w:hanging="284"/>
        <w:jc w:val="left"/>
        <w:rPr>
          <w:rFonts w:ascii="Calibri" w:hAnsi="Calibri" w:cs="Calibri"/>
          <w:sz w:val="22"/>
          <w:szCs w:val="24"/>
        </w:rPr>
      </w:pPr>
      <w:r w:rsidRPr="008A6ABC">
        <w:rPr>
          <w:rFonts w:ascii="Calibri" w:hAnsi="Calibri" w:cs="Calibri"/>
          <w:sz w:val="22"/>
          <w:szCs w:val="24"/>
        </w:rPr>
        <w:t>Family name and first name of the first contributor/author/discussant or chair</w:t>
      </w:r>
    </w:p>
    <w:p w14:paraId="365FCC8C" w14:textId="1DFEBC9B" w:rsidR="00097BD3" w:rsidRDefault="00097BD3" w:rsidP="0040254C">
      <w:pPr>
        <w:widowControl/>
        <w:spacing w:line="360" w:lineRule="auto"/>
        <w:ind w:left="284" w:hanging="284"/>
        <w:jc w:val="left"/>
        <w:rPr>
          <w:rFonts w:ascii="Calibri" w:hAnsi="Calibri" w:cs="Calibri"/>
          <w:sz w:val="22"/>
          <w:szCs w:val="24"/>
        </w:rPr>
      </w:pPr>
      <w:r>
        <w:rPr>
          <w:rFonts w:ascii="Calibri" w:hAnsi="Calibri" w:cs="Calibri"/>
          <w:sz w:val="22"/>
          <w:szCs w:val="24"/>
        </w:rPr>
        <w:tab/>
      </w:r>
      <w:r w:rsidR="00A70D3C">
        <w:rPr>
          <w:rFonts w:ascii="Calibri" w:hAnsi="Calibri" w:cs="Calibri" w:hint="eastAsia"/>
          <w:sz w:val="22"/>
          <w:szCs w:val="24"/>
        </w:rPr>
        <w:t>M</w:t>
      </w:r>
      <w:r w:rsidR="0073343C">
        <w:rPr>
          <w:rFonts w:ascii="Calibri" w:hAnsi="Calibri" w:cs="Calibri" w:hint="eastAsia"/>
          <w:sz w:val="22"/>
          <w:szCs w:val="24"/>
        </w:rPr>
        <w:t>asaki Sumie</w:t>
      </w:r>
    </w:p>
    <w:p w14:paraId="6D154B91" w14:textId="77777777" w:rsidR="00A70D3C" w:rsidRPr="00097BD3" w:rsidRDefault="00A70D3C" w:rsidP="0040254C">
      <w:pPr>
        <w:widowControl/>
        <w:spacing w:line="360" w:lineRule="auto"/>
        <w:ind w:left="284" w:hanging="284"/>
        <w:jc w:val="left"/>
        <w:rPr>
          <w:rFonts w:ascii="Calibri" w:hAnsi="Calibri" w:cs="Calibri"/>
          <w:sz w:val="22"/>
          <w:szCs w:val="24"/>
        </w:rPr>
      </w:pPr>
    </w:p>
    <w:p w14:paraId="39C12F89" w14:textId="77777777" w:rsidR="00097BD3" w:rsidRPr="008A6ABC" w:rsidRDefault="00097BD3" w:rsidP="0040254C">
      <w:pPr>
        <w:pStyle w:val="a9"/>
        <w:widowControl/>
        <w:numPr>
          <w:ilvl w:val="0"/>
          <w:numId w:val="2"/>
        </w:numPr>
        <w:spacing w:line="360" w:lineRule="auto"/>
        <w:ind w:left="284" w:hanging="284"/>
        <w:jc w:val="left"/>
        <w:rPr>
          <w:rFonts w:ascii="Calibri" w:hAnsi="Calibri" w:cs="Calibri"/>
          <w:sz w:val="22"/>
          <w:szCs w:val="24"/>
        </w:rPr>
      </w:pPr>
      <w:r w:rsidRPr="008A6ABC">
        <w:rPr>
          <w:rFonts w:ascii="Calibri" w:hAnsi="Calibri" w:cs="Calibri"/>
          <w:sz w:val="22"/>
          <w:szCs w:val="24"/>
        </w:rPr>
        <w:t>Title/position of the first contributor/author</w:t>
      </w:r>
    </w:p>
    <w:p w14:paraId="4A9A6D3D" w14:textId="693C605C" w:rsidR="00A70D3C" w:rsidRDefault="00A70D3C" w:rsidP="0040254C">
      <w:pPr>
        <w:widowControl/>
        <w:spacing w:line="360" w:lineRule="auto"/>
        <w:ind w:left="284" w:hanging="284"/>
        <w:jc w:val="left"/>
        <w:rPr>
          <w:rFonts w:ascii="Calibri" w:hAnsi="Calibri" w:cs="Calibri"/>
          <w:sz w:val="22"/>
          <w:szCs w:val="24"/>
        </w:rPr>
      </w:pPr>
      <w:r>
        <w:rPr>
          <w:rFonts w:ascii="Calibri" w:hAnsi="Calibri" w:cs="Calibri"/>
          <w:sz w:val="22"/>
          <w:szCs w:val="24"/>
        </w:rPr>
        <w:tab/>
      </w:r>
      <w:r w:rsidR="0073343C">
        <w:rPr>
          <w:rFonts w:ascii="Calibri" w:hAnsi="Calibri" w:cs="Calibri" w:hint="eastAsia"/>
          <w:sz w:val="22"/>
          <w:szCs w:val="24"/>
        </w:rPr>
        <w:t xml:space="preserve">Bunkyo </w:t>
      </w:r>
      <w:r>
        <w:rPr>
          <w:rFonts w:ascii="Calibri" w:hAnsi="Calibri" w:cs="Calibri" w:hint="eastAsia"/>
          <w:sz w:val="22"/>
          <w:szCs w:val="24"/>
        </w:rPr>
        <w:t xml:space="preserve">University </w:t>
      </w:r>
      <w:r w:rsidR="00BD4DA7">
        <w:rPr>
          <w:rFonts w:ascii="Calibri" w:hAnsi="Calibri" w:cs="Calibri" w:hint="eastAsia"/>
          <w:sz w:val="22"/>
          <w:szCs w:val="24"/>
        </w:rPr>
        <w:t xml:space="preserve">　</w:t>
      </w:r>
      <w:r w:rsidR="00BD4DA7" w:rsidRPr="00BD4DA7">
        <w:rPr>
          <w:rFonts w:ascii="Calibri" w:hAnsi="Calibri" w:cs="Calibri"/>
          <w:sz w:val="22"/>
          <w:szCs w:val="24"/>
        </w:rPr>
        <w:t xml:space="preserve">Associate </w:t>
      </w:r>
      <w:r w:rsidR="00D77E8E">
        <w:rPr>
          <w:rFonts w:ascii="Calibri" w:hAnsi="Calibri" w:cs="Calibri"/>
          <w:sz w:val="22"/>
          <w:szCs w:val="24"/>
        </w:rPr>
        <w:t>Professor</w:t>
      </w:r>
    </w:p>
    <w:p w14:paraId="70C162EC" w14:textId="77777777" w:rsidR="008A6ABC" w:rsidRDefault="008A6ABC" w:rsidP="0040254C">
      <w:pPr>
        <w:widowControl/>
        <w:spacing w:line="360" w:lineRule="auto"/>
        <w:ind w:left="284" w:hanging="284"/>
        <w:jc w:val="left"/>
        <w:rPr>
          <w:rFonts w:ascii="Calibri" w:hAnsi="Calibri" w:cs="Calibri"/>
          <w:sz w:val="22"/>
          <w:szCs w:val="24"/>
        </w:rPr>
      </w:pPr>
    </w:p>
    <w:p w14:paraId="4349719D" w14:textId="6500FC93" w:rsidR="00097BD3" w:rsidRPr="008A6ABC" w:rsidRDefault="00097BD3" w:rsidP="0040254C">
      <w:pPr>
        <w:pStyle w:val="a9"/>
        <w:widowControl/>
        <w:numPr>
          <w:ilvl w:val="0"/>
          <w:numId w:val="2"/>
        </w:numPr>
        <w:spacing w:line="360" w:lineRule="auto"/>
        <w:ind w:left="284" w:hanging="284"/>
        <w:jc w:val="left"/>
        <w:rPr>
          <w:rFonts w:ascii="Calibri" w:hAnsi="Calibri" w:cs="Calibri"/>
          <w:sz w:val="22"/>
          <w:szCs w:val="24"/>
        </w:rPr>
      </w:pPr>
      <w:r w:rsidRPr="008A6ABC">
        <w:rPr>
          <w:rFonts w:ascii="Calibri" w:hAnsi="Calibri" w:cs="Calibri"/>
          <w:sz w:val="22"/>
          <w:szCs w:val="24"/>
        </w:rPr>
        <w:t>E-mail of the first contributor/author</w:t>
      </w:r>
    </w:p>
    <w:p w14:paraId="20E9507B" w14:textId="3DC9749D" w:rsidR="00A70D3C" w:rsidRDefault="008A6ABC" w:rsidP="0040254C">
      <w:pPr>
        <w:widowControl/>
        <w:spacing w:line="360" w:lineRule="auto"/>
        <w:ind w:left="284" w:hanging="284"/>
        <w:jc w:val="left"/>
        <w:rPr>
          <w:rFonts w:ascii="Calibri" w:hAnsi="Calibri" w:cs="Calibri"/>
          <w:sz w:val="22"/>
          <w:szCs w:val="24"/>
        </w:rPr>
      </w:pPr>
      <w:r>
        <w:rPr>
          <w:rFonts w:ascii="Calibri" w:hAnsi="Calibri" w:cs="Calibri"/>
          <w:sz w:val="22"/>
          <w:szCs w:val="24"/>
        </w:rPr>
        <w:tab/>
      </w:r>
      <w:hyperlink r:id="rId7" w:history="1">
        <w:r w:rsidR="0073343C" w:rsidRPr="00737619">
          <w:rPr>
            <w:rStyle w:val="af6"/>
            <w:rFonts w:ascii="Calibri" w:hAnsi="Calibri" w:cs="Calibri" w:hint="eastAsia"/>
            <w:sz w:val="22"/>
            <w:szCs w:val="24"/>
          </w:rPr>
          <w:t>masaki@bunkyo.ac.jp</w:t>
        </w:r>
      </w:hyperlink>
    </w:p>
    <w:p w14:paraId="4E6C3DE8" w14:textId="77777777" w:rsidR="008A6ABC" w:rsidRPr="008A6ABC" w:rsidRDefault="008A6ABC" w:rsidP="0040254C">
      <w:pPr>
        <w:widowControl/>
        <w:spacing w:line="360" w:lineRule="auto"/>
        <w:ind w:left="284" w:hanging="284"/>
        <w:jc w:val="left"/>
        <w:rPr>
          <w:rFonts w:ascii="Calibri" w:hAnsi="Calibri" w:cs="Calibri"/>
          <w:sz w:val="22"/>
          <w:szCs w:val="24"/>
        </w:rPr>
      </w:pPr>
    </w:p>
    <w:p w14:paraId="73985B84" w14:textId="77777777" w:rsidR="00097BD3" w:rsidRPr="008A6ABC" w:rsidRDefault="00097BD3" w:rsidP="0040254C">
      <w:pPr>
        <w:pStyle w:val="a9"/>
        <w:widowControl/>
        <w:numPr>
          <w:ilvl w:val="0"/>
          <w:numId w:val="2"/>
        </w:numPr>
        <w:spacing w:line="360" w:lineRule="auto"/>
        <w:ind w:left="284" w:hanging="284"/>
        <w:jc w:val="left"/>
        <w:rPr>
          <w:rFonts w:ascii="Calibri" w:hAnsi="Calibri" w:cs="Calibri"/>
          <w:sz w:val="22"/>
          <w:szCs w:val="24"/>
        </w:rPr>
      </w:pPr>
      <w:r w:rsidRPr="008A6ABC">
        <w:rPr>
          <w:rFonts w:ascii="Calibri" w:hAnsi="Calibri" w:cs="Calibri"/>
          <w:sz w:val="22"/>
          <w:szCs w:val="24"/>
        </w:rPr>
        <w:t>Institution to which the first contributor/author belongs</w:t>
      </w:r>
    </w:p>
    <w:p w14:paraId="5EF57ACD" w14:textId="5CD5DDAD" w:rsidR="00A70D3C" w:rsidRDefault="00482E51" w:rsidP="0040254C">
      <w:pPr>
        <w:widowControl/>
        <w:spacing w:line="360" w:lineRule="auto"/>
        <w:ind w:left="284" w:hanging="284"/>
        <w:jc w:val="left"/>
        <w:rPr>
          <w:rFonts w:ascii="Calibri" w:hAnsi="Calibri" w:cs="Calibri"/>
          <w:sz w:val="22"/>
          <w:szCs w:val="24"/>
        </w:rPr>
      </w:pPr>
      <w:r>
        <w:rPr>
          <w:rFonts w:ascii="Calibri" w:hAnsi="Calibri" w:cs="Calibri"/>
          <w:sz w:val="22"/>
          <w:szCs w:val="24"/>
        </w:rPr>
        <w:tab/>
      </w:r>
      <w:r w:rsidR="0073343C">
        <w:rPr>
          <w:rFonts w:ascii="Calibri" w:hAnsi="Calibri" w:cs="Calibri" w:hint="eastAsia"/>
          <w:sz w:val="22"/>
          <w:szCs w:val="24"/>
        </w:rPr>
        <w:t xml:space="preserve">Bunkyo </w:t>
      </w:r>
      <w:r>
        <w:rPr>
          <w:rFonts w:ascii="Calibri" w:hAnsi="Calibri" w:cs="Calibri" w:hint="eastAsia"/>
          <w:sz w:val="22"/>
          <w:szCs w:val="24"/>
        </w:rPr>
        <w:t>University</w:t>
      </w:r>
      <w:r w:rsidR="00BD4DA7">
        <w:rPr>
          <w:rFonts w:ascii="Calibri" w:hAnsi="Calibri" w:cs="Calibri" w:hint="eastAsia"/>
          <w:sz w:val="22"/>
          <w:szCs w:val="24"/>
        </w:rPr>
        <w:t xml:space="preserve"> (Japan)</w:t>
      </w:r>
    </w:p>
    <w:p w14:paraId="21C05EC7" w14:textId="77777777" w:rsidR="00482E51" w:rsidRPr="00097BD3" w:rsidRDefault="00482E51" w:rsidP="0040254C">
      <w:pPr>
        <w:widowControl/>
        <w:spacing w:line="360" w:lineRule="auto"/>
        <w:ind w:left="284" w:hanging="284"/>
        <w:jc w:val="left"/>
        <w:rPr>
          <w:rFonts w:ascii="Calibri" w:hAnsi="Calibri" w:cs="Calibri"/>
          <w:sz w:val="22"/>
          <w:szCs w:val="24"/>
        </w:rPr>
      </w:pPr>
    </w:p>
    <w:p w14:paraId="441370EB" w14:textId="77777777" w:rsidR="00BD4DA7" w:rsidRPr="008A6ABC" w:rsidRDefault="00097BD3" w:rsidP="0040254C">
      <w:pPr>
        <w:pStyle w:val="a9"/>
        <w:widowControl/>
        <w:numPr>
          <w:ilvl w:val="0"/>
          <w:numId w:val="2"/>
        </w:numPr>
        <w:spacing w:line="360" w:lineRule="auto"/>
        <w:ind w:left="284" w:hanging="284"/>
        <w:jc w:val="left"/>
        <w:rPr>
          <w:rFonts w:ascii="Calibri" w:hAnsi="Calibri" w:cs="Calibri"/>
          <w:sz w:val="22"/>
          <w:szCs w:val="24"/>
        </w:rPr>
      </w:pPr>
      <w:r w:rsidRPr="008A6ABC">
        <w:rPr>
          <w:rFonts w:ascii="Calibri" w:hAnsi="Calibri" w:cs="Calibri"/>
          <w:sz w:val="22"/>
          <w:szCs w:val="24"/>
        </w:rPr>
        <w:t>Family name, first name, institution and title/position of presenters at the conference</w:t>
      </w:r>
    </w:p>
    <w:p w14:paraId="39B92643" w14:textId="23E5A7B2" w:rsidR="003E49D1" w:rsidRPr="0073343C" w:rsidRDefault="00164681" w:rsidP="00CC5CB3">
      <w:pPr>
        <w:widowControl/>
        <w:spacing w:line="360" w:lineRule="auto"/>
        <w:ind w:left="284"/>
        <w:jc w:val="left"/>
        <w:rPr>
          <w:rFonts w:ascii="Calibri" w:hAnsi="Calibri" w:cs="Calibri"/>
          <w:sz w:val="22"/>
          <w:szCs w:val="24"/>
        </w:rPr>
        <w:sectPr w:rsidR="003E49D1" w:rsidRPr="0073343C" w:rsidSect="00162F99">
          <w:footerReference w:type="default" r:id="rId8"/>
          <w:pgSz w:w="11906" w:h="16838"/>
          <w:pgMar w:top="1985" w:right="1701" w:bottom="1701" w:left="1701" w:header="851" w:footer="992" w:gutter="0"/>
          <w:cols w:space="425"/>
          <w:docGrid w:linePitch="360"/>
        </w:sectPr>
      </w:pPr>
      <w:r>
        <w:rPr>
          <w:rFonts w:ascii="Calibri" w:hAnsi="Calibri" w:cs="Calibri" w:hint="eastAsia"/>
          <w:sz w:val="22"/>
          <w:szCs w:val="24"/>
        </w:rPr>
        <w:t xml:space="preserve">Michitani Rie </w:t>
      </w:r>
      <w:r w:rsidR="00B3775E">
        <w:rPr>
          <w:rFonts w:ascii="Calibri" w:hAnsi="Calibri" w:cs="Calibri" w:hint="eastAsia"/>
          <w:sz w:val="22"/>
          <w:szCs w:val="24"/>
        </w:rPr>
        <w:t xml:space="preserve"> </w:t>
      </w:r>
      <w:r>
        <w:rPr>
          <w:rFonts w:ascii="Calibri" w:hAnsi="Calibri" w:cs="Calibri" w:hint="eastAsia"/>
          <w:sz w:val="22"/>
          <w:szCs w:val="24"/>
        </w:rPr>
        <w:t xml:space="preserve"> Juntendo University  </w:t>
      </w:r>
      <w:r w:rsidR="00B3775E">
        <w:rPr>
          <w:rFonts w:ascii="Calibri" w:hAnsi="Calibri" w:cs="Calibri" w:hint="eastAsia"/>
          <w:sz w:val="22"/>
          <w:szCs w:val="24"/>
        </w:rPr>
        <w:t xml:space="preserve"> </w:t>
      </w:r>
      <w:r>
        <w:rPr>
          <w:rFonts w:ascii="Calibri" w:hAnsi="Calibri" w:cs="Calibri" w:hint="eastAsia"/>
          <w:sz w:val="22"/>
          <w:szCs w:val="24"/>
        </w:rPr>
        <w:t xml:space="preserve"> Associate Professor </w:t>
      </w:r>
      <w:r w:rsidR="00B3775E">
        <w:rPr>
          <w:rFonts w:ascii="Calibri" w:hAnsi="Calibri" w:cs="Calibri" w:hint="eastAsia"/>
          <w:sz w:val="22"/>
          <w:szCs w:val="24"/>
        </w:rPr>
        <w:t xml:space="preserve"> </w:t>
      </w:r>
      <w:r>
        <w:rPr>
          <w:rFonts w:ascii="Calibri" w:hAnsi="Calibri" w:cs="Calibri" w:hint="eastAsia"/>
          <w:sz w:val="22"/>
          <w:szCs w:val="24"/>
        </w:rPr>
        <w:t xml:space="preserve"> </w:t>
      </w:r>
    </w:p>
    <w:p w14:paraId="57F68A79" w14:textId="23A63F65" w:rsidR="0040254C" w:rsidRPr="0040254C" w:rsidRDefault="0040254C" w:rsidP="00B3775E">
      <w:pPr>
        <w:widowControl/>
        <w:spacing w:line="360" w:lineRule="auto"/>
        <w:jc w:val="center"/>
        <w:rPr>
          <w:rFonts w:ascii="Calibri" w:hAnsi="Calibri" w:cs="Calibri"/>
          <w:b/>
          <w:bCs/>
          <w:color w:val="000000" w:themeColor="text1"/>
          <w:sz w:val="22"/>
          <w:szCs w:val="24"/>
        </w:rPr>
      </w:pPr>
      <w:r w:rsidRPr="0040254C">
        <w:rPr>
          <w:rFonts w:ascii="Calibri" w:hAnsi="Calibri" w:cs="Calibri"/>
          <w:b/>
          <w:bCs/>
          <w:color w:val="000000" w:themeColor="text1"/>
          <w:sz w:val="22"/>
          <w:szCs w:val="24"/>
        </w:rPr>
        <w:lastRenderedPageBreak/>
        <w:t xml:space="preserve">Meaningful Work </w:t>
      </w:r>
      <w:r w:rsidR="00F55282" w:rsidRPr="0040254C">
        <w:rPr>
          <w:rFonts w:ascii="Calibri" w:hAnsi="Calibri" w:cs="Calibri"/>
          <w:b/>
          <w:bCs/>
          <w:color w:val="000000" w:themeColor="text1"/>
          <w:sz w:val="22"/>
          <w:szCs w:val="24"/>
        </w:rPr>
        <w:t>in Japan</w:t>
      </w:r>
      <w:r w:rsidR="00F55282">
        <w:rPr>
          <w:rFonts w:ascii="Calibri" w:hAnsi="Calibri" w:cs="Calibri" w:hint="eastAsia"/>
          <w:b/>
          <w:bCs/>
          <w:color w:val="000000" w:themeColor="text1"/>
          <w:sz w:val="22"/>
          <w:szCs w:val="24"/>
        </w:rPr>
        <w:t>:</w:t>
      </w:r>
      <w:r w:rsidR="00F55282" w:rsidRPr="0040254C">
        <w:rPr>
          <w:rFonts w:ascii="Calibri" w:hAnsi="Calibri" w:cs="Calibri"/>
          <w:b/>
          <w:bCs/>
          <w:color w:val="000000" w:themeColor="text1"/>
          <w:sz w:val="22"/>
          <w:szCs w:val="24"/>
        </w:rPr>
        <w:t xml:space="preserve"> </w:t>
      </w:r>
      <w:r w:rsidR="007F2061">
        <w:rPr>
          <w:rFonts w:ascii="Calibri" w:hAnsi="Calibri" w:cs="Calibri" w:hint="eastAsia"/>
          <w:b/>
          <w:bCs/>
          <w:color w:val="000000" w:themeColor="text1"/>
          <w:sz w:val="22"/>
          <w:szCs w:val="24"/>
        </w:rPr>
        <w:t xml:space="preserve">A Research </w:t>
      </w:r>
      <w:r w:rsidR="00D77E8E">
        <w:rPr>
          <w:rFonts w:ascii="Calibri" w:hAnsi="Calibri" w:cs="Calibri"/>
          <w:b/>
          <w:bCs/>
          <w:color w:val="000000" w:themeColor="text1"/>
          <w:sz w:val="22"/>
          <w:szCs w:val="24"/>
        </w:rPr>
        <w:t>Based</w:t>
      </w:r>
      <w:r w:rsidR="007F2061">
        <w:rPr>
          <w:rFonts w:ascii="Calibri" w:hAnsi="Calibri" w:cs="Calibri" w:hint="eastAsia"/>
          <w:b/>
          <w:bCs/>
          <w:color w:val="000000" w:themeColor="text1"/>
          <w:sz w:val="22"/>
          <w:szCs w:val="24"/>
        </w:rPr>
        <w:t xml:space="preserve"> on</w:t>
      </w:r>
      <w:r w:rsidRPr="0040254C">
        <w:rPr>
          <w:rFonts w:ascii="Calibri" w:hAnsi="Calibri" w:cs="Calibri"/>
          <w:b/>
          <w:bCs/>
          <w:color w:val="000000" w:themeColor="text1"/>
          <w:sz w:val="22"/>
          <w:szCs w:val="24"/>
        </w:rPr>
        <w:t xml:space="preserve"> the </w:t>
      </w:r>
      <w:r>
        <w:rPr>
          <w:rFonts w:ascii="Calibri" w:hAnsi="Calibri" w:cs="Calibri" w:hint="eastAsia"/>
          <w:b/>
          <w:bCs/>
          <w:color w:val="000000" w:themeColor="text1"/>
          <w:sz w:val="22"/>
          <w:szCs w:val="24"/>
        </w:rPr>
        <w:t>Psychology of Working Theory</w:t>
      </w:r>
    </w:p>
    <w:p w14:paraId="1E39AE03" w14:textId="57EB9E2C" w:rsidR="00BC41C9" w:rsidRDefault="0073343C" w:rsidP="0040254C">
      <w:pPr>
        <w:widowControl/>
        <w:spacing w:line="360" w:lineRule="auto"/>
        <w:jc w:val="center"/>
        <w:rPr>
          <w:rFonts w:ascii="Calibri" w:hAnsi="Calibri" w:cs="Calibri"/>
          <w:b/>
          <w:bCs/>
          <w:sz w:val="22"/>
          <w:szCs w:val="24"/>
        </w:rPr>
      </w:pPr>
      <w:r w:rsidRPr="008E6973">
        <w:rPr>
          <w:rFonts w:ascii="Calibri" w:hAnsi="Calibri" w:cs="Calibri"/>
          <w:b/>
          <w:bCs/>
          <w:sz w:val="22"/>
          <w:szCs w:val="24"/>
        </w:rPr>
        <w:t>Masaki Sumie (Bunkyo University)</w:t>
      </w:r>
      <w:r w:rsidR="008E6973" w:rsidRPr="008E6973">
        <w:rPr>
          <w:rFonts w:ascii="Calibri" w:hAnsi="Calibri" w:cs="Calibri"/>
          <w:b/>
          <w:bCs/>
          <w:sz w:val="22"/>
          <w:szCs w:val="24"/>
        </w:rPr>
        <w:t xml:space="preserve"> </w:t>
      </w:r>
      <w:r w:rsidR="00945C7C">
        <w:rPr>
          <w:rFonts w:ascii="Calibri" w:hAnsi="Calibri" w:cs="Calibri" w:hint="eastAsia"/>
          <w:b/>
          <w:bCs/>
          <w:sz w:val="22"/>
          <w:szCs w:val="24"/>
        </w:rPr>
        <w:t>&amp; Michitani Rie</w:t>
      </w:r>
      <w:r w:rsidR="00683EB4">
        <w:rPr>
          <w:rFonts w:ascii="Calibri" w:hAnsi="Calibri" w:cs="Calibri" w:hint="eastAsia"/>
          <w:b/>
          <w:bCs/>
          <w:sz w:val="22"/>
          <w:szCs w:val="24"/>
        </w:rPr>
        <w:t xml:space="preserve"> (Juntendo University)</w:t>
      </w:r>
    </w:p>
    <w:p w14:paraId="0D71C6BF" w14:textId="77777777" w:rsidR="008E6973" w:rsidRPr="00B316AD" w:rsidRDefault="008E6973" w:rsidP="0040254C">
      <w:pPr>
        <w:widowControl/>
        <w:spacing w:line="360" w:lineRule="auto"/>
        <w:jc w:val="center"/>
        <w:rPr>
          <w:rFonts w:ascii="Calibri" w:hAnsi="Calibri" w:cs="Calibri"/>
          <w:b/>
          <w:bCs/>
          <w:sz w:val="22"/>
          <w:szCs w:val="24"/>
        </w:rPr>
      </w:pPr>
    </w:p>
    <w:p w14:paraId="5535A2A9" w14:textId="75F9BFDD" w:rsidR="00890F44" w:rsidRDefault="009C5516" w:rsidP="002F48A0">
      <w:pPr>
        <w:widowControl/>
        <w:spacing w:line="360" w:lineRule="auto"/>
        <w:jc w:val="left"/>
        <w:rPr>
          <w:rFonts w:ascii="Calibri" w:hAnsi="Calibri" w:cs="Calibri"/>
          <w:sz w:val="22"/>
          <w:szCs w:val="24"/>
        </w:rPr>
      </w:pPr>
      <w:r w:rsidRPr="009953EE">
        <w:rPr>
          <w:rFonts w:ascii="Calibri" w:hAnsi="Calibri" w:cs="Calibri"/>
          <w:b/>
          <w:bCs/>
          <w:sz w:val="22"/>
          <w:szCs w:val="24"/>
        </w:rPr>
        <w:t>Abstract</w:t>
      </w:r>
    </w:p>
    <w:p w14:paraId="66ECDF42" w14:textId="427A2110" w:rsidR="00D77E8E" w:rsidRPr="00D77E8E" w:rsidRDefault="00D77E8E" w:rsidP="00B3775E">
      <w:pPr>
        <w:widowControl/>
        <w:spacing w:line="360" w:lineRule="auto"/>
        <w:jc w:val="left"/>
        <w:rPr>
          <w:rFonts w:ascii="Calibri" w:hAnsi="Calibri" w:cs="Calibri"/>
          <w:sz w:val="22"/>
          <w:szCs w:val="24"/>
        </w:rPr>
      </w:pPr>
      <w:r w:rsidRPr="00D77E8E">
        <w:rPr>
          <w:rFonts w:ascii="Calibri" w:hAnsi="Calibri" w:cs="Calibri"/>
          <w:sz w:val="22"/>
          <w:szCs w:val="24"/>
        </w:rPr>
        <w:t>Background</w:t>
      </w:r>
      <w:r>
        <w:rPr>
          <w:rFonts w:ascii="Calibri" w:hAnsi="Calibri" w:cs="Calibri" w:hint="eastAsia"/>
          <w:sz w:val="22"/>
          <w:szCs w:val="24"/>
        </w:rPr>
        <w:t xml:space="preserve">: </w:t>
      </w:r>
      <w:r w:rsidRPr="00D77E8E">
        <w:rPr>
          <w:rFonts w:ascii="Calibri" w:hAnsi="Calibri" w:cs="Calibri"/>
          <w:sz w:val="22"/>
          <w:szCs w:val="24"/>
        </w:rPr>
        <w:t>The Japanese labor market is characterized by a persistent dual structure between regular and non-regular workers, leading to disparities in job security, training opportunities, and worker well-being</w:t>
      </w:r>
      <w:r w:rsidR="00B87A91">
        <w:rPr>
          <w:rFonts w:ascii="Calibri" w:hAnsi="Calibri" w:cs="Calibri" w:hint="eastAsia"/>
          <w:sz w:val="22"/>
          <w:szCs w:val="24"/>
        </w:rPr>
        <w:t xml:space="preserve"> (Watanabe, 2018)</w:t>
      </w:r>
      <w:r w:rsidRPr="00D77E8E">
        <w:rPr>
          <w:rFonts w:ascii="Calibri" w:hAnsi="Calibri" w:cs="Calibri"/>
          <w:sz w:val="22"/>
          <w:szCs w:val="24"/>
        </w:rPr>
        <w:t xml:space="preserve">. In addition, labor shortages and </w:t>
      </w:r>
      <w:r w:rsidR="004A5423">
        <w:rPr>
          <w:rFonts w:ascii="Calibri" w:hAnsi="Calibri" w:cs="Calibri" w:hint="eastAsia"/>
          <w:sz w:val="22"/>
          <w:szCs w:val="24"/>
        </w:rPr>
        <w:t xml:space="preserve">workforce </w:t>
      </w:r>
      <w:r w:rsidRPr="00D77E8E">
        <w:rPr>
          <w:rFonts w:ascii="Calibri" w:hAnsi="Calibri" w:cs="Calibri"/>
          <w:sz w:val="22"/>
          <w:szCs w:val="24"/>
        </w:rPr>
        <w:t>aging have intensified concerns about workplace quality and psychological health</w:t>
      </w:r>
      <w:r w:rsidR="00B87A91">
        <w:rPr>
          <w:rFonts w:ascii="Calibri" w:hAnsi="Calibri" w:cs="Calibri" w:hint="eastAsia"/>
          <w:sz w:val="22"/>
          <w:szCs w:val="24"/>
        </w:rPr>
        <w:t xml:space="preserve"> (MHLW, 2023)</w:t>
      </w:r>
      <w:r w:rsidRPr="00D77E8E">
        <w:rPr>
          <w:rFonts w:ascii="Calibri" w:hAnsi="Calibri" w:cs="Calibri"/>
          <w:sz w:val="22"/>
          <w:szCs w:val="24"/>
        </w:rPr>
        <w:t>.</w:t>
      </w:r>
    </w:p>
    <w:p w14:paraId="279BE0DA" w14:textId="501234C7" w:rsidR="00D77E8E" w:rsidRPr="00D77E8E" w:rsidRDefault="00D77E8E" w:rsidP="00D77E8E">
      <w:pPr>
        <w:widowControl/>
        <w:spacing w:line="360" w:lineRule="auto"/>
        <w:rPr>
          <w:rFonts w:ascii="Calibri" w:hAnsi="Calibri" w:cs="Calibri"/>
          <w:sz w:val="22"/>
          <w:szCs w:val="24"/>
        </w:rPr>
      </w:pPr>
      <w:r w:rsidRPr="00D77E8E">
        <w:rPr>
          <w:rFonts w:ascii="Calibri" w:hAnsi="Calibri" w:cs="Calibri"/>
          <w:sz w:val="22"/>
          <w:szCs w:val="24"/>
        </w:rPr>
        <w:t>Objective</w:t>
      </w:r>
      <w:r>
        <w:rPr>
          <w:rFonts w:ascii="Calibri" w:hAnsi="Calibri" w:cs="Calibri" w:hint="eastAsia"/>
          <w:sz w:val="22"/>
          <w:szCs w:val="24"/>
        </w:rPr>
        <w:t xml:space="preserve">: </w:t>
      </w:r>
      <w:r w:rsidRPr="00D77E8E">
        <w:rPr>
          <w:rFonts w:ascii="Calibri" w:hAnsi="Calibri" w:cs="Calibri"/>
          <w:sz w:val="22"/>
          <w:szCs w:val="24"/>
        </w:rPr>
        <w:t xml:space="preserve">This study </w:t>
      </w:r>
      <w:r>
        <w:rPr>
          <w:rFonts w:ascii="Calibri" w:hAnsi="Calibri" w:cs="Calibri"/>
          <w:sz w:val="22"/>
          <w:szCs w:val="24"/>
        </w:rPr>
        <w:t>examines</w:t>
      </w:r>
      <w:r w:rsidRPr="00D77E8E">
        <w:rPr>
          <w:rFonts w:ascii="Calibri" w:hAnsi="Calibri" w:cs="Calibri"/>
          <w:sz w:val="22"/>
          <w:szCs w:val="24"/>
        </w:rPr>
        <w:t xml:space="preserve"> the social constraints and structural predictors of meaningful work among Japanese workers from the perspectives of well-being and social justice.</w:t>
      </w:r>
    </w:p>
    <w:p w14:paraId="071E4F45" w14:textId="3F54E3FF" w:rsidR="00D77E8E" w:rsidRPr="00D77E8E" w:rsidRDefault="00D77E8E" w:rsidP="00B3775E">
      <w:pPr>
        <w:widowControl/>
        <w:spacing w:line="360" w:lineRule="auto"/>
        <w:jc w:val="left"/>
        <w:rPr>
          <w:rFonts w:ascii="Calibri" w:hAnsi="Calibri" w:cs="Calibri"/>
          <w:sz w:val="22"/>
          <w:szCs w:val="24"/>
        </w:rPr>
      </w:pPr>
      <w:r w:rsidRPr="00D77E8E">
        <w:rPr>
          <w:rFonts w:ascii="Calibri" w:hAnsi="Calibri" w:cs="Calibri"/>
          <w:sz w:val="22"/>
          <w:szCs w:val="24"/>
        </w:rPr>
        <w:t>Methods</w:t>
      </w:r>
      <w:r>
        <w:rPr>
          <w:rFonts w:ascii="Calibri" w:hAnsi="Calibri" w:cs="Calibri" w:hint="eastAsia"/>
          <w:sz w:val="22"/>
          <w:szCs w:val="24"/>
        </w:rPr>
        <w:t xml:space="preserve">: </w:t>
      </w:r>
      <w:r w:rsidRPr="00D77E8E">
        <w:rPr>
          <w:rFonts w:ascii="Calibri" w:hAnsi="Calibri" w:cs="Calibri"/>
          <w:sz w:val="22"/>
          <w:szCs w:val="24"/>
        </w:rPr>
        <w:t>Drawing on the Psychology of Working Theory (PWT</w:t>
      </w:r>
      <w:r w:rsidR="00B87A91">
        <w:rPr>
          <w:rFonts w:ascii="Calibri" w:hAnsi="Calibri" w:cs="Calibri" w:hint="eastAsia"/>
          <w:sz w:val="22"/>
          <w:szCs w:val="24"/>
        </w:rPr>
        <w:t>; Blustein, 2006</w:t>
      </w:r>
      <w:r w:rsidRPr="00D77E8E">
        <w:rPr>
          <w:rFonts w:ascii="Calibri" w:hAnsi="Calibri" w:cs="Calibri"/>
          <w:sz w:val="22"/>
          <w:szCs w:val="24"/>
        </w:rPr>
        <w:t>), a web-based survey was conducted with Japanese workers. The survey included demographic</w:t>
      </w:r>
      <w:r w:rsidR="00B3775E">
        <w:rPr>
          <w:rFonts w:ascii="Calibri" w:hAnsi="Calibri" w:cs="Calibri" w:hint="eastAsia"/>
          <w:sz w:val="22"/>
          <w:szCs w:val="24"/>
        </w:rPr>
        <w:t>s</w:t>
      </w:r>
      <w:r w:rsidRPr="00D77E8E">
        <w:rPr>
          <w:rFonts w:ascii="Calibri" w:hAnsi="Calibri" w:cs="Calibri"/>
          <w:sz w:val="22"/>
          <w:szCs w:val="24"/>
        </w:rPr>
        <w:t>, socioeconomic</w:t>
      </w:r>
      <w:r w:rsidR="00B3775E">
        <w:rPr>
          <w:rFonts w:ascii="Calibri" w:hAnsi="Calibri" w:cs="Calibri" w:hint="eastAsia"/>
          <w:sz w:val="22"/>
          <w:szCs w:val="24"/>
        </w:rPr>
        <w:t>s</w:t>
      </w:r>
      <w:r w:rsidRPr="00D77E8E">
        <w:rPr>
          <w:rFonts w:ascii="Calibri" w:hAnsi="Calibri" w:cs="Calibri"/>
          <w:sz w:val="22"/>
          <w:szCs w:val="24"/>
        </w:rPr>
        <w:t>, and work-related variables, as well as indicators of well-being such as work fatigue and anxiety/depression. Correlation analyses were used to examine associations among variables, followed by hierarchical regression analysis (HRA) to identify predictors of meaningful work.</w:t>
      </w:r>
    </w:p>
    <w:p w14:paraId="1AC6179C" w14:textId="50453CE8" w:rsidR="00D77E8E" w:rsidRPr="00D77E8E" w:rsidRDefault="00D77E8E" w:rsidP="00B3775E">
      <w:pPr>
        <w:widowControl/>
        <w:spacing w:line="360" w:lineRule="auto"/>
        <w:jc w:val="left"/>
        <w:rPr>
          <w:rFonts w:ascii="Calibri" w:hAnsi="Calibri" w:cs="Calibri"/>
          <w:sz w:val="22"/>
          <w:szCs w:val="24"/>
        </w:rPr>
      </w:pPr>
      <w:r w:rsidRPr="00D77E8E">
        <w:rPr>
          <w:rFonts w:ascii="Calibri" w:hAnsi="Calibri" w:cs="Calibri"/>
          <w:sz w:val="22"/>
          <w:szCs w:val="24"/>
        </w:rPr>
        <w:t>Results</w:t>
      </w:r>
      <w:r>
        <w:rPr>
          <w:rFonts w:ascii="Calibri" w:hAnsi="Calibri" w:cs="Calibri" w:hint="eastAsia"/>
          <w:sz w:val="22"/>
          <w:szCs w:val="24"/>
        </w:rPr>
        <w:t xml:space="preserve">: </w:t>
      </w:r>
      <w:r w:rsidRPr="00D77E8E">
        <w:rPr>
          <w:rFonts w:ascii="Calibri" w:hAnsi="Calibri" w:cs="Calibri"/>
          <w:sz w:val="22"/>
          <w:szCs w:val="24"/>
        </w:rPr>
        <w:t>Meaningful work was significantly associated with employment status, income, educational attainment, social class, work fatigue, and anxiety/depression. Work fatigue and anxiety/depression were negatively related to meaningful work. Hierarchical regression analysis revealed that socioeconomic status, work volition, and workplace ostracism were significant predictors.</w:t>
      </w:r>
    </w:p>
    <w:p w14:paraId="0D8DEAE9" w14:textId="41E17365" w:rsidR="00D77E8E" w:rsidRDefault="00D77E8E" w:rsidP="00B3775E">
      <w:pPr>
        <w:widowControl/>
        <w:spacing w:line="360" w:lineRule="auto"/>
        <w:jc w:val="left"/>
        <w:rPr>
          <w:rFonts w:ascii="Calibri" w:hAnsi="Calibri" w:cs="Calibri"/>
          <w:sz w:val="22"/>
          <w:szCs w:val="24"/>
        </w:rPr>
      </w:pPr>
      <w:r w:rsidRPr="00D77E8E">
        <w:rPr>
          <w:rFonts w:ascii="Calibri" w:hAnsi="Calibri" w:cs="Calibri"/>
          <w:sz w:val="22"/>
          <w:szCs w:val="24"/>
        </w:rPr>
        <w:t>Conclusions</w:t>
      </w:r>
      <w:r>
        <w:rPr>
          <w:rFonts w:ascii="Calibri" w:hAnsi="Calibri" w:cs="Calibri" w:hint="eastAsia"/>
          <w:sz w:val="22"/>
          <w:szCs w:val="24"/>
        </w:rPr>
        <w:t xml:space="preserve">: </w:t>
      </w:r>
      <w:r w:rsidRPr="00D77E8E">
        <w:rPr>
          <w:rFonts w:ascii="Calibri" w:hAnsi="Calibri" w:cs="Calibri"/>
          <w:sz w:val="22"/>
          <w:szCs w:val="24"/>
        </w:rPr>
        <w:t>Meaningful work is shaped by both well-being and structural labor conditions. Addressing socioeconomic inequality and improving workplace relationships are essential for fostering meaningful work in Japan.</w:t>
      </w:r>
    </w:p>
    <w:p w14:paraId="0B45EADA" w14:textId="77777777" w:rsidR="00D77E8E" w:rsidRPr="009953EE" w:rsidRDefault="00D77E8E" w:rsidP="00D77E8E">
      <w:pPr>
        <w:widowControl/>
        <w:spacing w:line="360" w:lineRule="auto"/>
        <w:rPr>
          <w:rFonts w:ascii="Calibri" w:hAnsi="Calibri" w:cs="Calibri"/>
          <w:b/>
          <w:bCs/>
          <w:sz w:val="22"/>
          <w:szCs w:val="24"/>
        </w:rPr>
      </w:pPr>
    </w:p>
    <w:p w14:paraId="4266A2FF" w14:textId="2698A0C8" w:rsidR="0073343C" w:rsidRDefault="009C5516" w:rsidP="002F48A0">
      <w:pPr>
        <w:widowControl/>
        <w:spacing w:line="360" w:lineRule="auto"/>
        <w:jc w:val="left"/>
        <w:rPr>
          <w:rFonts w:ascii="Calibri" w:hAnsi="Calibri" w:cs="Calibri"/>
          <w:b/>
          <w:bCs/>
          <w:sz w:val="22"/>
          <w:szCs w:val="24"/>
        </w:rPr>
      </w:pPr>
      <w:r w:rsidRPr="009953EE">
        <w:rPr>
          <w:rFonts w:ascii="Calibri" w:hAnsi="Calibri" w:cs="Calibri"/>
          <w:b/>
          <w:bCs/>
          <w:sz w:val="22"/>
          <w:szCs w:val="24"/>
        </w:rPr>
        <w:t>Keywords</w:t>
      </w:r>
    </w:p>
    <w:p w14:paraId="4AA5F54B" w14:textId="39D119D8" w:rsidR="0036070F" w:rsidRPr="009953EE" w:rsidRDefault="00B3775E" w:rsidP="00B3775E">
      <w:pPr>
        <w:widowControl/>
        <w:spacing w:line="360" w:lineRule="auto"/>
        <w:jc w:val="left"/>
        <w:rPr>
          <w:rFonts w:ascii="Calibri" w:hAnsi="Calibri" w:cs="Calibri"/>
          <w:sz w:val="22"/>
          <w:szCs w:val="24"/>
        </w:rPr>
      </w:pPr>
      <w:r>
        <w:rPr>
          <w:rFonts w:ascii="Calibri" w:hAnsi="Calibri" w:cs="Calibri" w:hint="eastAsia"/>
          <w:sz w:val="22"/>
          <w:szCs w:val="24"/>
        </w:rPr>
        <w:t>M</w:t>
      </w:r>
      <w:r w:rsidR="0040254C">
        <w:rPr>
          <w:rFonts w:ascii="Calibri" w:hAnsi="Calibri" w:cs="Calibri" w:hint="eastAsia"/>
          <w:sz w:val="22"/>
          <w:szCs w:val="24"/>
        </w:rPr>
        <w:t>eaningful work</w:t>
      </w:r>
      <w:r w:rsidR="00D16D71">
        <w:rPr>
          <w:rFonts w:ascii="Calibri" w:hAnsi="Calibri" w:cs="Calibri" w:hint="eastAsia"/>
          <w:sz w:val="22"/>
          <w:szCs w:val="24"/>
        </w:rPr>
        <w:t xml:space="preserve">, </w:t>
      </w:r>
      <w:r w:rsidR="004A5423">
        <w:rPr>
          <w:rFonts w:ascii="Calibri" w:hAnsi="Calibri" w:cs="Calibri" w:hint="eastAsia"/>
          <w:sz w:val="22"/>
          <w:szCs w:val="24"/>
        </w:rPr>
        <w:t>P</w:t>
      </w:r>
      <w:r w:rsidR="00D16D71">
        <w:rPr>
          <w:rFonts w:ascii="Calibri" w:hAnsi="Calibri" w:cs="Calibri" w:hint="eastAsia"/>
          <w:sz w:val="22"/>
          <w:szCs w:val="24"/>
        </w:rPr>
        <w:t xml:space="preserve">sychology of </w:t>
      </w:r>
      <w:r w:rsidR="004A5423">
        <w:rPr>
          <w:rFonts w:ascii="Calibri" w:hAnsi="Calibri" w:cs="Calibri" w:hint="eastAsia"/>
          <w:sz w:val="22"/>
          <w:szCs w:val="24"/>
        </w:rPr>
        <w:t>W</w:t>
      </w:r>
      <w:r w:rsidR="00D16D71">
        <w:rPr>
          <w:rFonts w:ascii="Calibri" w:hAnsi="Calibri" w:cs="Calibri" w:hint="eastAsia"/>
          <w:sz w:val="22"/>
          <w:szCs w:val="24"/>
        </w:rPr>
        <w:t xml:space="preserve">orking </w:t>
      </w:r>
      <w:r w:rsidR="004A5423">
        <w:rPr>
          <w:rFonts w:ascii="Calibri" w:hAnsi="Calibri" w:cs="Calibri" w:hint="eastAsia"/>
          <w:sz w:val="22"/>
          <w:szCs w:val="24"/>
        </w:rPr>
        <w:t>T</w:t>
      </w:r>
      <w:r w:rsidR="00D16D71">
        <w:rPr>
          <w:rFonts w:ascii="Calibri" w:hAnsi="Calibri" w:cs="Calibri" w:hint="eastAsia"/>
          <w:sz w:val="22"/>
          <w:szCs w:val="24"/>
        </w:rPr>
        <w:t xml:space="preserve">heory, </w:t>
      </w:r>
      <w:r w:rsidR="00726C4C">
        <w:rPr>
          <w:rFonts w:ascii="Calibri" w:hAnsi="Calibri" w:cs="Calibri" w:hint="eastAsia"/>
          <w:sz w:val="22"/>
          <w:szCs w:val="24"/>
        </w:rPr>
        <w:t>social constraint, well-being, predictors</w:t>
      </w:r>
    </w:p>
    <w:p w14:paraId="47B4F95F" w14:textId="3104E806" w:rsidR="00E51000" w:rsidRDefault="00B3775E" w:rsidP="0040254C">
      <w:pPr>
        <w:widowControl/>
        <w:spacing w:line="360" w:lineRule="auto"/>
        <w:jc w:val="center"/>
        <w:rPr>
          <w:rFonts w:ascii="Calibri" w:hAnsi="Calibri" w:cs="Calibri"/>
          <w:b/>
          <w:bCs/>
          <w:sz w:val="22"/>
          <w:szCs w:val="24"/>
        </w:rPr>
      </w:pPr>
      <w:r>
        <w:rPr>
          <w:rFonts w:ascii="Calibri" w:hAnsi="Calibri" w:cs="Calibri"/>
          <w:b/>
          <w:bCs/>
          <w:sz w:val="22"/>
          <w:szCs w:val="24"/>
        </w:rPr>
        <w:br w:type="column"/>
      </w:r>
      <w:r w:rsidR="009C5516">
        <w:rPr>
          <w:rFonts w:ascii="Calibri" w:hAnsi="Calibri" w:cs="Calibri" w:hint="eastAsia"/>
          <w:b/>
          <w:bCs/>
          <w:sz w:val="22"/>
          <w:szCs w:val="24"/>
        </w:rPr>
        <w:lastRenderedPageBreak/>
        <w:t>Proposal</w:t>
      </w:r>
    </w:p>
    <w:p w14:paraId="2EB12DDA" w14:textId="77777777" w:rsidR="00B3775E" w:rsidRDefault="00B3775E" w:rsidP="004A5423">
      <w:pPr>
        <w:widowControl/>
        <w:spacing w:line="360" w:lineRule="auto"/>
        <w:jc w:val="left"/>
        <w:rPr>
          <w:rFonts w:ascii="Calibri" w:hAnsi="Calibri" w:cs="Calibri"/>
          <w:b/>
          <w:bCs/>
          <w:sz w:val="22"/>
          <w:szCs w:val="24"/>
        </w:rPr>
      </w:pPr>
    </w:p>
    <w:p w14:paraId="545CEBFB" w14:textId="2D67BA29" w:rsidR="00EE1CCC" w:rsidRPr="009953EE" w:rsidRDefault="009C5516" w:rsidP="0040254C">
      <w:pPr>
        <w:widowControl/>
        <w:spacing w:line="360" w:lineRule="auto"/>
        <w:jc w:val="left"/>
        <w:rPr>
          <w:rFonts w:ascii="Calibri" w:hAnsi="Calibri" w:cs="Calibri"/>
          <w:b/>
          <w:bCs/>
          <w:sz w:val="22"/>
          <w:szCs w:val="24"/>
        </w:rPr>
      </w:pPr>
      <w:r w:rsidRPr="009953EE">
        <w:rPr>
          <w:rFonts w:ascii="Calibri" w:hAnsi="Calibri" w:cs="Calibri"/>
          <w:b/>
          <w:bCs/>
          <w:sz w:val="22"/>
          <w:szCs w:val="24"/>
        </w:rPr>
        <w:t>Introduction</w:t>
      </w:r>
    </w:p>
    <w:p w14:paraId="1B13C325" w14:textId="1F899837" w:rsidR="00AA6CFB" w:rsidRDefault="007F2061" w:rsidP="0040254C">
      <w:pPr>
        <w:widowControl/>
        <w:spacing w:line="360" w:lineRule="auto"/>
        <w:jc w:val="left"/>
        <w:rPr>
          <w:rFonts w:ascii="Calibri" w:hAnsi="Calibri" w:cs="Calibri"/>
          <w:sz w:val="22"/>
          <w:szCs w:val="24"/>
        </w:rPr>
      </w:pPr>
      <w:r w:rsidRPr="007F2061">
        <w:rPr>
          <w:rFonts w:ascii="Calibri" w:hAnsi="Calibri" w:cs="Calibri"/>
          <w:sz w:val="22"/>
          <w:szCs w:val="24"/>
        </w:rPr>
        <w:t>The Japanese labor market is currently undergoing a major transformation. While the Japanese employment system has developed based on long-term employment and an internal labor market, the dual structure comprising core regular workers and vulnerable non-regular workers has deepened (Watanabe, 2018). The polarization of the labor market reduces companies’ incentives to provide training for non-regular workers, thereby negatively affecting workers’ motivation and productivity (Aoyagi &amp; Ganelli, 2015). Furthermore, labor shortages and an aging workforce adversely affect service quality as well as workplace and worker health, and there are concerns about the prevalence of harassment and bullying in unhealthy workplaces (MHLW, 2023).</w:t>
      </w:r>
    </w:p>
    <w:p w14:paraId="4EC5D368" w14:textId="77777777" w:rsidR="007F2061" w:rsidRPr="009953EE" w:rsidRDefault="007F2061" w:rsidP="0040254C">
      <w:pPr>
        <w:widowControl/>
        <w:spacing w:line="360" w:lineRule="auto"/>
        <w:jc w:val="left"/>
        <w:rPr>
          <w:rFonts w:ascii="Calibri" w:hAnsi="Calibri" w:cs="Calibri"/>
          <w:sz w:val="22"/>
          <w:szCs w:val="24"/>
        </w:rPr>
      </w:pPr>
    </w:p>
    <w:p w14:paraId="6032250D" w14:textId="77777777" w:rsidR="00AA6CFB" w:rsidRPr="009953EE" w:rsidRDefault="009C5516" w:rsidP="0040254C">
      <w:pPr>
        <w:widowControl/>
        <w:spacing w:line="360" w:lineRule="auto"/>
        <w:jc w:val="left"/>
        <w:rPr>
          <w:rFonts w:ascii="Calibri" w:hAnsi="Calibri" w:cs="Calibri"/>
          <w:b/>
          <w:bCs/>
          <w:sz w:val="22"/>
          <w:szCs w:val="24"/>
        </w:rPr>
      </w:pPr>
      <w:r w:rsidRPr="009953EE">
        <w:rPr>
          <w:rFonts w:ascii="Calibri" w:hAnsi="Calibri" w:cs="Calibri"/>
          <w:b/>
          <w:bCs/>
          <w:sz w:val="22"/>
          <w:szCs w:val="24"/>
        </w:rPr>
        <w:t>Objectives</w:t>
      </w:r>
    </w:p>
    <w:p w14:paraId="5F498105" w14:textId="0A9E3B85" w:rsidR="008E6973" w:rsidRDefault="007F2061" w:rsidP="0040254C">
      <w:pPr>
        <w:widowControl/>
        <w:spacing w:line="360" w:lineRule="auto"/>
        <w:jc w:val="left"/>
        <w:rPr>
          <w:rFonts w:ascii="Calibri" w:hAnsi="Calibri" w:cs="Calibri"/>
          <w:sz w:val="22"/>
          <w:szCs w:val="24"/>
        </w:rPr>
      </w:pPr>
      <w:r w:rsidRPr="007F2061">
        <w:rPr>
          <w:rFonts w:ascii="Calibri" w:hAnsi="Calibri" w:cs="Calibri"/>
          <w:sz w:val="22"/>
          <w:szCs w:val="24"/>
        </w:rPr>
        <w:t xml:space="preserve">The objective of this study </w:t>
      </w:r>
      <w:r w:rsidR="00B87A91">
        <w:rPr>
          <w:rFonts w:ascii="Calibri" w:hAnsi="Calibri" w:cs="Calibri"/>
          <w:sz w:val="22"/>
          <w:szCs w:val="24"/>
        </w:rPr>
        <w:t>is</w:t>
      </w:r>
      <w:r w:rsidRPr="007F2061">
        <w:rPr>
          <w:rFonts w:ascii="Calibri" w:hAnsi="Calibri" w:cs="Calibri"/>
          <w:sz w:val="22"/>
          <w:szCs w:val="24"/>
        </w:rPr>
        <w:t xml:space="preserve"> to examine the social constraints and structural predictors that influence workers’ experience of meaningful work from the perspectives of well-being and social justice, against the backdrop of labor market polarization in Japan.</w:t>
      </w:r>
    </w:p>
    <w:p w14:paraId="55263CBF" w14:textId="77777777" w:rsidR="007F2061" w:rsidRDefault="007F2061" w:rsidP="0040254C">
      <w:pPr>
        <w:widowControl/>
        <w:spacing w:line="360" w:lineRule="auto"/>
        <w:jc w:val="left"/>
        <w:rPr>
          <w:rFonts w:ascii="Calibri" w:hAnsi="Calibri" w:cs="Calibri"/>
          <w:sz w:val="22"/>
          <w:szCs w:val="24"/>
        </w:rPr>
      </w:pPr>
    </w:p>
    <w:p w14:paraId="072F8A3A" w14:textId="77777777" w:rsidR="00AA6CFB" w:rsidRPr="009953EE" w:rsidRDefault="009C5516" w:rsidP="0040254C">
      <w:pPr>
        <w:widowControl/>
        <w:spacing w:line="360" w:lineRule="auto"/>
        <w:jc w:val="left"/>
        <w:rPr>
          <w:rFonts w:ascii="Calibri" w:hAnsi="Calibri" w:cs="Calibri"/>
          <w:b/>
          <w:bCs/>
          <w:sz w:val="22"/>
          <w:szCs w:val="24"/>
        </w:rPr>
      </w:pPr>
      <w:r w:rsidRPr="009953EE">
        <w:rPr>
          <w:rFonts w:ascii="Calibri" w:hAnsi="Calibri" w:cs="Calibri"/>
          <w:b/>
          <w:bCs/>
          <w:sz w:val="22"/>
          <w:szCs w:val="24"/>
        </w:rPr>
        <w:t>Theoretical basis</w:t>
      </w:r>
    </w:p>
    <w:p w14:paraId="4E6080D3" w14:textId="7E1E3407" w:rsidR="00A13956" w:rsidRDefault="007F2061" w:rsidP="0040254C">
      <w:pPr>
        <w:widowControl/>
        <w:spacing w:line="360" w:lineRule="auto"/>
        <w:jc w:val="left"/>
        <w:rPr>
          <w:rFonts w:ascii="Calibri" w:hAnsi="Calibri" w:cs="Calibri"/>
          <w:sz w:val="22"/>
          <w:szCs w:val="24"/>
        </w:rPr>
      </w:pPr>
      <w:r w:rsidRPr="007F2061">
        <w:rPr>
          <w:rFonts w:ascii="Calibri" w:hAnsi="Calibri" w:cs="Calibri"/>
          <w:sz w:val="22"/>
          <w:szCs w:val="24"/>
        </w:rPr>
        <w:t xml:space="preserve">As the theoretical framework, we adopt Blustein’s (2006) Psychology of Working Theory (PWT). This theory captures workers’ experiences from a more comprehensive perspective and emphasizes the need to incorporate both the role work plays in fulfilling basic human needs and the socioeconomic structures and constraints that influence work. A series of studies based on PWT, which prioritizes social justice and fundamental human rights, has identified socioeconomic factors that predict meaningful work (e.g., Allan et al., 2016; Duffy et al., 2016). Meaningful work is defined as “work that is experienced as particularly important to the individual and as having a more positive meaning” (Rosso et al., 2010, p. 95). Therefore, based on the PWT, this study </w:t>
      </w:r>
      <w:r w:rsidRPr="007F2061">
        <w:rPr>
          <w:rFonts w:ascii="Calibri" w:hAnsi="Calibri" w:cs="Calibri"/>
          <w:sz w:val="22"/>
          <w:szCs w:val="24"/>
        </w:rPr>
        <w:lastRenderedPageBreak/>
        <w:t>examines whether the factors associated with meaningful work and its predictors are also evident in the Japanese context.</w:t>
      </w:r>
    </w:p>
    <w:p w14:paraId="1FA5C97C" w14:textId="77777777" w:rsidR="007F2061" w:rsidRPr="009953EE" w:rsidRDefault="007F2061" w:rsidP="0040254C">
      <w:pPr>
        <w:widowControl/>
        <w:spacing w:line="360" w:lineRule="auto"/>
        <w:jc w:val="left"/>
        <w:rPr>
          <w:rFonts w:ascii="Calibri" w:hAnsi="Calibri" w:cs="Calibri"/>
          <w:sz w:val="22"/>
          <w:szCs w:val="24"/>
        </w:rPr>
      </w:pPr>
    </w:p>
    <w:p w14:paraId="456F6B49" w14:textId="77777777" w:rsidR="00AA6CFB" w:rsidRPr="0064532F" w:rsidRDefault="009C5516" w:rsidP="0040254C">
      <w:pPr>
        <w:widowControl/>
        <w:spacing w:line="360" w:lineRule="auto"/>
        <w:jc w:val="left"/>
        <w:rPr>
          <w:rFonts w:ascii="Calibri" w:hAnsi="Calibri" w:cs="Calibri"/>
          <w:b/>
          <w:bCs/>
          <w:sz w:val="22"/>
          <w:szCs w:val="24"/>
        </w:rPr>
      </w:pPr>
      <w:r w:rsidRPr="0064532F">
        <w:rPr>
          <w:rFonts w:ascii="Calibri" w:hAnsi="Calibri" w:cs="Calibri"/>
          <w:b/>
          <w:bCs/>
          <w:sz w:val="22"/>
          <w:szCs w:val="24"/>
        </w:rPr>
        <w:t>Methodology</w:t>
      </w:r>
    </w:p>
    <w:p w14:paraId="5098485E" w14:textId="5B1A6981" w:rsidR="00AA6CFB" w:rsidRDefault="007F2061" w:rsidP="0040254C">
      <w:pPr>
        <w:widowControl/>
        <w:spacing w:line="360" w:lineRule="auto"/>
        <w:jc w:val="left"/>
        <w:rPr>
          <w:rFonts w:ascii="Calibri" w:hAnsi="Calibri" w:cs="Calibri"/>
          <w:sz w:val="22"/>
          <w:szCs w:val="24"/>
        </w:rPr>
      </w:pPr>
      <w:r w:rsidRPr="007F2061">
        <w:rPr>
          <w:rFonts w:ascii="Calibri" w:hAnsi="Calibri" w:cs="Calibri"/>
          <w:sz w:val="22"/>
          <w:szCs w:val="24"/>
        </w:rPr>
        <w:t>A web-based questionnaire was administered to workers in Japan (N=543) regarding work and well-being variables related to meaningful work. The questionnaire consisted of demographic</w:t>
      </w:r>
      <w:r w:rsidR="00B87A91">
        <w:rPr>
          <w:rFonts w:ascii="Calibri" w:hAnsi="Calibri" w:cs="Calibri" w:hint="eastAsia"/>
          <w:sz w:val="22"/>
          <w:szCs w:val="24"/>
        </w:rPr>
        <w:t xml:space="preserve"> (</w:t>
      </w:r>
      <w:r w:rsidR="00B3775E">
        <w:rPr>
          <w:rFonts w:ascii="Calibri" w:hAnsi="Calibri" w:cs="Calibri" w:hint="eastAsia"/>
          <w:sz w:val="22"/>
          <w:szCs w:val="24"/>
        </w:rPr>
        <w:t>gender, age, educational level, subjective social class)</w:t>
      </w:r>
      <w:r w:rsidRPr="007F2061">
        <w:rPr>
          <w:rFonts w:ascii="Calibri" w:hAnsi="Calibri" w:cs="Calibri"/>
          <w:sz w:val="22"/>
          <w:szCs w:val="24"/>
        </w:rPr>
        <w:t>, well-being</w:t>
      </w:r>
      <w:r w:rsidR="00B3775E">
        <w:rPr>
          <w:rFonts w:ascii="Calibri" w:hAnsi="Calibri" w:cs="Calibri" w:hint="eastAsia"/>
          <w:sz w:val="22"/>
          <w:szCs w:val="24"/>
        </w:rPr>
        <w:t xml:space="preserve"> (work fatigue, </w:t>
      </w:r>
      <w:r w:rsidR="004A5423">
        <w:rPr>
          <w:rFonts w:ascii="Calibri" w:hAnsi="Calibri" w:cs="Calibri" w:hint="eastAsia"/>
          <w:sz w:val="22"/>
          <w:szCs w:val="24"/>
        </w:rPr>
        <w:t>anxiety/depression</w:t>
      </w:r>
      <w:r w:rsidR="00B3775E">
        <w:rPr>
          <w:rFonts w:ascii="Calibri" w:hAnsi="Calibri" w:cs="Calibri" w:hint="eastAsia"/>
          <w:sz w:val="22"/>
          <w:szCs w:val="24"/>
        </w:rPr>
        <w:t>)</w:t>
      </w:r>
      <w:r w:rsidRPr="007F2061">
        <w:rPr>
          <w:rFonts w:ascii="Calibri" w:hAnsi="Calibri" w:cs="Calibri"/>
          <w:sz w:val="22"/>
          <w:szCs w:val="24"/>
        </w:rPr>
        <w:t>, and work-related variables</w:t>
      </w:r>
      <w:r w:rsidR="00B3775E">
        <w:rPr>
          <w:rFonts w:ascii="Calibri" w:hAnsi="Calibri" w:cs="Calibri" w:hint="eastAsia"/>
          <w:sz w:val="22"/>
          <w:szCs w:val="24"/>
        </w:rPr>
        <w:t xml:space="preserve"> (meaningful work, work volition, workplace ostracism, work motivation)</w:t>
      </w:r>
      <w:r w:rsidRPr="007F2061">
        <w:rPr>
          <w:rFonts w:ascii="Calibri" w:hAnsi="Calibri" w:cs="Calibri"/>
          <w:sz w:val="22"/>
          <w:szCs w:val="24"/>
        </w:rPr>
        <w:t>. A correlation analysis was conducted to examine the relationships among meaningful work, demographics, and well-being variables. Then, to identify predictors of meaningful work, we conducted hierarchical regression analysis (HRA) incorporating demographic and work</w:t>
      </w:r>
      <w:r w:rsidR="008C2623">
        <w:rPr>
          <w:rFonts w:ascii="Calibri" w:hAnsi="Calibri" w:cs="Calibri" w:hint="eastAsia"/>
          <w:sz w:val="22"/>
          <w:szCs w:val="24"/>
        </w:rPr>
        <w:t xml:space="preserve">-related </w:t>
      </w:r>
      <w:r w:rsidRPr="007F2061">
        <w:rPr>
          <w:rFonts w:ascii="Calibri" w:hAnsi="Calibri" w:cs="Calibri"/>
          <w:sz w:val="22"/>
          <w:szCs w:val="24"/>
        </w:rPr>
        <w:t>variables.</w:t>
      </w:r>
    </w:p>
    <w:p w14:paraId="165408F1" w14:textId="77777777" w:rsidR="008C2623" w:rsidRDefault="008C2623" w:rsidP="0040254C">
      <w:pPr>
        <w:widowControl/>
        <w:spacing w:line="360" w:lineRule="auto"/>
        <w:jc w:val="left"/>
        <w:rPr>
          <w:rFonts w:ascii="Calibri" w:hAnsi="Calibri" w:cs="Calibri"/>
          <w:b/>
          <w:bCs/>
          <w:sz w:val="22"/>
          <w:szCs w:val="24"/>
        </w:rPr>
      </w:pPr>
    </w:p>
    <w:p w14:paraId="7D1D2D1D" w14:textId="36592E5A" w:rsidR="00AA6CFB" w:rsidRPr="0064532F" w:rsidRDefault="009C5516" w:rsidP="0040254C">
      <w:pPr>
        <w:widowControl/>
        <w:spacing w:line="360" w:lineRule="auto"/>
        <w:jc w:val="left"/>
        <w:rPr>
          <w:rFonts w:ascii="Calibri" w:hAnsi="Calibri" w:cs="Calibri"/>
          <w:b/>
          <w:bCs/>
          <w:sz w:val="22"/>
          <w:szCs w:val="24"/>
        </w:rPr>
      </w:pPr>
      <w:r w:rsidRPr="0064532F">
        <w:rPr>
          <w:rFonts w:ascii="Calibri" w:hAnsi="Calibri" w:cs="Calibri"/>
          <w:b/>
          <w:bCs/>
          <w:sz w:val="22"/>
          <w:szCs w:val="24"/>
        </w:rPr>
        <w:t>R</w:t>
      </w:r>
      <w:r w:rsidR="0064532F">
        <w:rPr>
          <w:rFonts w:ascii="Calibri" w:hAnsi="Calibri" w:cs="Calibri" w:hint="eastAsia"/>
          <w:b/>
          <w:bCs/>
          <w:sz w:val="22"/>
          <w:szCs w:val="24"/>
        </w:rPr>
        <w:t>esults</w:t>
      </w:r>
    </w:p>
    <w:p w14:paraId="35AE4029" w14:textId="3460763E" w:rsidR="005E58C8" w:rsidRDefault="007F2061" w:rsidP="0040254C">
      <w:pPr>
        <w:widowControl/>
        <w:spacing w:line="360" w:lineRule="auto"/>
        <w:jc w:val="left"/>
        <w:rPr>
          <w:rFonts w:ascii="Calibri" w:hAnsi="Calibri" w:cs="Calibri"/>
          <w:sz w:val="22"/>
          <w:szCs w:val="24"/>
        </w:rPr>
      </w:pPr>
      <w:r w:rsidRPr="007F2061">
        <w:rPr>
          <w:rFonts w:ascii="Calibri" w:hAnsi="Calibri" w:cs="Calibri"/>
          <w:sz w:val="22"/>
          <w:szCs w:val="24"/>
        </w:rPr>
        <w:t xml:space="preserve">The results of the correlation analysis indicated that meaningful work was </w:t>
      </w:r>
      <w:r w:rsidR="00726C4C">
        <w:rPr>
          <w:rFonts w:ascii="Calibri" w:hAnsi="Calibri" w:cs="Calibri" w:hint="eastAsia"/>
          <w:sz w:val="22"/>
          <w:szCs w:val="24"/>
        </w:rPr>
        <w:t xml:space="preserve">significantly </w:t>
      </w:r>
      <w:r w:rsidRPr="007F2061">
        <w:rPr>
          <w:rFonts w:ascii="Calibri" w:hAnsi="Calibri" w:cs="Calibri"/>
          <w:sz w:val="22"/>
          <w:szCs w:val="24"/>
        </w:rPr>
        <w:t>associated with employment status, income, educational level, social class, work fatigue, and anxiety and depression. Work fatigue and anxiety/depression showed opposite relationships with meaningful work. The HRA identifies socioeconomic status, work volition, and workplace ostracism as predictors of meaningful work.</w:t>
      </w:r>
    </w:p>
    <w:p w14:paraId="4C6A4867" w14:textId="77777777" w:rsidR="007F2061" w:rsidRPr="009953EE" w:rsidRDefault="007F2061" w:rsidP="0040254C">
      <w:pPr>
        <w:widowControl/>
        <w:spacing w:line="360" w:lineRule="auto"/>
        <w:jc w:val="left"/>
        <w:rPr>
          <w:rFonts w:ascii="Calibri" w:hAnsi="Calibri" w:cs="Calibri"/>
          <w:sz w:val="22"/>
          <w:szCs w:val="24"/>
        </w:rPr>
      </w:pPr>
    </w:p>
    <w:p w14:paraId="7D08ED4D" w14:textId="77777777" w:rsidR="00AA6CFB" w:rsidRPr="0064532F" w:rsidRDefault="009C5516" w:rsidP="0040254C">
      <w:pPr>
        <w:widowControl/>
        <w:spacing w:line="360" w:lineRule="auto"/>
        <w:jc w:val="left"/>
        <w:rPr>
          <w:rFonts w:ascii="Calibri" w:hAnsi="Calibri" w:cs="Calibri"/>
          <w:b/>
          <w:bCs/>
          <w:sz w:val="22"/>
          <w:szCs w:val="24"/>
        </w:rPr>
      </w:pPr>
      <w:r w:rsidRPr="0064532F">
        <w:rPr>
          <w:rFonts w:ascii="Calibri" w:hAnsi="Calibri" w:cs="Calibri"/>
          <w:b/>
          <w:bCs/>
          <w:sz w:val="22"/>
          <w:szCs w:val="24"/>
        </w:rPr>
        <w:t>Conclusions</w:t>
      </w:r>
    </w:p>
    <w:p w14:paraId="0E8E5F0F" w14:textId="01F000C7" w:rsidR="007F2061" w:rsidRDefault="00E3474C" w:rsidP="0040254C">
      <w:pPr>
        <w:widowControl/>
        <w:spacing w:line="360" w:lineRule="auto"/>
        <w:jc w:val="left"/>
        <w:rPr>
          <w:rFonts w:ascii="Calibri" w:hAnsi="Calibri" w:cs="Calibri"/>
          <w:sz w:val="22"/>
          <w:szCs w:val="24"/>
        </w:rPr>
      </w:pPr>
      <w:r w:rsidRPr="00E3474C">
        <w:rPr>
          <w:rFonts w:ascii="Calibri" w:hAnsi="Calibri" w:cs="Calibri"/>
          <w:sz w:val="22"/>
          <w:szCs w:val="24"/>
        </w:rPr>
        <w:t>These findings suggest that engagement in meaningful work may be linked to workers’ well-being in different ways. Furthermore, since socioeconomic factors and workplace social relationships heavily influence positive work experiences in Japanese workplaces, ongoing efforts to address organizational and structural challenges are essential.</w:t>
      </w:r>
    </w:p>
    <w:p w14:paraId="7BDF49DD" w14:textId="77777777" w:rsidR="00E3474C" w:rsidRPr="009953EE" w:rsidRDefault="00E3474C" w:rsidP="0040254C">
      <w:pPr>
        <w:widowControl/>
        <w:spacing w:line="360" w:lineRule="auto"/>
        <w:jc w:val="left"/>
        <w:rPr>
          <w:rFonts w:ascii="Calibri" w:hAnsi="Calibri" w:cs="Calibri"/>
          <w:sz w:val="22"/>
          <w:szCs w:val="24"/>
        </w:rPr>
      </w:pPr>
    </w:p>
    <w:p w14:paraId="23676E9E" w14:textId="1F1EC957" w:rsidR="001D0590" w:rsidRPr="00162F99" w:rsidRDefault="009C5516" w:rsidP="0040254C">
      <w:pPr>
        <w:widowControl/>
        <w:spacing w:line="360" w:lineRule="auto"/>
        <w:jc w:val="left"/>
        <w:rPr>
          <w:rFonts w:ascii="Calibri" w:hAnsi="Calibri" w:cs="Calibri"/>
          <w:b/>
          <w:bCs/>
          <w:sz w:val="22"/>
          <w:szCs w:val="24"/>
        </w:rPr>
      </w:pPr>
      <w:r w:rsidRPr="00162F99">
        <w:rPr>
          <w:rFonts w:ascii="Calibri" w:hAnsi="Calibri" w:cs="Calibri"/>
          <w:b/>
          <w:bCs/>
          <w:sz w:val="22"/>
          <w:szCs w:val="24"/>
        </w:rPr>
        <w:lastRenderedPageBreak/>
        <w:t xml:space="preserve">Bibliographical </w:t>
      </w:r>
      <w:r w:rsidR="0073343C">
        <w:rPr>
          <w:rFonts w:ascii="Calibri" w:hAnsi="Calibri" w:cs="Calibri" w:hint="eastAsia"/>
          <w:b/>
          <w:bCs/>
          <w:sz w:val="22"/>
          <w:szCs w:val="24"/>
        </w:rPr>
        <w:t>R</w:t>
      </w:r>
      <w:r w:rsidRPr="00162F99">
        <w:rPr>
          <w:rFonts w:ascii="Calibri" w:hAnsi="Calibri" w:cs="Calibri"/>
          <w:b/>
          <w:bCs/>
          <w:sz w:val="22"/>
          <w:szCs w:val="24"/>
        </w:rPr>
        <w:t>eferences</w:t>
      </w:r>
    </w:p>
    <w:p w14:paraId="134FF6F5" w14:textId="7518FF4D" w:rsidR="007F2061" w:rsidRPr="007F2061" w:rsidRDefault="007F2061" w:rsidP="007F2061">
      <w:pPr>
        <w:spacing w:line="360" w:lineRule="auto"/>
        <w:ind w:left="297" w:hangingChars="135" w:hanging="297"/>
        <w:jc w:val="left"/>
        <w:rPr>
          <w:rFonts w:ascii="Calibri" w:hAnsi="Calibri" w:cs="Calibri"/>
          <w:sz w:val="22"/>
          <w:szCs w:val="24"/>
        </w:rPr>
      </w:pPr>
      <w:r w:rsidRPr="007F2061">
        <w:rPr>
          <w:rFonts w:ascii="Calibri" w:hAnsi="Calibri" w:cs="Calibri"/>
          <w:sz w:val="22"/>
          <w:szCs w:val="24"/>
        </w:rPr>
        <w:t xml:space="preserve">Allan, B. A., Autin, K. L., &amp; Duffy, R. D. (2016). Self-determination and meaningful work: Exploring socioeconomic constraints. Frontiers in Psychology, 7, Article 71. </w:t>
      </w:r>
      <w:hyperlink r:id="rId9" w:history="1">
        <w:r w:rsidRPr="00164681">
          <w:rPr>
            <w:rStyle w:val="af6"/>
            <w:rFonts w:ascii="Calibri" w:hAnsi="Calibri" w:cs="Calibri"/>
            <w:sz w:val="22"/>
            <w:szCs w:val="24"/>
          </w:rPr>
          <w:t>https://doi.org/10.3389/fpsyg.2016.00071</w:t>
        </w:r>
      </w:hyperlink>
      <w:r w:rsidRPr="007F2061">
        <w:rPr>
          <w:rFonts w:ascii="Calibri" w:hAnsi="Calibri" w:cs="Calibri"/>
          <w:sz w:val="22"/>
          <w:szCs w:val="24"/>
        </w:rPr>
        <w:t>.</w:t>
      </w:r>
    </w:p>
    <w:p w14:paraId="7DC1DE5B" w14:textId="4FBE52B9" w:rsidR="007F2061" w:rsidRPr="007F2061" w:rsidRDefault="007F2061" w:rsidP="007F2061">
      <w:pPr>
        <w:spacing w:line="360" w:lineRule="auto"/>
        <w:ind w:left="297" w:hangingChars="135" w:hanging="297"/>
        <w:rPr>
          <w:rFonts w:ascii="Calibri" w:hAnsi="Calibri" w:cs="Calibri"/>
          <w:sz w:val="22"/>
          <w:szCs w:val="24"/>
        </w:rPr>
      </w:pPr>
      <w:r w:rsidRPr="007F2061">
        <w:rPr>
          <w:rFonts w:ascii="Calibri" w:hAnsi="Calibri" w:cs="Calibri"/>
          <w:sz w:val="22"/>
          <w:szCs w:val="24"/>
        </w:rPr>
        <w:t xml:space="preserve">Aoyagi, C. &amp; </w:t>
      </w:r>
      <w:proofErr w:type="spellStart"/>
      <w:r w:rsidRPr="007F2061">
        <w:rPr>
          <w:rFonts w:ascii="Calibri" w:hAnsi="Calibri" w:cs="Calibri"/>
          <w:sz w:val="22"/>
          <w:szCs w:val="24"/>
        </w:rPr>
        <w:t>Ganelli</w:t>
      </w:r>
      <w:proofErr w:type="spellEnd"/>
      <w:r w:rsidRPr="007F2061">
        <w:rPr>
          <w:rFonts w:ascii="Calibri" w:hAnsi="Calibri" w:cs="Calibri"/>
          <w:sz w:val="22"/>
          <w:szCs w:val="24"/>
        </w:rPr>
        <w:t xml:space="preserve">, G. (2015). Asia's quest for inclusive growth revisited. Journal of Asian Economics, 40, 29–46. </w:t>
      </w:r>
      <w:hyperlink r:id="rId10" w:history="1">
        <w:r w:rsidRPr="00164681">
          <w:rPr>
            <w:rStyle w:val="af6"/>
            <w:rFonts w:ascii="Calibri" w:hAnsi="Calibri" w:cs="Calibri"/>
            <w:sz w:val="22"/>
            <w:szCs w:val="24"/>
          </w:rPr>
          <w:t>https://doi.org/10.1016/j.asieco.2015.06.005</w:t>
        </w:r>
      </w:hyperlink>
      <w:r w:rsidRPr="007F2061">
        <w:rPr>
          <w:rFonts w:ascii="Calibri" w:hAnsi="Calibri" w:cs="Calibri"/>
          <w:sz w:val="22"/>
          <w:szCs w:val="24"/>
        </w:rPr>
        <w:t>.</w:t>
      </w:r>
    </w:p>
    <w:p w14:paraId="117C4298" w14:textId="151B0234" w:rsidR="007F2061" w:rsidRPr="007F2061" w:rsidRDefault="007F2061" w:rsidP="007F2061">
      <w:pPr>
        <w:spacing w:line="360" w:lineRule="auto"/>
        <w:ind w:left="297" w:hangingChars="135" w:hanging="297"/>
        <w:rPr>
          <w:rFonts w:ascii="Calibri" w:hAnsi="Calibri" w:cs="Calibri"/>
          <w:sz w:val="22"/>
          <w:szCs w:val="24"/>
        </w:rPr>
      </w:pPr>
      <w:r w:rsidRPr="007F2061">
        <w:rPr>
          <w:rFonts w:ascii="Calibri" w:hAnsi="Calibri" w:cs="Calibri"/>
          <w:sz w:val="22"/>
          <w:szCs w:val="24"/>
        </w:rPr>
        <w:t xml:space="preserve">Blustein, D. L., </w:t>
      </w:r>
      <w:proofErr w:type="spellStart"/>
      <w:r w:rsidRPr="007F2061">
        <w:rPr>
          <w:rFonts w:ascii="Calibri" w:hAnsi="Calibri" w:cs="Calibri"/>
          <w:sz w:val="22"/>
          <w:szCs w:val="24"/>
        </w:rPr>
        <w:t>Lysova</w:t>
      </w:r>
      <w:proofErr w:type="spellEnd"/>
      <w:r w:rsidRPr="007F2061">
        <w:rPr>
          <w:rFonts w:ascii="Calibri" w:hAnsi="Calibri" w:cs="Calibri"/>
          <w:sz w:val="22"/>
          <w:szCs w:val="24"/>
        </w:rPr>
        <w:t xml:space="preserve">, E. I., &amp; Duffy, R. D. (2023). Understanding decent work and meaningful work. Annual Review of Organizational Psychology and Organizational Behavior, 10, 289–314. </w:t>
      </w:r>
      <w:hyperlink r:id="rId11" w:history="1">
        <w:r w:rsidRPr="00164681">
          <w:rPr>
            <w:rStyle w:val="af6"/>
            <w:rFonts w:ascii="Calibri" w:hAnsi="Calibri" w:cs="Calibri"/>
            <w:sz w:val="22"/>
            <w:szCs w:val="24"/>
          </w:rPr>
          <w:t>https://doi.org/10.1146/annurev-orgpsych-031921-024847</w:t>
        </w:r>
      </w:hyperlink>
      <w:r w:rsidRPr="007F2061">
        <w:rPr>
          <w:rFonts w:ascii="Calibri" w:hAnsi="Calibri" w:cs="Calibri"/>
          <w:sz w:val="22"/>
          <w:szCs w:val="24"/>
        </w:rPr>
        <w:t>.</w:t>
      </w:r>
    </w:p>
    <w:p w14:paraId="67138CAB" w14:textId="7D9D6C21" w:rsidR="007F2061" w:rsidRPr="007F2061" w:rsidRDefault="007F2061" w:rsidP="007F2061">
      <w:pPr>
        <w:spacing w:line="360" w:lineRule="auto"/>
        <w:ind w:left="297" w:hangingChars="135" w:hanging="297"/>
        <w:jc w:val="left"/>
        <w:rPr>
          <w:rFonts w:ascii="Calibri" w:hAnsi="Calibri" w:cs="Calibri"/>
          <w:sz w:val="22"/>
          <w:szCs w:val="24"/>
        </w:rPr>
      </w:pPr>
      <w:r w:rsidRPr="007F2061">
        <w:rPr>
          <w:rFonts w:ascii="Calibri" w:hAnsi="Calibri" w:cs="Calibri"/>
          <w:sz w:val="22"/>
          <w:szCs w:val="24"/>
        </w:rPr>
        <w:t>Duffy, R. D., Blustein, D. L., Diemer, M. A., &amp; Autin, K. L. (2016). The psychology of working theory. Journal of Counseling Psychology, 63(2), 127</w:t>
      </w:r>
      <w:r w:rsidR="00D77E8E">
        <w:rPr>
          <w:rFonts w:ascii="Calibri" w:hAnsi="Calibri" w:cs="Calibri"/>
          <w:sz w:val="22"/>
          <w:szCs w:val="24"/>
        </w:rPr>
        <w:t>–</w:t>
      </w:r>
      <w:r w:rsidRPr="007F2061">
        <w:rPr>
          <w:rFonts w:ascii="Calibri" w:hAnsi="Calibri" w:cs="Calibri"/>
          <w:sz w:val="22"/>
          <w:szCs w:val="24"/>
        </w:rPr>
        <w:t xml:space="preserve">148. </w:t>
      </w:r>
      <w:hyperlink r:id="rId12" w:history="1">
        <w:r w:rsidRPr="00164681">
          <w:rPr>
            <w:rStyle w:val="af6"/>
            <w:rFonts w:ascii="Calibri" w:hAnsi="Calibri" w:cs="Calibri"/>
            <w:sz w:val="22"/>
            <w:szCs w:val="24"/>
          </w:rPr>
          <w:t>https://doi.org/10.1037/cou0000140</w:t>
        </w:r>
      </w:hyperlink>
      <w:r w:rsidRPr="007F2061">
        <w:rPr>
          <w:rFonts w:ascii="Calibri" w:hAnsi="Calibri" w:cs="Calibri"/>
          <w:sz w:val="22"/>
          <w:szCs w:val="24"/>
        </w:rPr>
        <w:t>.</w:t>
      </w:r>
    </w:p>
    <w:p w14:paraId="740878F3" w14:textId="463D09B4" w:rsidR="007F2061" w:rsidRPr="007F2061" w:rsidRDefault="007F2061" w:rsidP="007F2061">
      <w:pPr>
        <w:spacing w:line="360" w:lineRule="auto"/>
        <w:ind w:left="297" w:hangingChars="135" w:hanging="297"/>
        <w:rPr>
          <w:rFonts w:ascii="Calibri" w:hAnsi="Calibri" w:cs="Calibri"/>
          <w:sz w:val="22"/>
          <w:szCs w:val="24"/>
        </w:rPr>
      </w:pPr>
      <w:r w:rsidRPr="007F2061">
        <w:rPr>
          <w:rFonts w:ascii="Calibri" w:hAnsi="Calibri" w:cs="Calibri"/>
          <w:sz w:val="22"/>
          <w:szCs w:val="24"/>
        </w:rPr>
        <w:t xml:space="preserve">Ministry of Health, Labor and Welfare (2023). 2 Work System Reform in White Paper on Labor 2023 [In Japanese]. </w:t>
      </w:r>
      <w:hyperlink r:id="rId13" w:history="1">
        <w:r w:rsidRPr="00164681">
          <w:rPr>
            <w:rStyle w:val="af6"/>
            <w:rFonts w:ascii="Calibri" w:hAnsi="Calibri" w:cs="Calibri"/>
            <w:sz w:val="22"/>
            <w:szCs w:val="24"/>
          </w:rPr>
          <w:t>https://www.mhlw.go.jp/wp/hakusyo/kousei/23/dl/2-01.pdf</w:t>
        </w:r>
      </w:hyperlink>
    </w:p>
    <w:p w14:paraId="0414F3A6" w14:textId="488582F0" w:rsidR="007F2061" w:rsidRPr="007F2061" w:rsidRDefault="007F2061" w:rsidP="007F2061">
      <w:pPr>
        <w:spacing w:line="360" w:lineRule="auto"/>
        <w:ind w:left="297" w:hangingChars="135" w:hanging="297"/>
        <w:jc w:val="left"/>
        <w:rPr>
          <w:rFonts w:ascii="Calibri" w:hAnsi="Calibri" w:cs="Calibri"/>
          <w:sz w:val="22"/>
          <w:szCs w:val="24"/>
        </w:rPr>
      </w:pPr>
      <w:r w:rsidRPr="007F2061">
        <w:rPr>
          <w:rFonts w:ascii="Calibri" w:hAnsi="Calibri" w:cs="Calibri"/>
          <w:sz w:val="22"/>
          <w:szCs w:val="24"/>
        </w:rPr>
        <w:t xml:space="preserve">Rosso, B. D., Dekas, K. H., &amp; </w:t>
      </w:r>
      <w:proofErr w:type="spellStart"/>
      <w:r w:rsidRPr="007F2061">
        <w:rPr>
          <w:rFonts w:ascii="Calibri" w:hAnsi="Calibri" w:cs="Calibri"/>
          <w:sz w:val="22"/>
          <w:szCs w:val="24"/>
        </w:rPr>
        <w:t>Wrzesniewski</w:t>
      </w:r>
      <w:proofErr w:type="spellEnd"/>
      <w:r w:rsidRPr="007F2061">
        <w:rPr>
          <w:rFonts w:ascii="Calibri" w:hAnsi="Calibri" w:cs="Calibri"/>
          <w:sz w:val="22"/>
          <w:szCs w:val="24"/>
        </w:rPr>
        <w:t xml:space="preserve">, A. (2010). On the meaning of work: A theoretical integration and review. Research in Organizational Behavior, 30, 91–127. </w:t>
      </w:r>
      <w:hyperlink r:id="rId14" w:history="1">
        <w:r w:rsidRPr="00164681">
          <w:rPr>
            <w:rStyle w:val="af6"/>
            <w:rFonts w:ascii="Calibri" w:hAnsi="Calibri" w:cs="Calibri"/>
            <w:sz w:val="22"/>
            <w:szCs w:val="24"/>
          </w:rPr>
          <w:t>https://doi.org/10.1016/j.riob.2010.09.001</w:t>
        </w:r>
      </w:hyperlink>
      <w:r w:rsidRPr="007F2061">
        <w:rPr>
          <w:rFonts w:ascii="Calibri" w:hAnsi="Calibri" w:cs="Calibri"/>
          <w:sz w:val="22"/>
          <w:szCs w:val="24"/>
        </w:rPr>
        <w:t>.</w:t>
      </w:r>
    </w:p>
    <w:p w14:paraId="74AEE0C9" w14:textId="4DF7C852" w:rsidR="006C27D6" w:rsidRDefault="007F2061" w:rsidP="002F48A0">
      <w:pPr>
        <w:spacing w:line="360" w:lineRule="auto"/>
        <w:ind w:left="297" w:hangingChars="135" w:hanging="297"/>
        <w:rPr>
          <w:rFonts w:ascii="Calibri" w:hAnsi="Calibri" w:cs="Calibri"/>
          <w:sz w:val="22"/>
          <w:szCs w:val="24"/>
        </w:rPr>
      </w:pPr>
      <w:r w:rsidRPr="007F2061">
        <w:rPr>
          <w:rFonts w:ascii="Calibri" w:hAnsi="Calibri" w:cs="Calibri"/>
          <w:sz w:val="22"/>
          <w:szCs w:val="24"/>
        </w:rPr>
        <w:t xml:space="preserve">Watanabe, H.R. (2018). Labor Market Dualism and Diversification in Japan. British Journal of Industrial Relations, 56, 579–602. </w:t>
      </w:r>
      <w:hyperlink r:id="rId15" w:history="1">
        <w:r w:rsidR="006C27D6" w:rsidRPr="00891574">
          <w:rPr>
            <w:rStyle w:val="af6"/>
            <w:rFonts w:ascii="Calibri" w:hAnsi="Calibri" w:cs="Calibri"/>
            <w:sz w:val="22"/>
            <w:szCs w:val="24"/>
          </w:rPr>
          <w:t>https://doi.org/10.1111/bjir.12258</w:t>
        </w:r>
      </w:hyperlink>
      <w:r w:rsidRPr="007F2061">
        <w:rPr>
          <w:rFonts w:ascii="Calibri" w:hAnsi="Calibri" w:cs="Calibri"/>
          <w:sz w:val="22"/>
          <w:szCs w:val="24"/>
        </w:rPr>
        <w:t>.</w:t>
      </w:r>
    </w:p>
    <w:sectPr w:rsidR="006C27D6" w:rsidSect="004A5423">
      <w:footerReference w:type="default" r:id="rId16"/>
      <w:pgSz w:w="11906" w:h="16838" w:code="9"/>
      <w:pgMar w:top="1701" w:right="1531" w:bottom="1531" w:left="1531" w:header="851" w:footer="964" w:gutter="0"/>
      <w:pgNumType w:start="1"/>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12A62" w14:textId="77777777" w:rsidR="00756AE3" w:rsidRDefault="00756AE3">
      <w:r>
        <w:separator/>
      </w:r>
    </w:p>
  </w:endnote>
  <w:endnote w:type="continuationSeparator" w:id="0">
    <w:p w14:paraId="1E50EB8D" w14:textId="77777777" w:rsidR="00756AE3" w:rsidRDefault="00756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D97E7" w14:textId="1D155BC5" w:rsidR="00CA6CD2" w:rsidRDefault="00CA6CD2">
    <w:pPr>
      <w:pStyle w:val="ac"/>
      <w:jc w:val="center"/>
    </w:pPr>
  </w:p>
  <w:p w14:paraId="33C228AE" w14:textId="77777777" w:rsidR="00D16D9C" w:rsidRDefault="00D16D9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35167"/>
      <w:docPartObj>
        <w:docPartGallery w:val="Page Numbers (Bottom of Page)"/>
        <w:docPartUnique/>
      </w:docPartObj>
    </w:sdtPr>
    <w:sdtEndPr>
      <w:rPr>
        <w:rFonts w:ascii="Calibri" w:hAnsi="Calibri" w:cs="Calibri"/>
      </w:rPr>
    </w:sdtEndPr>
    <w:sdtContent>
      <w:p w14:paraId="7824406A" w14:textId="0AB3C80A" w:rsidR="00B3462C" w:rsidRPr="007F2061" w:rsidRDefault="00B3462C" w:rsidP="007F2061">
        <w:pPr>
          <w:pStyle w:val="ac"/>
          <w:jc w:val="center"/>
          <w:rPr>
            <w:rFonts w:ascii="Calibri" w:hAnsi="Calibri" w:cs="Calibri"/>
          </w:rPr>
        </w:pPr>
        <w:r w:rsidRPr="007F2061">
          <w:rPr>
            <w:rFonts w:ascii="Calibri" w:hAnsi="Calibri" w:cs="Calibri"/>
          </w:rPr>
          <w:fldChar w:fldCharType="begin"/>
        </w:r>
        <w:r w:rsidRPr="007F2061">
          <w:rPr>
            <w:rFonts w:ascii="Calibri" w:hAnsi="Calibri" w:cs="Calibri"/>
          </w:rPr>
          <w:instrText>PAGE   \* MERGEFORMAT</w:instrText>
        </w:r>
        <w:r w:rsidRPr="007F2061">
          <w:rPr>
            <w:rFonts w:ascii="Calibri" w:hAnsi="Calibri" w:cs="Calibri"/>
          </w:rPr>
          <w:fldChar w:fldCharType="separate"/>
        </w:r>
        <w:r w:rsidRPr="007F2061">
          <w:rPr>
            <w:rFonts w:ascii="Calibri" w:hAnsi="Calibri" w:cs="Calibri"/>
            <w:lang w:val="ja-JP"/>
          </w:rPr>
          <w:t>2</w:t>
        </w:r>
        <w:r w:rsidRPr="007F2061">
          <w:rPr>
            <w:rFonts w:ascii="Calibri" w:hAnsi="Calibri" w:cs="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22112" w14:textId="77777777" w:rsidR="00756AE3" w:rsidRDefault="00756AE3">
      <w:r>
        <w:separator/>
      </w:r>
    </w:p>
  </w:footnote>
  <w:footnote w:type="continuationSeparator" w:id="0">
    <w:p w14:paraId="269F2516" w14:textId="77777777" w:rsidR="00756AE3" w:rsidRDefault="00756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17BD5"/>
    <w:multiLevelType w:val="hybridMultilevel"/>
    <w:tmpl w:val="CB343856"/>
    <w:lvl w:ilvl="0" w:tplc="29889378">
      <w:start w:val="1"/>
      <w:numFmt w:val="bullet"/>
      <w:lvlText w:val="•"/>
      <w:lvlJc w:val="left"/>
      <w:pPr>
        <w:tabs>
          <w:tab w:val="num" w:pos="720"/>
        </w:tabs>
        <w:ind w:left="720" w:hanging="360"/>
      </w:pPr>
      <w:rPr>
        <w:rFonts w:ascii="Arial" w:hAnsi="Arial" w:hint="default"/>
      </w:rPr>
    </w:lvl>
    <w:lvl w:ilvl="1" w:tplc="0BB22AB0">
      <w:start w:val="1"/>
      <w:numFmt w:val="bullet"/>
      <w:lvlText w:val="•"/>
      <w:lvlJc w:val="left"/>
      <w:pPr>
        <w:tabs>
          <w:tab w:val="num" w:pos="1440"/>
        </w:tabs>
        <w:ind w:left="1440" w:hanging="360"/>
      </w:pPr>
      <w:rPr>
        <w:rFonts w:ascii="Arial" w:hAnsi="Arial" w:hint="default"/>
      </w:rPr>
    </w:lvl>
    <w:lvl w:ilvl="2" w:tplc="2A3A5EC6" w:tentative="1">
      <w:start w:val="1"/>
      <w:numFmt w:val="bullet"/>
      <w:lvlText w:val="•"/>
      <w:lvlJc w:val="left"/>
      <w:pPr>
        <w:tabs>
          <w:tab w:val="num" w:pos="2160"/>
        </w:tabs>
        <w:ind w:left="2160" w:hanging="360"/>
      </w:pPr>
      <w:rPr>
        <w:rFonts w:ascii="Arial" w:hAnsi="Arial" w:hint="default"/>
      </w:rPr>
    </w:lvl>
    <w:lvl w:ilvl="3" w:tplc="29809106" w:tentative="1">
      <w:start w:val="1"/>
      <w:numFmt w:val="bullet"/>
      <w:lvlText w:val="•"/>
      <w:lvlJc w:val="left"/>
      <w:pPr>
        <w:tabs>
          <w:tab w:val="num" w:pos="2880"/>
        </w:tabs>
        <w:ind w:left="2880" w:hanging="360"/>
      </w:pPr>
      <w:rPr>
        <w:rFonts w:ascii="Arial" w:hAnsi="Arial" w:hint="default"/>
      </w:rPr>
    </w:lvl>
    <w:lvl w:ilvl="4" w:tplc="1D129C1E" w:tentative="1">
      <w:start w:val="1"/>
      <w:numFmt w:val="bullet"/>
      <w:lvlText w:val="•"/>
      <w:lvlJc w:val="left"/>
      <w:pPr>
        <w:tabs>
          <w:tab w:val="num" w:pos="3600"/>
        </w:tabs>
        <w:ind w:left="3600" w:hanging="360"/>
      </w:pPr>
      <w:rPr>
        <w:rFonts w:ascii="Arial" w:hAnsi="Arial" w:hint="default"/>
      </w:rPr>
    </w:lvl>
    <w:lvl w:ilvl="5" w:tplc="C922D2B2" w:tentative="1">
      <w:start w:val="1"/>
      <w:numFmt w:val="bullet"/>
      <w:lvlText w:val="•"/>
      <w:lvlJc w:val="left"/>
      <w:pPr>
        <w:tabs>
          <w:tab w:val="num" w:pos="4320"/>
        </w:tabs>
        <w:ind w:left="4320" w:hanging="360"/>
      </w:pPr>
      <w:rPr>
        <w:rFonts w:ascii="Arial" w:hAnsi="Arial" w:hint="default"/>
      </w:rPr>
    </w:lvl>
    <w:lvl w:ilvl="6" w:tplc="AFDCFACA" w:tentative="1">
      <w:start w:val="1"/>
      <w:numFmt w:val="bullet"/>
      <w:lvlText w:val="•"/>
      <w:lvlJc w:val="left"/>
      <w:pPr>
        <w:tabs>
          <w:tab w:val="num" w:pos="5040"/>
        </w:tabs>
        <w:ind w:left="5040" w:hanging="360"/>
      </w:pPr>
      <w:rPr>
        <w:rFonts w:ascii="Arial" w:hAnsi="Arial" w:hint="default"/>
      </w:rPr>
    </w:lvl>
    <w:lvl w:ilvl="7" w:tplc="C924E8CE" w:tentative="1">
      <w:start w:val="1"/>
      <w:numFmt w:val="bullet"/>
      <w:lvlText w:val="•"/>
      <w:lvlJc w:val="left"/>
      <w:pPr>
        <w:tabs>
          <w:tab w:val="num" w:pos="5760"/>
        </w:tabs>
        <w:ind w:left="5760" w:hanging="360"/>
      </w:pPr>
      <w:rPr>
        <w:rFonts w:ascii="Arial" w:hAnsi="Arial" w:hint="default"/>
      </w:rPr>
    </w:lvl>
    <w:lvl w:ilvl="8" w:tplc="B71C54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F6E28B8"/>
    <w:multiLevelType w:val="hybridMultilevel"/>
    <w:tmpl w:val="DE3420D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38271721">
    <w:abstractNumId w:val="0"/>
  </w:num>
  <w:num w:numId="2" w16cid:durableId="208001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CC"/>
    <w:rsid w:val="0000178A"/>
    <w:rsid w:val="00001B3A"/>
    <w:rsid w:val="0000364A"/>
    <w:rsid w:val="00004119"/>
    <w:rsid w:val="00010710"/>
    <w:rsid w:val="00010FD8"/>
    <w:rsid w:val="0001120D"/>
    <w:rsid w:val="000114BB"/>
    <w:rsid w:val="00031CAF"/>
    <w:rsid w:val="000333E4"/>
    <w:rsid w:val="00034E40"/>
    <w:rsid w:val="00035756"/>
    <w:rsid w:val="0004036A"/>
    <w:rsid w:val="0004127B"/>
    <w:rsid w:val="0004194B"/>
    <w:rsid w:val="00042218"/>
    <w:rsid w:val="0004258F"/>
    <w:rsid w:val="00043530"/>
    <w:rsid w:val="0005279D"/>
    <w:rsid w:val="000533EE"/>
    <w:rsid w:val="00055DF2"/>
    <w:rsid w:val="0006142A"/>
    <w:rsid w:val="00065353"/>
    <w:rsid w:val="00070474"/>
    <w:rsid w:val="0007168C"/>
    <w:rsid w:val="000739AF"/>
    <w:rsid w:val="00075FA5"/>
    <w:rsid w:val="00084722"/>
    <w:rsid w:val="00097BD3"/>
    <w:rsid w:val="000A00F7"/>
    <w:rsid w:val="000B3A60"/>
    <w:rsid w:val="000C3EAB"/>
    <w:rsid w:val="000D1299"/>
    <w:rsid w:val="000D28E3"/>
    <w:rsid w:val="000D5276"/>
    <w:rsid w:val="000D7518"/>
    <w:rsid w:val="000D7FF5"/>
    <w:rsid w:val="000E1DBF"/>
    <w:rsid w:val="000E312E"/>
    <w:rsid w:val="000F00F8"/>
    <w:rsid w:val="000F293C"/>
    <w:rsid w:val="000F4F4F"/>
    <w:rsid w:val="001034BA"/>
    <w:rsid w:val="001049FF"/>
    <w:rsid w:val="00104EE5"/>
    <w:rsid w:val="00110CC2"/>
    <w:rsid w:val="00113CE6"/>
    <w:rsid w:val="00116E1B"/>
    <w:rsid w:val="001275EA"/>
    <w:rsid w:val="0013216E"/>
    <w:rsid w:val="00134DAC"/>
    <w:rsid w:val="00140ECF"/>
    <w:rsid w:val="001429C8"/>
    <w:rsid w:val="00146745"/>
    <w:rsid w:val="00147A08"/>
    <w:rsid w:val="0015185A"/>
    <w:rsid w:val="0015510E"/>
    <w:rsid w:val="00155488"/>
    <w:rsid w:val="00157DED"/>
    <w:rsid w:val="00162F99"/>
    <w:rsid w:val="00164681"/>
    <w:rsid w:val="00171346"/>
    <w:rsid w:val="0017292B"/>
    <w:rsid w:val="001751F0"/>
    <w:rsid w:val="001756BF"/>
    <w:rsid w:val="0017774D"/>
    <w:rsid w:val="001832FB"/>
    <w:rsid w:val="00190BE4"/>
    <w:rsid w:val="0019160A"/>
    <w:rsid w:val="001A2A6B"/>
    <w:rsid w:val="001A34AD"/>
    <w:rsid w:val="001A7C99"/>
    <w:rsid w:val="001B1977"/>
    <w:rsid w:val="001B45DF"/>
    <w:rsid w:val="001B4FD4"/>
    <w:rsid w:val="001B51E0"/>
    <w:rsid w:val="001D035B"/>
    <w:rsid w:val="001D0590"/>
    <w:rsid w:val="001D3E4C"/>
    <w:rsid w:val="001D4B0F"/>
    <w:rsid w:val="001D6D74"/>
    <w:rsid w:val="001D78BE"/>
    <w:rsid w:val="001E2372"/>
    <w:rsid w:val="001E36DF"/>
    <w:rsid w:val="001E371F"/>
    <w:rsid w:val="001F1019"/>
    <w:rsid w:val="001F3545"/>
    <w:rsid w:val="001F3BBA"/>
    <w:rsid w:val="001F6012"/>
    <w:rsid w:val="002040F1"/>
    <w:rsid w:val="00205D4D"/>
    <w:rsid w:val="002063B7"/>
    <w:rsid w:val="0021321C"/>
    <w:rsid w:val="002156E5"/>
    <w:rsid w:val="002160E9"/>
    <w:rsid w:val="00216F43"/>
    <w:rsid w:val="0021770B"/>
    <w:rsid w:val="002218EA"/>
    <w:rsid w:val="0022600B"/>
    <w:rsid w:val="002314B6"/>
    <w:rsid w:val="00244C79"/>
    <w:rsid w:val="00252AC4"/>
    <w:rsid w:val="00254F79"/>
    <w:rsid w:val="00266567"/>
    <w:rsid w:val="00270827"/>
    <w:rsid w:val="00274644"/>
    <w:rsid w:val="00280B2E"/>
    <w:rsid w:val="00282BA2"/>
    <w:rsid w:val="00292C5A"/>
    <w:rsid w:val="002A18BF"/>
    <w:rsid w:val="002A643F"/>
    <w:rsid w:val="002C2073"/>
    <w:rsid w:val="002C2559"/>
    <w:rsid w:val="002C44D1"/>
    <w:rsid w:val="002D1CBF"/>
    <w:rsid w:val="002D48C6"/>
    <w:rsid w:val="002E074A"/>
    <w:rsid w:val="002E4612"/>
    <w:rsid w:val="002E4F97"/>
    <w:rsid w:val="002E7F53"/>
    <w:rsid w:val="002F4770"/>
    <w:rsid w:val="002F48A0"/>
    <w:rsid w:val="002F48D2"/>
    <w:rsid w:val="002F63A1"/>
    <w:rsid w:val="00306198"/>
    <w:rsid w:val="00310C8B"/>
    <w:rsid w:val="00311AD9"/>
    <w:rsid w:val="00313E1B"/>
    <w:rsid w:val="00314FF8"/>
    <w:rsid w:val="00315D19"/>
    <w:rsid w:val="0032027F"/>
    <w:rsid w:val="003308B3"/>
    <w:rsid w:val="003429A9"/>
    <w:rsid w:val="0036070F"/>
    <w:rsid w:val="00360785"/>
    <w:rsid w:val="0036086D"/>
    <w:rsid w:val="00362135"/>
    <w:rsid w:val="00363D48"/>
    <w:rsid w:val="00364CA1"/>
    <w:rsid w:val="00367CAD"/>
    <w:rsid w:val="00373BB0"/>
    <w:rsid w:val="00375298"/>
    <w:rsid w:val="00383555"/>
    <w:rsid w:val="003954CC"/>
    <w:rsid w:val="00395DD0"/>
    <w:rsid w:val="003A2FA2"/>
    <w:rsid w:val="003A3D52"/>
    <w:rsid w:val="003A5E85"/>
    <w:rsid w:val="003A70B3"/>
    <w:rsid w:val="003C2818"/>
    <w:rsid w:val="003C47CC"/>
    <w:rsid w:val="003C5F91"/>
    <w:rsid w:val="003C7801"/>
    <w:rsid w:val="003D404A"/>
    <w:rsid w:val="003E11EC"/>
    <w:rsid w:val="003E4659"/>
    <w:rsid w:val="003E49D1"/>
    <w:rsid w:val="00400E3E"/>
    <w:rsid w:val="0040254C"/>
    <w:rsid w:val="00414159"/>
    <w:rsid w:val="00415CCA"/>
    <w:rsid w:val="00417A8F"/>
    <w:rsid w:val="004208DF"/>
    <w:rsid w:val="0042196E"/>
    <w:rsid w:val="00422D7E"/>
    <w:rsid w:val="00431924"/>
    <w:rsid w:val="00442073"/>
    <w:rsid w:val="00442BD4"/>
    <w:rsid w:val="00446A17"/>
    <w:rsid w:val="004524E9"/>
    <w:rsid w:val="00453610"/>
    <w:rsid w:val="00456188"/>
    <w:rsid w:val="004569FE"/>
    <w:rsid w:val="00465D09"/>
    <w:rsid w:val="00471B13"/>
    <w:rsid w:val="00472104"/>
    <w:rsid w:val="00481704"/>
    <w:rsid w:val="00482E51"/>
    <w:rsid w:val="00485473"/>
    <w:rsid w:val="004879FA"/>
    <w:rsid w:val="00490506"/>
    <w:rsid w:val="004979D2"/>
    <w:rsid w:val="004A0793"/>
    <w:rsid w:val="004A5423"/>
    <w:rsid w:val="004A64B0"/>
    <w:rsid w:val="004A6B4D"/>
    <w:rsid w:val="004A7DEF"/>
    <w:rsid w:val="004B03F9"/>
    <w:rsid w:val="004B14C1"/>
    <w:rsid w:val="004B1DA4"/>
    <w:rsid w:val="004B61DF"/>
    <w:rsid w:val="004B6FC0"/>
    <w:rsid w:val="004C3F71"/>
    <w:rsid w:val="004D0E68"/>
    <w:rsid w:val="004E0155"/>
    <w:rsid w:val="004E1D67"/>
    <w:rsid w:val="004E2B5F"/>
    <w:rsid w:val="005062B8"/>
    <w:rsid w:val="00515E38"/>
    <w:rsid w:val="00520EC7"/>
    <w:rsid w:val="0052314B"/>
    <w:rsid w:val="00525A54"/>
    <w:rsid w:val="00530916"/>
    <w:rsid w:val="00543727"/>
    <w:rsid w:val="00554D60"/>
    <w:rsid w:val="00565B30"/>
    <w:rsid w:val="005736E3"/>
    <w:rsid w:val="00576F40"/>
    <w:rsid w:val="00584339"/>
    <w:rsid w:val="00587604"/>
    <w:rsid w:val="00587C76"/>
    <w:rsid w:val="0059517D"/>
    <w:rsid w:val="005A2083"/>
    <w:rsid w:val="005A40EE"/>
    <w:rsid w:val="005B3999"/>
    <w:rsid w:val="005B4229"/>
    <w:rsid w:val="005D0B21"/>
    <w:rsid w:val="005D1083"/>
    <w:rsid w:val="005D5B5C"/>
    <w:rsid w:val="005E17D2"/>
    <w:rsid w:val="005E58C8"/>
    <w:rsid w:val="005E6F41"/>
    <w:rsid w:val="005F75A4"/>
    <w:rsid w:val="00603793"/>
    <w:rsid w:val="006044DF"/>
    <w:rsid w:val="00605A64"/>
    <w:rsid w:val="00607644"/>
    <w:rsid w:val="0061162F"/>
    <w:rsid w:val="006170B4"/>
    <w:rsid w:val="00621E27"/>
    <w:rsid w:val="006226F2"/>
    <w:rsid w:val="006229DB"/>
    <w:rsid w:val="00622D8B"/>
    <w:rsid w:val="00625641"/>
    <w:rsid w:val="00630D5C"/>
    <w:rsid w:val="0063289F"/>
    <w:rsid w:val="006336FF"/>
    <w:rsid w:val="00635F7C"/>
    <w:rsid w:val="00636E4A"/>
    <w:rsid w:val="0064101A"/>
    <w:rsid w:val="00645033"/>
    <w:rsid w:val="0064532F"/>
    <w:rsid w:val="006454A2"/>
    <w:rsid w:val="00647932"/>
    <w:rsid w:val="00654791"/>
    <w:rsid w:val="006640D7"/>
    <w:rsid w:val="00666E13"/>
    <w:rsid w:val="00673C4B"/>
    <w:rsid w:val="00680C42"/>
    <w:rsid w:val="00683EB4"/>
    <w:rsid w:val="00690AEE"/>
    <w:rsid w:val="006A3012"/>
    <w:rsid w:val="006A54A6"/>
    <w:rsid w:val="006A67AE"/>
    <w:rsid w:val="006A774A"/>
    <w:rsid w:val="006B59C8"/>
    <w:rsid w:val="006C27D6"/>
    <w:rsid w:val="006C29CA"/>
    <w:rsid w:val="006C7D11"/>
    <w:rsid w:val="006D34D3"/>
    <w:rsid w:val="006D5EF3"/>
    <w:rsid w:val="006D63CC"/>
    <w:rsid w:val="006E4037"/>
    <w:rsid w:val="006E7CE0"/>
    <w:rsid w:val="006E7D98"/>
    <w:rsid w:val="006F1B1B"/>
    <w:rsid w:val="006F777F"/>
    <w:rsid w:val="007010DD"/>
    <w:rsid w:val="00702ABB"/>
    <w:rsid w:val="007030A1"/>
    <w:rsid w:val="00705427"/>
    <w:rsid w:val="00712A42"/>
    <w:rsid w:val="00714E69"/>
    <w:rsid w:val="00720A5A"/>
    <w:rsid w:val="0072300B"/>
    <w:rsid w:val="00723CFA"/>
    <w:rsid w:val="00726C4C"/>
    <w:rsid w:val="0073141F"/>
    <w:rsid w:val="0073343C"/>
    <w:rsid w:val="0073426A"/>
    <w:rsid w:val="00737619"/>
    <w:rsid w:val="00741304"/>
    <w:rsid w:val="00741FF1"/>
    <w:rsid w:val="00744BD1"/>
    <w:rsid w:val="00747BA8"/>
    <w:rsid w:val="007500E3"/>
    <w:rsid w:val="00753AE8"/>
    <w:rsid w:val="00754919"/>
    <w:rsid w:val="00756AE3"/>
    <w:rsid w:val="00761752"/>
    <w:rsid w:val="007728A5"/>
    <w:rsid w:val="00772FC6"/>
    <w:rsid w:val="00776468"/>
    <w:rsid w:val="00782F68"/>
    <w:rsid w:val="00783582"/>
    <w:rsid w:val="007A2B21"/>
    <w:rsid w:val="007C0457"/>
    <w:rsid w:val="007C4A7F"/>
    <w:rsid w:val="007C6353"/>
    <w:rsid w:val="007D0D8F"/>
    <w:rsid w:val="007E3AB1"/>
    <w:rsid w:val="007E3FE4"/>
    <w:rsid w:val="007F1688"/>
    <w:rsid w:val="007F2061"/>
    <w:rsid w:val="00802466"/>
    <w:rsid w:val="00807E3B"/>
    <w:rsid w:val="00811A17"/>
    <w:rsid w:val="00811D6F"/>
    <w:rsid w:val="00811EAE"/>
    <w:rsid w:val="008159B4"/>
    <w:rsid w:val="00822FFA"/>
    <w:rsid w:val="00824045"/>
    <w:rsid w:val="00824A23"/>
    <w:rsid w:val="0083709F"/>
    <w:rsid w:val="008477DA"/>
    <w:rsid w:val="00850748"/>
    <w:rsid w:val="00857AAD"/>
    <w:rsid w:val="00861200"/>
    <w:rsid w:val="0086240D"/>
    <w:rsid w:val="00866F98"/>
    <w:rsid w:val="00870ABF"/>
    <w:rsid w:val="0087329B"/>
    <w:rsid w:val="008772E2"/>
    <w:rsid w:val="00882057"/>
    <w:rsid w:val="00882B41"/>
    <w:rsid w:val="00882BA9"/>
    <w:rsid w:val="008846C3"/>
    <w:rsid w:val="00884F99"/>
    <w:rsid w:val="00890621"/>
    <w:rsid w:val="008908CB"/>
    <w:rsid w:val="00890F44"/>
    <w:rsid w:val="00896826"/>
    <w:rsid w:val="00897F69"/>
    <w:rsid w:val="008A2F22"/>
    <w:rsid w:val="008A663C"/>
    <w:rsid w:val="008A6ABC"/>
    <w:rsid w:val="008B2AEE"/>
    <w:rsid w:val="008B5FEE"/>
    <w:rsid w:val="008B67A0"/>
    <w:rsid w:val="008C2623"/>
    <w:rsid w:val="008C2E67"/>
    <w:rsid w:val="008C47C9"/>
    <w:rsid w:val="008C6602"/>
    <w:rsid w:val="008D04AE"/>
    <w:rsid w:val="008D6F47"/>
    <w:rsid w:val="008E01D2"/>
    <w:rsid w:val="008E337A"/>
    <w:rsid w:val="008E45DF"/>
    <w:rsid w:val="008E6973"/>
    <w:rsid w:val="008F14A2"/>
    <w:rsid w:val="0090602E"/>
    <w:rsid w:val="009100A4"/>
    <w:rsid w:val="00912595"/>
    <w:rsid w:val="00913EDF"/>
    <w:rsid w:val="009314FB"/>
    <w:rsid w:val="009338A2"/>
    <w:rsid w:val="00943A1D"/>
    <w:rsid w:val="00945C7C"/>
    <w:rsid w:val="0095046C"/>
    <w:rsid w:val="009527FB"/>
    <w:rsid w:val="00955EBA"/>
    <w:rsid w:val="00961736"/>
    <w:rsid w:val="00961DEA"/>
    <w:rsid w:val="0096464A"/>
    <w:rsid w:val="00973CB2"/>
    <w:rsid w:val="00982624"/>
    <w:rsid w:val="0098487B"/>
    <w:rsid w:val="00991BD3"/>
    <w:rsid w:val="0099210A"/>
    <w:rsid w:val="009953EE"/>
    <w:rsid w:val="00996AC6"/>
    <w:rsid w:val="00997246"/>
    <w:rsid w:val="009C1788"/>
    <w:rsid w:val="009C5516"/>
    <w:rsid w:val="009D31DA"/>
    <w:rsid w:val="009E7B05"/>
    <w:rsid w:val="00A0583F"/>
    <w:rsid w:val="00A13956"/>
    <w:rsid w:val="00A1664D"/>
    <w:rsid w:val="00A22B3B"/>
    <w:rsid w:val="00A31FCE"/>
    <w:rsid w:val="00A34191"/>
    <w:rsid w:val="00A42330"/>
    <w:rsid w:val="00A42DE5"/>
    <w:rsid w:val="00A44F9A"/>
    <w:rsid w:val="00A45F5B"/>
    <w:rsid w:val="00A46E1D"/>
    <w:rsid w:val="00A511A0"/>
    <w:rsid w:val="00A62574"/>
    <w:rsid w:val="00A65092"/>
    <w:rsid w:val="00A659BA"/>
    <w:rsid w:val="00A70D3C"/>
    <w:rsid w:val="00A719D0"/>
    <w:rsid w:val="00A73A87"/>
    <w:rsid w:val="00A82F72"/>
    <w:rsid w:val="00A83149"/>
    <w:rsid w:val="00A935BD"/>
    <w:rsid w:val="00AA0691"/>
    <w:rsid w:val="00AA2823"/>
    <w:rsid w:val="00AA4749"/>
    <w:rsid w:val="00AA6CFB"/>
    <w:rsid w:val="00AC67EC"/>
    <w:rsid w:val="00AD1040"/>
    <w:rsid w:val="00AD1B1F"/>
    <w:rsid w:val="00AD7972"/>
    <w:rsid w:val="00AE0298"/>
    <w:rsid w:val="00AE3A10"/>
    <w:rsid w:val="00AF2371"/>
    <w:rsid w:val="00AF2F61"/>
    <w:rsid w:val="00B02B3F"/>
    <w:rsid w:val="00B13A2D"/>
    <w:rsid w:val="00B17149"/>
    <w:rsid w:val="00B1737C"/>
    <w:rsid w:val="00B2326E"/>
    <w:rsid w:val="00B27986"/>
    <w:rsid w:val="00B316AD"/>
    <w:rsid w:val="00B327E1"/>
    <w:rsid w:val="00B3462C"/>
    <w:rsid w:val="00B374D9"/>
    <w:rsid w:val="00B3775E"/>
    <w:rsid w:val="00B53250"/>
    <w:rsid w:val="00B57DCD"/>
    <w:rsid w:val="00B65BE3"/>
    <w:rsid w:val="00B65EC9"/>
    <w:rsid w:val="00B661C3"/>
    <w:rsid w:val="00B67D73"/>
    <w:rsid w:val="00B70189"/>
    <w:rsid w:val="00B752DD"/>
    <w:rsid w:val="00B75B9B"/>
    <w:rsid w:val="00B775D0"/>
    <w:rsid w:val="00B8040D"/>
    <w:rsid w:val="00B811FC"/>
    <w:rsid w:val="00B84E57"/>
    <w:rsid w:val="00B850A1"/>
    <w:rsid w:val="00B87A91"/>
    <w:rsid w:val="00B949D3"/>
    <w:rsid w:val="00BA0BDB"/>
    <w:rsid w:val="00BA590F"/>
    <w:rsid w:val="00BB19B7"/>
    <w:rsid w:val="00BC0178"/>
    <w:rsid w:val="00BC0880"/>
    <w:rsid w:val="00BC09EC"/>
    <w:rsid w:val="00BC13AA"/>
    <w:rsid w:val="00BC1839"/>
    <w:rsid w:val="00BC41C9"/>
    <w:rsid w:val="00BC4797"/>
    <w:rsid w:val="00BC5A7F"/>
    <w:rsid w:val="00BC691E"/>
    <w:rsid w:val="00BC7FC3"/>
    <w:rsid w:val="00BD106B"/>
    <w:rsid w:val="00BD109E"/>
    <w:rsid w:val="00BD13D2"/>
    <w:rsid w:val="00BD4DA7"/>
    <w:rsid w:val="00BD78D2"/>
    <w:rsid w:val="00BF7202"/>
    <w:rsid w:val="00BF7A35"/>
    <w:rsid w:val="00C04458"/>
    <w:rsid w:val="00C04E9D"/>
    <w:rsid w:val="00C0722F"/>
    <w:rsid w:val="00C07FF4"/>
    <w:rsid w:val="00C22A5B"/>
    <w:rsid w:val="00C23439"/>
    <w:rsid w:val="00C27FAD"/>
    <w:rsid w:val="00C33083"/>
    <w:rsid w:val="00C40220"/>
    <w:rsid w:val="00C60BB8"/>
    <w:rsid w:val="00C66935"/>
    <w:rsid w:val="00C67607"/>
    <w:rsid w:val="00C81FBD"/>
    <w:rsid w:val="00C83883"/>
    <w:rsid w:val="00C84F6F"/>
    <w:rsid w:val="00C90287"/>
    <w:rsid w:val="00C95AC3"/>
    <w:rsid w:val="00C95D12"/>
    <w:rsid w:val="00C9732B"/>
    <w:rsid w:val="00CA5FFA"/>
    <w:rsid w:val="00CA6CD2"/>
    <w:rsid w:val="00CB09E4"/>
    <w:rsid w:val="00CB7BE2"/>
    <w:rsid w:val="00CC5CB3"/>
    <w:rsid w:val="00CD09A3"/>
    <w:rsid w:val="00CD1CE2"/>
    <w:rsid w:val="00CE16CE"/>
    <w:rsid w:val="00CF3FE4"/>
    <w:rsid w:val="00CF7495"/>
    <w:rsid w:val="00D0468E"/>
    <w:rsid w:val="00D05AFC"/>
    <w:rsid w:val="00D11CAD"/>
    <w:rsid w:val="00D16D71"/>
    <w:rsid w:val="00D16D9C"/>
    <w:rsid w:val="00D24C5F"/>
    <w:rsid w:val="00D36690"/>
    <w:rsid w:val="00D36FDE"/>
    <w:rsid w:val="00D40003"/>
    <w:rsid w:val="00D40B5C"/>
    <w:rsid w:val="00D45C5F"/>
    <w:rsid w:val="00D46FB0"/>
    <w:rsid w:val="00D55499"/>
    <w:rsid w:val="00D60FA2"/>
    <w:rsid w:val="00D65E9B"/>
    <w:rsid w:val="00D70213"/>
    <w:rsid w:val="00D70E8C"/>
    <w:rsid w:val="00D70E9D"/>
    <w:rsid w:val="00D72783"/>
    <w:rsid w:val="00D77E8E"/>
    <w:rsid w:val="00D81838"/>
    <w:rsid w:val="00D87E9F"/>
    <w:rsid w:val="00D91529"/>
    <w:rsid w:val="00DA2F4B"/>
    <w:rsid w:val="00DA54BA"/>
    <w:rsid w:val="00DA5C15"/>
    <w:rsid w:val="00DA6391"/>
    <w:rsid w:val="00DB374D"/>
    <w:rsid w:val="00DC285E"/>
    <w:rsid w:val="00DD1BA6"/>
    <w:rsid w:val="00DD3057"/>
    <w:rsid w:val="00DD3DA2"/>
    <w:rsid w:val="00DD56EE"/>
    <w:rsid w:val="00DD66C9"/>
    <w:rsid w:val="00DD6760"/>
    <w:rsid w:val="00DD7C8F"/>
    <w:rsid w:val="00DE04B3"/>
    <w:rsid w:val="00DE0DFD"/>
    <w:rsid w:val="00DE5B80"/>
    <w:rsid w:val="00DF346B"/>
    <w:rsid w:val="00DF46C3"/>
    <w:rsid w:val="00DF517A"/>
    <w:rsid w:val="00DF7686"/>
    <w:rsid w:val="00E04C2C"/>
    <w:rsid w:val="00E06634"/>
    <w:rsid w:val="00E1311D"/>
    <w:rsid w:val="00E137C3"/>
    <w:rsid w:val="00E16C67"/>
    <w:rsid w:val="00E213F9"/>
    <w:rsid w:val="00E262E9"/>
    <w:rsid w:val="00E323D2"/>
    <w:rsid w:val="00E33663"/>
    <w:rsid w:val="00E3474C"/>
    <w:rsid w:val="00E47675"/>
    <w:rsid w:val="00E4770C"/>
    <w:rsid w:val="00E50988"/>
    <w:rsid w:val="00E51000"/>
    <w:rsid w:val="00E516F0"/>
    <w:rsid w:val="00E522B1"/>
    <w:rsid w:val="00E52C23"/>
    <w:rsid w:val="00E53F2D"/>
    <w:rsid w:val="00E5748F"/>
    <w:rsid w:val="00E65294"/>
    <w:rsid w:val="00E7103F"/>
    <w:rsid w:val="00E73F18"/>
    <w:rsid w:val="00E8213C"/>
    <w:rsid w:val="00E83F08"/>
    <w:rsid w:val="00E83F3F"/>
    <w:rsid w:val="00E85153"/>
    <w:rsid w:val="00E879AB"/>
    <w:rsid w:val="00E95959"/>
    <w:rsid w:val="00EB0400"/>
    <w:rsid w:val="00EB4A66"/>
    <w:rsid w:val="00EC0373"/>
    <w:rsid w:val="00EC1A9A"/>
    <w:rsid w:val="00EC4932"/>
    <w:rsid w:val="00EC4B22"/>
    <w:rsid w:val="00EC5D71"/>
    <w:rsid w:val="00EC7C37"/>
    <w:rsid w:val="00EC7D95"/>
    <w:rsid w:val="00ED3C53"/>
    <w:rsid w:val="00ED454A"/>
    <w:rsid w:val="00EE1CCC"/>
    <w:rsid w:val="00EE59AF"/>
    <w:rsid w:val="00EF235F"/>
    <w:rsid w:val="00EF3205"/>
    <w:rsid w:val="00EF6F34"/>
    <w:rsid w:val="00F00692"/>
    <w:rsid w:val="00F029CE"/>
    <w:rsid w:val="00F04051"/>
    <w:rsid w:val="00F12DB2"/>
    <w:rsid w:val="00F25967"/>
    <w:rsid w:val="00F34E61"/>
    <w:rsid w:val="00F373D5"/>
    <w:rsid w:val="00F37DBB"/>
    <w:rsid w:val="00F40BEA"/>
    <w:rsid w:val="00F501EE"/>
    <w:rsid w:val="00F51015"/>
    <w:rsid w:val="00F51BFE"/>
    <w:rsid w:val="00F5274B"/>
    <w:rsid w:val="00F55282"/>
    <w:rsid w:val="00F57751"/>
    <w:rsid w:val="00F67819"/>
    <w:rsid w:val="00F76BF0"/>
    <w:rsid w:val="00F835ED"/>
    <w:rsid w:val="00F9216E"/>
    <w:rsid w:val="00F92F3A"/>
    <w:rsid w:val="00F97EA3"/>
    <w:rsid w:val="00FA11E9"/>
    <w:rsid w:val="00FA1626"/>
    <w:rsid w:val="00FB06C7"/>
    <w:rsid w:val="00FB1E94"/>
    <w:rsid w:val="00FB5310"/>
    <w:rsid w:val="00FC21F5"/>
    <w:rsid w:val="00FC2810"/>
    <w:rsid w:val="00FC3A19"/>
    <w:rsid w:val="00FC5756"/>
    <w:rsid w:val="00FC59DB"/>
    <w:rsid w:val="00FC6A84"/>
    <w:rsid w:val="00FD39F1"/>
    <w:rsid w:val="00FD505A"/>
    <w:rsid w:val="00FF7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420AF"/>
  <w15:chartTrackingRefBased/>
  <w15:docId w15:val="{68BC7DA8-9280-4AA0-9461-DEC3630F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D63C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D63C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D63C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D63C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D63C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D63C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D63C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D63C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D63C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D63C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D63C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D63C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D63C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D63C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D63C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D63C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D63C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D63C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D63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D63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63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D63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63CC"/>
    <w:pPr>
      <w:spacing w:before="160" w:after="160"/>
      <w:jc w:val="center"/>
    </w:pPr>
    <w:rPr>
      <w:i/>
      <w:iCs/>
      <w:color w:val="404040" w:themeColor="text1" w:themeTint="BF"/>
    </w:rPr>
  </w:style>
  <w:style w:type="character" w:customStyle="1" w:styleId="a8">
    <w:name w:val="引用文 (文字)"/>
    <w:basedOn w:val="a0"/>
    <w:link w:val="a7"/>
    <w:uiPriority w:val="29"/>
    <w:rsid w:val="006D63CC"/>
    <w:rPr>
      <w:i/>
      <w:iCs/>
      <w:color w:val="404040" w:themeColor="text1" w:themeTint="BF"/>
    </w:rPr>
  </w:style>
  <w:style w:type="paragraph" w:styleId="a9">
    <w:name w:val="List Paragraph"/>
    <w:basedOn w:val="a"/>
    <w:uiPriority w:val="34"/>
    <w:qFormat/>
    <w:rsid w:val="006D63CC"/>
    <w:pPr>
      <w:ind w:left="720"/>
      <w:contextualSpacing/>
    </w:pPr>
  </w:style>
  <w:style w:type="character" w:styleId="21">
    <w:name w:val="Intense Emphasis"/>
    <w:basedOn w:val="a0"/>
    <w:uiPriority w:val="21"/>
    <w:qFormat/>
    <w:rsid w:val="006D63CC"/>
    <w:rPr>
      <w:i/>
      <w:iCs/>
      <w:color w:val="0F4761" w:themeColor="accent1" w:themeShade="BF"/>
    </w:rPr>
  </w:style>
  <w:style w:type="paragraph" w:styleId="22">
    <w:name w:val="Intense Quote"/>
    <w:basedOn w:val="a"/>
    <w:next w:val="a"/>
    <w:link w:val="23"/>
    <w:uiPriority w:val="30"/>
    <w:qFormat/>
    <w:rsid w:val="006D6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D63CC"/>
    <w:rPr>
      <w:i/>
      <w:iCs/>
      <w:color w:val="0F4761" w:themeColor="accent1" w:themeShade="BF"/>
    </w:rPr>
  </w:style>
  <w:style w:type="character" w:styleId="24">
    <w:name w:val="Intense Reference"/>
    <w:basedOn w:val="a0"/>
    <w:uiPriority w:val="32"/>
    <w:qFormat/>
    <w:rsid w:val="006D63CC"/>
    <w:rPr>
      <w:b/>
      <w:bCs/>
      <w:smallCaps/>
      <w:color w:val="0F4761" w:themeColor="accent1" w:themeShade="BF"/>
      <w:spacing w:val="5"/>
    </w:rPr>
  </w:style>
  <w:style w:type="paragraph" w:styleId="aa">
    <w:name w:val="header"/>
    <w:basedOn w:val="a"/>
    <w:link w:val="ab"/>
    <w:uiPriority w:val="99"/>
    <w:unhideWhenUsed/>
    <w:rsid w:val="003C5F91"/>
    <w:pPr>
      <w:tabs>
        <w:tab w:val="center" w:pos="4252"/>
        <w:tab w:val="right" w:pos="8504"/>
      </w:tabs>
      <w:snapToGrid w:val="0"/>
    </w:pPr>
  </w:style>
  <w:style w:type="character" w:customStyle="1" w:styleId="ab">
    <w:name w:val="ヘッダー (文字)"/>
    <w:basedOn w:val="a0"/>
    <w:link w:val="aa"/>
    <w:uiPriority w:val="99"/>
    <w:rsid w:val="003C5F91"/>
  </w:style>
  <w:style w:type="paragraph" w:styleId="ac">
    <w:name w:val="footer"/>
    <w:basedOn w:val="a"/>
    <w:link w:val="ad"/>
    <w:uiPriority w:val="99"/>
    <w:unhideWhenUsed/>
    <w:rsid w:val="003C5F91"/>
    <w:pPr>
      <w:tabs>
        <w:tab w:val="center" w:pos="4252"/>
        <w:tab w:val="right" w:pos="8504"/>
      </w:tabs>
      <w:snapToGrid w:val="0"/>
    </w:pPr>
  </w:style>
  <w:style w:type="character" w:customStyle="1" w:styleId="ad">
    <w:name w:val="フッター (文字)"/>
    <w:basedOn w:val="a0"/>
    <w:link w:val="ac"/>
    <w:uiPriority w:val="99"/>
    <w:rsid w:val="003C5F91"/>
  </w:style>
  <w:style w:type="paragraph" w:styleId="Web">
    <w:name w:val="Normal (Web)"/>
    <w:basedOn w:val="a"/>
    <w:uiPriority w:val="99"/>
    <w:semiHidden/>
    <w:unhideWhenUsed/>
    <w:rsid w:val="00B75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annotation reference"/>
    <w:basedOn w:val="a0"/>
    <w:uiPriority w:val="99"/>
    <w:rsid w:val="000F3DF7"/>
    <w:rPr>
      <w:sz w:val="16"/>
      <w:szCs w:val="16"/>
    </w:rPr>
  </w:style>
  <w:style w:type="paragraph" w:styleId="af">
    <w:name w:val="annotation text"/>
    <w:basedOn w:val="a"/>
    <w:link w:val="af0"/>
    <w:uiPriority w:val="99"/>
    <w:unhideWhenUsed/>
    <w:rPr>
      <w:sz w:val="20"/>
      <w:szCs w:val="20"/>
    </w:rPr>
  </w:style>
  <w:style w:type="character" w:customStyle="1" w:styleId="af0">
    <w:name w:val="コメント文字列 (文字)"/>
    <w:basedOn w:val="a0"/>
    <w:link w:val="af"/>
    <w:uiPriority w:val="99"/>
    <w:rPr>
      <w:sz w:val="20"/>
      <w:szCs w:val="20"/>
    </w:rPr>
  </w:style>
  <w:style w:type="paragraph" w:styleId="af1">
    <w:name w:val="annotation subject"/>
    <w:basedOn w:val="af"/>
    <w:next w:val="af"/>
    <w:link w:val="af2"/>
    <w:uiPriority w:val="99"/>
    <w:semiHidden/>
    <w:unhideWhenUsed/>
    <w:rsid w:val="00313E1B"/>
    <w:rPr>
      <w:b/>
      <w:bCs/>
    </w:rPr>
  </w:style>
  <w:style w:type="character" w:customStyle="1" w:styleId="af2">
    <w:name w:val="コメント内容 (文字)"/>
    <w:basedOn w:val="af0"/>
    <w:link w:val="af1"/>
    <w:uiPriority w:val="99"/>
    <w:semiHidden/>
    <w:rsid w:val="00313E1B"/>
    <w:rPr>
      <w:b/>
      <w:bCs/>
      <w:sz w:val="20"/>
      <w:szCs w:val="20"/>
    </w:rPr>
  </w:style>
  <w:style w:type="paragraph" w:styleId="af3">
    <w:name w:val="Revision"/>
    <w:hidden/>
    <w:uiPriority w:val="99"/>
    <w:semiHidden/>
    <w:rsid w:val="00313E1B"/>
  </w:style>
  <w:style w:type="paragraph" w:styleId="af4">
    <w:name w:val="Balloon Text"/>
    <w:basedOn w:val="a"/>
    <w:link w:val="af5"/>
    <w:uiPriority w:val="99"/>
    <w:semiHidden/>
    <w:unhideWhenUsed/>
    <w:rsid w:val="00753AE8"/>
    <w:rPr>
      <w:rFonts w:ascii="Segoe UI" w:hAnsi="Segoe UI" w:cs="Segoe UI"/>
      <w:sz w:val="18"/>
      <w:szCs w:val="18"/>
    </w:rPr>
  </w:style>
  <w:style w:type="character" w:customStyle="1" w:styleId="af5">
    <w:name w:val="吹き出し (文字)"/>
    <w:basedOn w:val="a0"/>
    <w:link w:val="af4"/>
    <w:uiPriority w:val="99"/>
    <w:semiHidden/>
    <w:rsid w:val="00753AE8"/>
    <w:rPr>
      <w:rFonts w:ascii="Segoe UI" w:hAnsi="Segoe UI" w:cs="Segoe UI"/>
      <w:sz w:val="18"/>
      <w:szCs w:val="18"/>
    </w:rPr>
  </w:style>
  <w:style w:type="character" w:styleId="af6">
    <w:name w:val="Hyperlink"/>
    <w:basedOn w:val="a0"/>
    <w:uiPriority w:val="99"/>
    <w:unhideWhenUsed/>
    <w:rsid w:val="008A6ABC"/>
    <w:rPr>
      <w:color w:val="467886" w:themeColor="hyperlink"/>
      <w:u w:val="single"/>
    </w:rPr>
  </w:style>
  <w:style w:type="character" w:styleId="af7">
    <w:name w:val="Unresolved Mention"/>
    <w:basedOn w:val="a0"/>
    <w:uiPriority w:val="99"/>
    <w:semiHidden/>
    <w:unhideWhenUsed/>
    <w:rsid w:val="008A6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43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hlw.go.jp/wp/hakusyo/kousei/23/dl/2-01.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saki@bunkyo.ac.jp" TargetMode="External"/><Relationship Id="rId12" Type="http://schemas.openxmlformats.org/officeDocument/2006/relationships/hyperlink" Target="https://doi.org/10.1037/cou00001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46/annurev-orgpsych-031921-024847" TargetMode="External"/><Relationship Id="rId5" Type="http://schemas.openxmlformats.org/officeDocument/2006/relationships/footnotes" Target="footnotes.xml"/><Relationship Id="rId15" Type="http://schemas.openxmlformats.org/officeDocument/2006/relationships/hyperlink" Target="https://doi.org/10.1111/bjir.12258" TargetMode="External"/><Relationship Id="rId10" Type="http://schemas.openxmlformats.org/officeDocument/2006/relationships/hyperlink" Target="https://doi.org/10.1016/j.asieco.2015.06.005" TargetMode="External"/><Relationship Id="rId4" Type="http://schemas.openxmlformats.org/officeDocument/2006/relationships/webSettings" Target="webSettings.xml"/><Relationship Id="rId9" Type="http://schemas.openxmlformats.org/officeDocument/2006/relationships/hyperlink" Target="https://doi.org/10.3389/fpsyg.2016.00071" TargetMode="External"/><Relationship Id="rId14" Type="http://schemas.openxmlformats.org/officeDocument/2006/relationships/hyperlink" Target="https://doi.org/10.1016/j.riob.2010.09.001"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1127</Words>
  <Characters>6429</Characters>
  <Application>Microsoft Office Word</Application>
  <DocSecurity>0</DocSecurity>
  <Lines>53</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正木　澄江</cp:lastModifiedBy>
  <cp:revision>19</cp:revision>
  <cp:lastPrinted>2026-04-17T05:03:00Z</cp:lastPrinted>
  <dcterms:created xsi:type="dcterms:W3CDTF">2024-05-26T05:47:00Z</dcterms:created>
  <dcterms:modified xsi:type="dcterms:W3CDTF">2026-04-17T05:05:00Z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dd8cff38-606a-4da1-a344-5247f2622d3c</vt:lpwstr>
  </property>
</Properties>
</file>