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6FE14" w14:textId="77777777" w:rsidR="006670C1" w:rsidRPr="001B2B7B" w:rsidRDefault="006670C1" w:rsidP="00774D52">
      <w:pPr>
        <w:spacing w:after="0" w:line="240" w:lineRule="auto"/>
        <w:jc w:val="both"/>
        <w:rPr>
          <w:rFonts w:ascii="Calibri" w:eastAsia="Calibri" w:hAnsi="Calibri" w:cs="Calibri"/>
          <w:b/>
          <w:bCs/>
          <w:sz w:val="22"/>
          <w:szCs w:val="22"/>
        </w:rPr>
      </w:pPr>
    </w:p>
    <w:p w14:paraId="399B68E6" w14:textId="084DB3D5" w:rsidR="0021352D" w:rsidRPr="001B2B7B" w:rsidRDefault="00374F7D" w:rsidP="00774D52">
      <w:pPr>
        <w:spacing w:after="0" w:line="240" w:lineRule="auto"/>
        <w:jc w:val="both"/>
        <w:rPr>
          <w:rFonts w:ascii="Calibri" w:eastAsia="Calibri" w:hAnsi="Calibri" w:cs="Calibri"/>
          <w:b/>
          <w:sz w:val="22"/>
          <w:szCs w:val="22"/>
        </w:rPr>
      </w:pPr>
      <w:r w:rsidRPr="001B2B7B">
        <w:rPr>
          <w:rFonts w:ascii="Calibri" w:eastAsia="Calibri" w:hAnsi="Calibri" w:cs="Calibri"/>
          <w:b/>
          <w:sz w:val="22"/>
          <w:szCs w:val="22"/>
        </w:rPr>
        <w:t>Symposium proposal</w:t>
      </w:r>
    </w:p>
    <w:p w14:paraId="6746F666" w14:textId="4E4ED904" w:rsidR="00A01426" w:rsidRPr="001B2B7B" w:rsidRDefault="43F02512" w:rsidP="00774D52">
      <w:pPr>
        <w:spacing w:after="0" w:line="240" w:lineRule="auto"/>
        <w:jc w:val="both"/>
        <w:rPr>
          <w:rFonts w:ascii="Calibri" w:eastAsia="Calibri" w:hAnsi="Calibri" w:cs="Calibri"/>
          <w:sz w:val="22"/>
          <w:szCs w:val="22"/>
        </w:rPr>
      </w:pPr>
      <w:r w:rsidRPr="001B2B7B">
        <w:rPr>
          <w:rFonts w:ascii="Calibri" w:eastAsia="Calibri" w:hAnsi="Calibri" w:cs="Calibri"/>
          <w:b/>
          <w:bCs/>
          <w:sz w:val="22"/>
          <w:szCs w:val="22"/>
        </w:rPr>
        <w:t xml:space="preserve">Title: </w:t>
      </w:r>
      <w:r w:rsidR="00A756C5">
        <w:rPr>
          <w:rFonts w:ascii="Calibri" w:eastAsia="Calibri" w:hAnsi="Calibri" w:cs="Calibri"/>
          <w:sz w:val="22"/>
          <w:szCs w:val="22"/>
        </w:rPr>
        <w:t xml:space="preserve"> </w:t>
      </w:r>
      <w:r w:rsidR="007506DB" w:rsidRPr="007506DB">
        <w:rPr>
          <w:rFonts w:ascii="Calibri" w:eastAsia="Calibri" w:hAnsi="Calibri" w:cs="Calibri"/>
          <w:sz w:val="22"/>
          <w:szCs w:val="22"/>
        </w:rPr>
        <w:t>Navigating Transitions to the Future: Career and Life Courses in Guidance and Training Contexts</w:t>
      </w:r>
    </w:p>
    <w:p w14:paraId="23137C04" w14:textId="77777777" w:rsidR="008E4CE9" w:rsidRPr="001B2B7B" w:rsidRDefault="008E4CE9" w:rsidP="00774D52">
      <w:pPr>
        <w:spacing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Presentation language</w:t>
      </w:r>
      <w:r w:rsidRPr="001B2B7B">
        <w:rPr>
          <w:rFonts w:ascii="Calibri" w:eastAsia="Calibri" w:hAnsi="Calibri" w:cs="Calibri"/>
          <w:sz w:val="22"/>
          <w:szCs w:val="22"/>
        </w:rPr>
        <w:t>: French</w:t>
      </w:r>
    </w:p>
    <w:p w14:paraId="1022D35E" w14:textId="522A81F7" w:rsidR="008E4CE9" w:rsidRPr="001B2B7B" w:rsidRDefault="008E4CE9" w:rsidP="00774D52">
      <w:pPr>
        <w:spacing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Public</w:t>
      </w:r>
      <w:r w:rsidRPr="001B2B7B">
        <w:rPr>
          <w:rFonts w:ascii="Calibri" w:eastAsia="Calibri" w:hAnsi="Calibri" w:cs="Calibri"/>
          <w:sz w:val="22"/>
          <w:szCs w:val="22"/>
        </w:rPr>
        <w:t>: Researchers and practitioners</w:t>
      </w:r>
    </w:p>
    <w:p w14:paraId="5E07A4A6" w14:textId="0205A2DA" w:rsidR="005C10D2" w:rsidRPr="001B2B7B" w:rsidRDefault="005C10D2" w:rsidP="00774D52">
      <w:pPr>
        <w:spacing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 xml:space="preserve">Conference Themes: </w:t>
      </w:r>
      <w:r w:rsidR="00636923" w:rsidRPr="001B2B7B">
        <w:rPr>
          <w:rFonts w:ascii="Calibri" w:eastAsia="Calibri" w:hAnsi="Calibri" w:cs="Calibri"/>
          <w:sz w:val="22"/>
          <w:szCs w:val="22"/>
        </w:rPr>
        <w:t>career transitions and lifelong guidance; equity, diversity and inclusion in guidance services; health and well-being in guidance services</w:t>
      </w:r>
    </w:p>
    <w:p w14:paraId="66E3C903" w14:textId="356BD7EB" w:rsidR="0071788C" w:rsidRPr="00EA5B78" w:rsidRDefault="0071788C" w:rsidP="00774D52">
      <w:pPr>
        <w:spacing w:after="0" w:line="240" w:lineRule="auto"/>
        <w:jc w:val="both"/>
        <w:rPr>
          <w:rFonts w:ascii="Calibri" w:eastAsia="Calibri" w:hAnsi="Calibri" w:cs="Calibri"/>
          <w:sz w:val="22"/>
          <w:szCs w:val="22"/>
          <w:lang w:val="fr-CA"/>
        </w:rPr>
      </w:pPr>
      <w:r w:rsidRPr="000535CF">
        <w:rPr>
          <w:rFonts w:ascii="Calibri" w:eastAsia="Calibri" w:hAnsi="Calibri" w:cs="Calibri"/>
          <w:b/>
          <w:bCs/>
          <w:sz w:val="22"/>
          <w:szCs w:val="22"/>
          <w:lang w:val="fr-CA"/>
        </w:rPr>
        <w:t xml:space="preserve">Contact information/First </w:t>
      </w:r>
      <w:proofErr w:type="spellStart"/>
      <w:r w:rsidRPr="000535CF">
        <w:rPr>
          <w:rFonts w:ascii="Calibri" w:eastAsia="Calibri" w:hAnsi="Calibri" w:cs="Calibri"/>
          <w:b/>
          <w:bCs/>
          <w:sz w:val="22"/>
          <w:szCs w:val="22"/>
          <w:lang w:val="fr-CA"/>
        </w:rPr>
        <w:t>contributor</w:t>
      </w:r>
      <w:proofErr w:type="spellEnd"/>
      <w:r w:rsidRPr="000535CF">
        <w:rPr>
          <w:rFonts w:ascii="Calibri" w:eastAsia="Calibri" w:hAnsi="Calibri" w:cs="Calibri"/>
          <w:b/>
          <w:bCs/>
          <w:sz w:val="22"/>
          <w:szCs w:val="22"/>
          <w:lang w:val="fr-CA"/>
        </w:rPr>
        <w:t>:</w:t>
      </w:r>
      <w:r w:rsidR="001B2B7B" w:rsidRPr="000535CF">
        <w:rPr>
          <w:rFonts w:ascii="Calibri" w:eastAsia="Calibri" w:hAnsi="Calibri" w:cs="Calibri"/>
          <w:b/>
          <w:bCs/>
          <w:sz w:val="22"/>
          <w:szCs w:val="22"/>
          <w:lang w:val="fr-CA"/>
        </w:rPr>
        <w:t xml:space="preserve"> </w:t>
      </w:r>
      <w:r w:rsidR="002A4287" w:rsidRPr="000535CF">
        <w:rPr>
          <w:rFonts w:ascii="Calibri" w:eastAsia="Calibri" w:hAnsi="Calibri" w:cs="Calibri"/>
          <w:sz w:val="22"/>
          <w:szCs w:val="22"/>
          <w:lang w:val="fr-CA"/>
        </w:rPr>
        <w:t>Imane Lahrizi, Professor,</w:t>
      </w:r>
      <w:r w:rsidR="002A4287" w:rsidRPr="000535CF">
        <w:rPr>
          <w:rFonts w:ascii="Calibri" w:eastAsia="Calibri" w:hAnsi="Calibri" w:cs="Calibri"/>
          <w:b/>
          <w:bCs/>
          <w:sz w:val="22"/>
          <w:szCs w:val="22"/>
          <w:lang w:val="fr-CA"/>
        </w:rPr>
        <w:t xml:space="preserve"> </w:t>
      </w:r>
      <w:r w:rsidR="002A4287" w:rsidRPr="000535CF">
        <w:rPr>
          <w:rFonts w:ascii="Calibri" w:eastAsia="Calibri" w:hAnsi="Calibri" w:cs="Calibri"/>
          <w:sz w:val="22"/>
          <w:szCs w:val="22"/>
          <w:lang w:val="fr-CA"/>
        </w:rPr>
        <w:t>École de counseling et d’orientation, Université Laval, Canada (imane-zineb.lahrizi@fse.ulaval.c</w:t>
      </w:r>
      <w:r w:rsidR="001B2B7B" w:rsidRPr="000535CF">
        <w:rPr>
          <w:rFonts w:ascii="Calibri" w:eastAsia="Calibri" w:hAnsi="Calibri" w:cs="Calibri"/>
          <w:sz w:val="22"/>
          <w:szCs w:val="22"/>
          <w:lang w:val="fr-CA"/>
        </w:rPr>
        <w:t>a)</w:t>
      </w:r>
      <w:r w:rsidRPr="000535CF">
        <w:rPr>
          <w:rFonts w:ascii="Calibri" w:eastAsia="Calibri" w:hAnsi="Calibri" w:cs="Calibri"/>
          <w:sz w:val="22"/>
          <w:szCs w:val="22"/>
          <w:lang w:val="fr-CA"/>
        </w:rPr>
        <w:t xml:space="preserve">. </w:t>
      </w:r>
      <w:r w:rsidRPr="00EA5B78">
        <w:rPr>
          <w:rFonts w:ascii="Calibri" w:eastAsia="Calibri" w:hAnsi="Calibri" w:cs="Calibri"/>
          <w:b/>
          <w:bCs/>
          <w:sz w:val="22"/>
          <w:szCs w:val="22"/>
          <w:lang w:val="fr-CA"/>
        </w:rPr>
        <w:t>Co-</w:t>
      </w:r>
      <w:proofErr w:type="spellStart"/>
      <w:r w:rsidRPr="00EA5B78">
        <w:rPr>
          <w:rFonts w:ascii="Calibri" w:eastAsia="Calibri" w:hAnsi="Calibri" w:cs="Calibri"/>
          <w:b/>
          <w:bCs/>
          <w:sz w:val="22"/>
          <w:szCs w:val="22"/>
          <w:lang w:val="fr-CA"/>
        </w:rPr>
        <w:t>contributors</w:t>
      </w:r>
      <w:proofErr w:type="spellEnd"/>
      <w:r w:rsidRPr="00EA5B78">
        <w:rPr>
          <w:rFonts w:ascii="Calibri" w:eastAsia="Calibri" w:hAnsi="Calibri" w:cs="Calibri"/>
          <w:sz w:val="22"/>
          <w:szCs w:val="22"/>
          <w:lang w:val="fr-CA"/>
        </w:rPr>
        <w:t xml:space="preserve">: </w:t>
      </w:r>
      <w:r w:rsidR="002A4287" w:rsidRPr="00EA5B78">
        <w:rPr>
          <w:rFonts w:ascii="Calibri" w:eastAsia="Calibri" w:hAnsi="Calibri" w:cs="Calibri"/>
          <w:sz w:val="22"/>
          <w:szCs w:val="22"/>
          <w:lang w:val="fr-CA"/>
        </w:rPr>
        <w:t>Jo Anni Joncas, Professor, Département de pédagogie, Université de Sherbrooke, Canada</w:t>
      </w:r>
      <w:r w:rsidRPr="00EA5B78">
        <w:rPr>
          <w:rFonts w:ascii="Calibri" w:eastAsia="Calibri" w:hAnsi="Calibri" w:cs="Calibri"/>
          <w:sz w:val="22"/>
          <w:szCs w:val="22"/>
          <w:lang w:val="fr-CA"/>
        </w:rPr>
        <w:t xml:space="preserve">; Audrey Lachance, </w:t>
      </w:r>
      <w:proofErr w:type="spellStart"/>
      <w:r w:rsidR="00A637FA" w:rsidRPr="00EA5B78">
        <w:rPr>
          <w:rFonts w:ascii="Calibri" w:eastAsia="Calibri" w:hAnsi="Calibri" w:cs="Calibri"/>
          <w:sz w:val="22"/>
          <w:szCs w:val="22"/>
          <w:lang w:val="fr-CA"/>
        </w:rPr>
        <w:t>Lecturor</w:t>
      </w:r>
      <w:proofErr w:type="spellEnd"/>
      <w:r w:rsidR="00A637FA" w:rsidRPr="00EA5B78">
        <w:rPr>
          <w:rFonts w:ascii="Calibri" w:eastAsia="Calibri" w:hAnsi="Calibri" w:cs="Calibri"/>
          <w:sz w:val="22"/>
          <w:szCs w:val="22"/>
          <w:lang w:val="fr-CA"/>
        </w:rPr>
        <w:t xml:space="preserve">, </w:t>
      </w:r>
      <w:r w:rsidRPr="00EA5B78">
        <w:rPr>
          <w:rFonts w:ascii="Calibri" w:eastAsia="Calibri" w:hAnsi="Calibri" w:cs="Calibri"/>
          <w:sz w:val="22"/>
          <w:szCs w:val="22"/>
          <w:lang w:val="fr-CA"/>
        </w:rPr>
        <w:t xml:space="preserve">Faculté d’éducation, Université de Sherbrooke, Canada; Patricia Dionne, </w:t>
      </w:r>
      <w:r w:rsidR="00A637FA" w:rsidRPr="00EA5B78">
        <w:rPr>
          <w:rFonts w:ascii="Calibri" w:eastAsia="Calibri" w:hAnsi="Calibri" w:cs="Calibri"/>
          <w:sz w:val="22"/>
          <w:szCs w:val="22"/>
          <w:lang w:val="fr-CA"/>
        </w:rPr>
        <w:t>Pr</w:t>
      </w:r>
      <w:r w:rsidRPr="00EA5B78">
        <w:rPr>
          <w:rFonts w:ascii="Calibri" w:eastAsia="Calibri" w:hAnsi="Calibri" w:cs="Calibri"/>
          <w:sz w:val="22"/>
          <w:szCs w:val="22"/>
          <w:lang w:val="fr-CA"/>
        </w:rPr>
        <w:t>ofessor, Département d’orientation professionnelle, Université de Sherbrooke, Canada.</w:t>
      </w:r>
    </w:p>
    <w:p w14:paraId="51D731FC" w14:textId="77777777" w:rsidR="007F6C61" w:rsidRPr="00EA5B78" w:rsidRDefault="007F6C61" w:rsidP="00774D52">
      <w:pPr>
        <w:spacing w:after="0" w:line="240" w:lineRule="auto"/>
        <w:jc w:val="both"/>
        <w:rPr>
          <w:rFonts w:ascii="Calibri" w:eastAsia="Calibri" w:hAnsi="Calibri" w:cs="Calibri"/>
          <w:color w:val="000000" w:themeColor="text1"/>
          <w:sz w:val="22"/>
          <w:szCs w:val="22"/>
          <w:lang w:val="fr-CA"/>
        </w:rPr>
      </w:pPr>
    </w:p>
    <w:p w14:paraId="43C8C7C2" w14:textId="32A34427" w:rsidR="00A64652" w:rsidRPr="00EA5B78" w:rsidRDefault="00A64652" w:rsidP="00774D52">
      <w:pPr>
        <w:spacing w:after="0" w:line="240" w:lineRule="auto"/>
        <w:jc w:val="both"/>
        <w:rPr>
          <w:rFonts w:ascii="Calibri" w:eastAsia="Calibri" w:hAnsi="Calibri" w:cs="Calibri"/>
          <w:b/>
          <w:bCs/>
          <w:sz w:val="22"/>
          <w:szCs w:val="22"/>
          <w:lang w:val="fr-CA"/>
        </w:rPr>
      </w:pPr>
      <w:proofErr w:type="spellStart"/>
      <w:r w:rsidRPr="00EA5B78">
        <w:rPr>
          <w:rFonts w:ascii="Calibri" w:eastAsia="Calibri" w:hAnsi="Calibri" w:cs="Calibri"/>
          <w:b/>
          <w:bCs/>
          <w:sz w:val="22"/>
          <w:szCs w:val="22"/>
          <w:lang w:val="fr-CA"/>
        </w:rPr>
        <w:t>Presenters</w:t>
      </w:r>
      <w:proofErr w:type="spellEnd"/>
      <w:r w:rsidRPr="00EA5B78">
        <w:rPr>
          <w:rFonts w:ascii="Calibri" w:eastAsia="Calibri" w:hAnsi="Calibri" w:cs="Calibri"/>
          <w:b/>
          <w:bCs/>
          <w:sz w:val="22"/>
          <w:szCs w:val="22"/>
          <w:lang w:val="fr-CA"/>
        </w:rPr>
        <w:t>:</w:t>
      </w:r>
    </w:p>
    <w:p w14:paraId="08A42DF4" w14:textId="3A1F1B4F" w:rsidR="00A64652" w:rsidRPr="00EA5B78" w:rsidRDefault="002E230D" w:rsidP="00774D52">
      <w:pPr>
        <w:pStyle w:val="paragraph"/>
        <w:spacing w:before="0" w:beforeAutospacing="0" w:after="240" w:afterAutospacing="0"/>
        <w:jc w:val="both"/>
        <w:textAlignment w:val="baseline"/>
        <w:rPr>
          <w:rFonts w:ascii="Arial" w:eastAsiaTheme="majorEastAsia" w:hAnsi="Arial" w:cs="Arial"/>
          <w:color w:val="000000" w:themeColor="text1"/>
        </w:rPr>
      </w:pPr>
      <w:r w:rsidRPr="00EA5B78">
        <w:rPr>
          <w:rFonts w:ascii="Calibri" w:eastAsia="Calibri" w:hAnsi="Calibri" w:cs="Calibri"/>
          <w:b/>
          <w:bCs/>
          <w:sz w:val="22"/>
          <w:szCs w:val="22"/>
        </w:rPr>
        <w:t>Barriault</w:t>
      </w:r>
      <w:r w:rsidR="007F6C61" w:rsidRPr="00EA5B78">
        <w:rPr>
          <w:rFonts w:ascii="Calibri" w:eastAsia="Calibri" w:hAnsi="Calibri" w:cs="Calibri"/>
          <w:b/>
          <w:bCs/>
          <w:sz w:val="22"/>
          <w:szCs w:val="22"/>
        </w:rPr>
        <w:t>,</w:t>
      </w:r>
      <w:r w:rsidRPr="00EA5B78">
        <w:rPr>
          <w:rFonts w:ascii="Calibri" w:eastAsia="Calibri" w:hAnsi="Calibri" w:cs="Calibri"/>
          <w:b/>
          <w:bCs/>
          <w:sz w:val="22"/>
          <w:szCs w:val="22"/>
        </w:rPr>
        <w:t xml:space="preserve"> Samantha </w:t>
      </w:r>
      <w:r w:rsidRPr="00EA5B78">
        <w:rPr>
          <w:rFonts w:ascii="Calibri" w:eastAsia="Calibri" w:hAnsi="Calibri" w:cs="Calibri"/>
          <w:sz w:val="22"/>
          <w:szCs w:val="22"/>
        </w:rPr>
        <w:t xml:space="preserve">(Canada), PhD </w:t>
      </w:r>
      <w:proofErr w:type="spellStart"/>
      <w:r w:rsidRPr="00EA5B78">
        <w:rPr>
          <w:rFonts w:ascii="Calibri" w:eastAsia="Calibri" w:hAnsi="Calibri" w:cs="Calibri"/>
          <w:sz w:val="22"/>
          <w:szCs w:val="22"/>
        </w:rPr>
        <w:t>student</w:t>
      </w:r>
      <w:proofErr w:type="spellEnd"/>
      <w:r w:rsidRPr="00EA5B78">
        <w:rPr>
          <w:rFonts w:ascii="Calibri" w:eastAsia="Calibri" w:hAnsi="Calibri" w:cs="Calibri"/>
          <w:sz w:val="22"/>
          <w:szCs w:val="22"/>
        </w:rPr>
        <w:t>, École de counseling et d’orientation, Université Laval, Canada;</w:t>
      </w:r>
      <w:r w:rsidRPr="00EA5B78">
        <w:rPr>
          <w:rFonts w:ascii="Calibri" w:eastAsia="Calibri" w:hAnsi="Calibri" w:cs="Calibri"/>
          <w:b/>
          <w:bCs/>
          <w:sz w:val="22"/>
          <w:szCs w:val="22"/>
        </w:rPr>
        <w:t xml:space="preserve"> </w:t>
      </w:r>
      <w:r w:rsidR="007F6C61" w:rsidRPr="00EA5B78">
        <w:rPr>
          <w:rFonts w:ascii="Calibri" w:eastAsia="Calibri" w:hAnsi="Calibri" w:cs="Calibri"/>
          <w:b/>
          <w:bCs/>
          <w:sz w:val="22"/>
          <w:szCs w:val="22"/>
        </w:rPr>
        <w:t>B</w:t>
      </w:r>
      <w:r w:rsidR="00D42227" w:rsidRPr="00EA5B78">
        <w:rPr>
          <w:rFonts w:ascii="Calibri" w:eastAsia="Calibri" w:hAnsi="Calibri" w:cs="Calibri"/>
          <w:b/>
          <w:bCs/>
          <w:sz w:val="22"/>
          <w:szCs w:val="22"/>
        </w:rPr>
        <w:t>inet</w:t>
      </w:r>
      <w:r w:rsidR="007F6C61" w:rsidRPr="00EA5B78">
        <w:rPr>
          <w:rFonts w:ascii="Calibri" w:eastAsia="Calibri" w:hAnsi="Calibri" w:cs="Calibri"/>
          <w:b/>
          <w:bCs/>
          <w:sz w:val="22"/>
          <w:szCs w:val="22"/>
        </w:rPr>
        <w:t>,</w:t>
      </w:r>
      <w:r w:rsidR="00D42227" w:rsidRPr="00EA5B78">
        <w:rPr>
          <w:rFonts w:ascii="Calibri" w:eastAsia="Calibri" w:hAnsi="Calibri" w:cs="Calibri"/>
          <w:b/>
          <w:bCs/>
          <w:sz w:val="22"/>
          <w:szCs w:val="22"/>
        </w:rPr>
        <w:t xml:space="preserve"> Jonatha</w:t>
      </w:r>
      <w:r w:rsidR="00A66755" w:rsidRPr="00EA5B78">
        <w:rPr>
          <w:rFonts w:ascii="Calibri" w:eastAsia="Calibri" w:hAnsi="Calibri" w:cs="Calibri"/>
          <w:b/>
          <w:bCs/>
          <w:sz w:val="22"/>
          <w:szCs w:val="22"/>
        </w:rPr>
        <w:t>n</w:t>
      </w:r>
      <w:r w:rsidR="00EF66A8" w:rsidRPr="00EA5B78">
        <w:rPr>
          <w:rFonts w:ascii="Calibri" w:eastAsia="Calibri" w:hAnsi="Calibri" w:cs="Calibri"/>
          <w:b/>
          <w:bCs/>
          <w:sz w:val="22"/>
          <w:szCs w:val="22"/>
        </w:rPr>
        <w:t xml:space="preserve"> </w:t>
      </w:r>
      <w:r w:rsidR="00EF66A8" w:rsidRPr="00EA5B78">
        <w:rPr>
          <w:rFonts w:ascii="Calibri" w:eastAsia="Calibri" w:hAnsi="Calibri" w:cs="Calibri"/>
          <w:sz w:val="22"/>
          <w:szCs w:val="22"/>
        </w:rPr>
        <w:t xml:space="preserve">(Canada), </w:t>
      </w:r>
      <w:r w:rsidR="00D42227" w:rsidRPr="00EA5B78">
        <w:rPr>
          <w:rFonts w:ascii="Calibri" w:eastAsia="Calibri" w:hAnsi="Calibri" w:cs="Calibri"/>
          <w:sz w:val="22"/>
          <w:szCs w:val="22"/>
        </w:rPr>
        <w:t xml:space="preserve">Professor, École de counseling et d’orientation, Université Laval, Canada; </w:t>
      </w:r>
      <w:r w:rsidR="00A64652" w:rsidRPr="00EA5B78">
        <w:rPr>
          <w:rFonts w:ascii="Calibri" w:eastAsia="Calibri" w:hAnsi="Calibri" w:cs="Calibri"/>
          <w:b/>
          <w:bCs/>
          <w:sz w:val="22"/>
          <w:szCs w:val="22"/>
        </w:rPr>
        <w:t>Chabot</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Julie </w:t>
      </w:r>
      <w:r w:rsidR="00A64652" w:rsidRPr="00EA5B78">
        <w:rPr>
          <w:rFonts w:ascii="Calibri" w:eastAsia="Calibri" w:hAnsi="Calibri" w:cs="Calibri"/>
          <w:sz w:val="22"/>
          <w:szCs w:val="22"/>
        </w:rPr>
        <w:t xml:space="preserve">(Canada), PhD </w:t>
      </w:r>
      <w:r w:rsidR="008D6A8B" w:rsidRPr="00EA5B78">
        <w:rPr>
          <w:rFonts w:ascii="Calibri" w:eastAsia="Calibri" w:hAnsi="Calibri" w:cs="Calibri"/>
          <w:sz w:val="22"/>
          <w:szCs w:val="22"/>
        </w:rPr>
        <w:t>S</w:t>
      </w:r>
      <w:r w:rsidR="00A64652" w:rsidRPr="00EA5B78">
        <w:rPr>
          <w:rFonts w:ascii="Calibri" w:eastAsia="Calibri" w:hAnsi="Calibri" w:cs="Calibri"/>
          <w:sz w:val="22"/>
          <w:szCs w:val="22"/>
        </w:rPr>
        <w:t xml:space="preserve">tudent, Faculté d’éducation, Université de Sherbrooke, Canada; </w:t>
      </w:r>
      <w:r w:rsidR="002315AD" w:rsidRPr="00EA5B78">
        <w:rPr>
          <w:rFonts w:ascii="Calibri" w:eastAsia="Calibri" w:hAnsi="Calibri" w:cs="Calibri"/>
          <w:b/>
          <w:bCs/>
          <w:sz w:val="22"/>
          <w:szCs w:val="22"/>
        </w:rPr>
        <w:t>Champagne</w:t>
      </w:r>
      <w:r w:rsidR="007F6C61" w:rsidRPr="00EA5B78">
        <w:rPr>
          <w:rFonts w:ascii="Calibri" w:eastAsia="Calibri" w:hAnsi="Calibri" w:cs="Calibri"/>
          <w:b/>
          <w:bCs/>
          <w:sz w:val="22"/>
          <w:szCs w:val="22"/>
        </w:rPr>
        <w:t>,</w:t>
      </w:r>
      <w:r w:rsidR="002315AD" w:rsidRPr="00EA5B78">
        <w:rPr>
          <w:rFonts w:ascii="Calibri" w:eastAsia="Calibri" w:hAnsi="Calibri" w:cs="Calibri"/>
          <w:b/>
          <w:bCs/>
          <w:sz w:val="22"/>
          <w:szCs w:val="22"/>
        </w:rPr>
        <w:t xml:space="preserve"> Pauline</w:t>
      </w:r>
      <w:r w:rsidR="007F6C61" w:rsidRPr="00EA5B78">
        <w:rPr>
          <w:rFonts w:ascii="Calibri" w:eastAsia="Calibri" w:hAnsi="Calibri" w:cs="Calibri"/>
          <w:b/>
          <w:bCs/>
          <w:sz w:val="22"/>
          <w:szCs w:val="22"/>
        </w:rPr>
        <w:t xml:space="preserve"> </w:t>
      </w:r>
      <w:r w:rsidR="007F6C61" w:rsidRPr="00EA5B78">
        <w:rPr>
          <w:rFonts w:ascii="Calibri" w:eastAsia="Calibri" w:hAnsi="Calibri" w:cs="Calibri"/>
          <w:sz w:val="22"/>
          <w:szCs w:val="22"/>
        </w:rPr>
        <w:t>(France; Canada)</w:t>
      </w:r>
      <w:r w:rsidR="002315AD" w:rsidRPr="00EA5B78">
        <w:rPr>
          <w:rFonts w:ascii="Calibri" w:eastAsia="Calibri" w:hAnsi="Calibri" w:cs="Calibri"/>
          <w:sz w:val="22"/>
          <w:szCs w:val="22"/>
        </w:rPr>
        <w:t xml:space="preserve">, </w:t>
      </w:r>
      <w:r w:rsidR="008D6A8B" w:rsidRPr="00EA5B78">
        <w:rPr>
          <w:rFonts w:ascii="Calibri" w:eastAsia="Calibri" w:hAnsi="Calibri" w:cs="Calibri"/>
          <w:sz w:val="22"/>
          <w:szCs w:val="22"/>
        </w:rPr>
        <w:t>PhD Student</w:t>
      </w:r>
      <w:r w:rsidR="0070609A" w:rsidRPr="00EA5B78">
        <w:rPr>
          <w:rFonts w:ascii="Calibri" w:eastAsia="Calibri" w:hAnsi="Calibri" w:cs="Calibri"/>
          <w:sz w:val="22"/>
          <w:szCs w:val="22"/>
        </w:rPr>
        <w:t>, Faculté d’éducation,</w:t>
      </w:r>
      <w:r w:rsidR="008D6A8B" w:rsidRPr="00EA5B78">
        <w:rPr>
          <w:rFonts w:ascii="Calibri" w:eastAsia="Calibri" w:hAnsi="Calibri" w:cs="Calibri"/>
          <w:sz w:val="22"/>
          <w:szCs w:val="22"/>
        </w:rPr>
        <w:t xml:space="preserve"> </w:t>
      </w:r>
      <w:r w:rsidR="002315AD" w:rsidRPr="00EA5B78">
        <w:rPr>
          <w:rFonts w:ascii="Calibri" w:eastAsia="Calibri" w:hAnsi="Calibri" w:cs="Calibri"/>
          <w:sz w:val="22"/>
          <w:szCs w:val="22"/>
        </w:rPr>
        <w:t xml:space="preserve">Université de Sherbrooke, Canada; </w:t>
      </w:r>
      <w:r w:rsidR="00EF66A8" w:rsidRPr="008A6EE2">
        <w:rPr>
          <w:rFonts w:ascii="Calibri" w:eastAsia="Calibri" w:hAnsi="Calibri" w:cs="Calibri"/>
          <w:b/>
          <w:bCs/>
          <w:sz w:val="22"/>
          <w:szCs w:val="22"/>
        </w:rPr>
        <w:t>Dimé</w:t>
      </w:r>
      <w:r w:rsidR="007F6C61" w:rsidRPr="008A6EE2">
        <w:rPr>
          <w:rFonts w:ascii="Calibri" w:eastAsia="Calibri" w:hAnsi="Calibri" w:cs="Calibri"/>
          <w:b/>
          <w:bCs/>
          <w:sz w:val="22"/>
          <w:szCs w:val="22"/>
        </w:rPr>
        <w:t>,</w:t>
      </w:r>
      <w:r w:rsidR="00EF66A8" w:rsidRPr="008A6EE2">
        <w:rPr>
          <w:rFonts w:ascii="Calibri" w:eastAsia="Calibri" w:hAnsi="Calibri" w:cs="Calibri"/>
          <w:b/>
          <w:bCs/>
          <w:sz w:val="22"/>
          <w:szCs w:val="22"/>
        </w:rPr>
        <w:t xml:space="preserve"> Fama </w:t>
      </w:r>
      <w:r w:rsidR="00EF66A8" w:rsidRPr="008A6EE2">
        <w:rPr>
          <w:rFonts w:ascii="Calibri" w:eastAsia="Calibri" w:hAnsi="Calibri" w:cs="Calibri"/>
          <w:sz w:val="22"/>
          <w:szCs w:val="22"/>
        </w:rPr>
        <w:t>(</w:t>
      </w:r>
      <w:r w:rsidR="008A6EE2" w:rsidRPr="008A6EE2">
        <w:rPr>
          <w:rFonts w:ascii="Calibri" w:eastAsia="Calibri" w:hAnsi="Calibri" w:cs="Calibri"/>
          <w:sz w:val="22"/>
          <w:szCs w:val="22"/>
        </w:rPr>
        <w:t xml:space="preserve">Senegal; </w:t>
      </w:r>
      <w:r w:rsidR="00EF66A8" w:rsidRPr="008A6EE2">
        <w:rPr>
          <w:rFonts w:ascii="Calibri" w:eastAsia="Calibri" w:hAnsi="Calibri" w:cs="Calibri"/>
          <w:sz w:val="22"/>
          <w:szCs w:val="22"/>
        </w:rPr>
        <w:t>Canada),</w:t>
      </w:r>
      <w:r w:rsidR="00A66755" w:rsidRPr="008A6EE2">
        <w:rPr>
          <w:rFonts w:ascii="Calibri" w:eastAsia="Calibri" w:hAnsi="Calibri" w:cs="Calibri"/>
          <w:sz w:val="22"/>
          <w:szCs w:val="22"/>
        </w:rPr>
        <w:t xml:space="preserve"> </w:t>
      </w:r>
      <w:proofErr w:type="spellStart"/>
      <w:r w:rsidR="00A66755" w:rsidRPr="008A6EE2">
        <w:rPr>
          <w:rFonts w:ascii="Calibri" w:eastAsia="Calibri" w:hAnsi="Calibri" w:cs="Calibri"/>
          <w:sz w:val="22"/>
          <w:szCs w:val="22"/>
        </w:rPr>
        <w:t>Undergraduate</w:t>
      </w:r>
      <w:proofErr w:type="spellEnd"/>
      <w:r w:rsidR="00A66755" w:rsidRPr="00EA5B78">
        <w:rPr>
          <w:rFonts w:ascii="Calibri" w:eastAsia="Calibri" w:hAnsi="Calibri" w:cs="Calibri"/>
          <w:sz w:val="22"/>
          <w:szCs w:val="22"/>
        </w:rPr>
        <w:t xml:space="preserve"> </w:t>
      </w:r>
      <w:proofErr w:type="spellStart"/>
      <w:r w:rsidR="00A66755" w:rsidRPr="00EA5B78">
        <w:rPr>
          <w:rFonts w:ascii="Calibri" w:eastAsia="Calibri" w:hAnsi="Calibri" w:cs="Calibri"/>
          <w:sz w:val="22"/>
          <w:szCs w:val="22"/>
        </w:rPr>
        <w:t>student</w:t>
      </w:r>
      <w:proofErr w:type="spellEnd"/>
      <w:r w:rsidR="00A66755" w:rsidRPr="00EA5B78">
        <w:rPr>
          <w:rFonts w:ascii="Calibri" w:eastAsia="Calibri" w:hAnsi="Calibri" w:cs="Calibri"/>
          <w:sz w:val="22"/>
          <w:szCs w:val="22"/>
        </w:rPr>
        <w:t>, École de counseling et d’orientation, Université Laval, Canada;</w:t>
      </w:r>
      <w:r w:rsidR="00EF66A8" w:rsidRPr="00EA5B78">
        <w:rPr>
          <w:rFonts w:ascii="Calibri" w:eastAsia="Calibri" w:hAnsi="Calibri" w:cs="Calibri"/>
          <w:b/>
          <w:bCs/>
          <w:sz w:val="22"/>
          <w:szCs w:val="22"/>
        </w:rPr>
        <w:t xml:space="preserve"> </w:t>
      </w:r>
      <w:r w:rsidR="00A64652" w:rsidRPr="00EA5B78">
        <w:rPr>
          <w:rFonts w:ascii="Calibri" w:eastAsia="Calibri" w:hAnsi="Calibri" w:cs="Calibri"/>
          <w:b/>
          <w:bCs/>
          <w:sz w:val="22"/>
          <w:szCs w:val="22"/>
        </w:rPr>
        <w:t>Dionne</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Patricia </w:t>
      </w:r>
      <w:r w:rsidR="00A64652" w:rsidRPr="00EA5B78">
        <w:rPr>
          <w:rFonts w:ascii="Calibri" w:eastAsia="Calibri" w:hAnsi="Calibri" w:cs="Calibri"/>
          <w:sz w:val="22"/>
          <w:szCs w:val="22"/>
        </w:rPr>
        <w:t xml:space="preserve">(Canada), Professor, Département d’orientation, Université de Sherbrooke, Canada; </w:t>
      </w:r>
      <w:r w:rsidR="00A64652" w:rsidRPr="00EA5B78">
        <w:rPr>
          <w:rFonts w:ascii="Calibri" w:eastAsia="Calibri" w:hAnsi="Calibri" w:cs="Calibri"/>
          <w:b/>
          <w:bCs/>
          <w:sz w:val="22"/>
          <w:szCs w:val="22"/>
        </w:rPr>
        <w:t>Lahrizi</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Imane </w:t>
      </w:r>
      <w:r w:rsidR="00A64652" w:rsidRPr="00EA5B78">
        <w:rPr>
          <w:rFonts w:ascii="Calibri" w:eastAsia="Calibri" w:hAnsi="Calibri" w:cs="Calibri"/>
          <w:sz w:val="22"/>
          <w:szCs w:val="22"/>
        </w:rPr>
        <w:t xml:space="preserve">(Canada; Morocco), </w:t>
      </w:r>
      <w:r w:rsidR="002148BD" w:rsidRPr="00EA5B78">
        <w:rPr>
          <w:rFonts w:ascii="Calibri" w:eastAsia="Calibri" w:hAnsi="Calibri" w:cs="Calibri"/>
          <w:sz w:val="22"/>
          <w:szCs w:val="22"/>
        </w:rPr>
        <w:t>Professor</w:t>
      </w:r>
      <w:r w:rsidR="00A64652" w:rsidRPr="00EA5B78">
        <w:rPr>
          <w:rFonts w:ascii="Calibri" w:eastAsia="Calibri" w:hAnsi="Calibri" w:cs="Calibri"/>
          <w:sz w:val="22"/>
          <w:szCs w:val="22"/>
        </w:rPr>
        <w:t xml:space="preserve">, École de counseling et d’orientation, Université Laval, Canada; </w:t>
      </w:r>
      <w:r w:rsidRPr="00EA5B78">
        <w:rPr>
          <w:rFonts w:ascii="Calibri" w:eastAsia="Calibri" w:hAnsi="Calibri" w:cs="Calibri"/>
          <w:b/>
          <w:bCs/>
          <w:sz w:val="22"/>
          <w:szCs w:val="22"/>
        </w:rPr>
        <w:t>Laurin</w:t>
      </w:r>
      <w:r w:rsidR="007F6C61" w:rsidRPr="00EA5B78">
        <w:rPr>
          <w:rFonts w:ascii="Calibri" w:eastAsia="Calibri" w:hAnsi="Calibri" w:cs="Calibri"/>
          <w:b/>
          <w:bCs/>
          <w:sz w:val="22"/>
          <w:szCs w:val="22"/>
        </w:rPr>
        <w:t>,</w:t>
      </w:r>
      <w:r w:rsidRPr="00EA5B78">
        <w:rPr>
          <w:rFonts w:ascii="Calibri" w:eastAsia="Calibri" w:hAnsi="Calibri" w:cs="Calibri"/>
          <w:b/>
          <w:bCs/>
          <w:sz w:val="22"/>
          <w:szCs w:val="22"/>
        </w:rPr>
        <w:t xml:space="preserve"> Lély-Rose</w:t>
      </w:r>
      <w:r w:rsidR="00271035" w:rsidRPr="00EA5B78">
        <w:rPr>
          <w:b/>
          <w:bCs/>
        </w:rPr>
        <w:t xml:space="preserve">, </w:t>
      </w:r>
      <w:r w:rsidRPr="00EA5B78">
        <w:rPr>
          <w:rFonts w:ascii="Calibri" w:eastAsia="Calibri" w:hAnsi="Calibri" w:cs="Calibri"/>
          <w:sz w:val="22"/>
          <w:szCs w:val="22"/>
        </w:rPr>
        <w:t xml:space="preserve">(Canada), PhD </w:t>
      </w:r>
      <w:proofErr w:type="spellStart"/>
      <w:r w:rsidRPr="00EA5B78">
        <w:rPr>
          <w:rFonts w:ascii="Calibri" w:eastAsia="Calibri" w:hAnsi="Calibri" w:cs="Calibri"/>
          <w:sz w:val="22"/>
          <w:szCs w:val="22"/>
        </w:rPr>
        <w:t>student</w:t>
      </w:r>
      <w:proofErr w:type="spellEnd"/>
      <w:r w:rsidR="00271035" w:rsidRPr="00EA5B78">
        <w:rPr>
          <w:rFonts w:ascii="Calibri" w:eastAsia="Calibri" w:hAnsi="Calibri" w:cs="Calibri"/>
          <w:sz w:val="22"/>
          <w:szCs w:val="22"/>
        </w:rPr>
        <w:t>, École de counseling et d’orientation, Université Laval, Canada</w:t>
      </w:r>
      <w:r w:rsidR="002B3D0F" w:rsidRPr="00EA5B78">
        <w:rPr>
          <w:rFonts w:ascii="Calibri" w:eastAsia="Calibri" w:hAnsi="Calibri" w:cs="Calibri"/>
          <w:sz w:val="22"/>
          <w:szCs w:val="22"/>
        </w:rPr>
        <w:t>;</w:t>
      </w:r>
      <w:r w:rsidR="002B3D0F" w:rsidRPr="00EA5B78">
        <w:rPr>
          <w:rFonts w:ascii="Calibri" w:eastAsia="Calibri" w:hAnsi="Calibri" w:cs="Calibri"/>
          <w:b/>
          <w:bCs/>
          <w:sz w:val="22"/>
          <w:szCs w:val="22"/>
        </w:rPr>
        <w:t xml:space="preserve"> </w:t>
      </w:r>
      <w:proofErr w:type="spellStart"/>
      <w:r w:rsidR="002148BD" w:rsidRPr="00EA5B78">
        <w:rPr>
          <w:rFonts w:ascii="Calibri" w:eastAsia="Calibri" w:hAnsi="Calibri" w:cs="Calibri"/>
          <w:b/>
          <w:bCs/>
          <w:sz w:val="22"/>
          <w:szCs w:val="22"/>
        </w:rPr>
        <w:t>Lechaume</w:t>
      </w:r>
      <w:proofErr w:type="spellEnd"/>
      <w:r w:rsidR="007F6C61" w:rsidRPr="00EA5B78">
        <w:rPr>
          <w:rFonts w:ascii="Calibri" w:eastAsia="Calibri" w:hAnsi="Calibri" w:cs="Calibri"/>
          <w:b/>
          <w:bCs/>
          <w:sz w:val="22"/>
          <w:szCs w:val="22"/>
        </w:rPr>
        <w:t>, Aline</w:t>
      </w:r>
      <w:r w:rsidR="002148BD" w:rsidRPr="00EA5B78">
        <w:rPr>
          <w:rFonts w:ascii="Calibri" w:eastAsia="Calibri" w:hAnsi="Calibri" w:cs="Calibri"/>
          <w:sz w:val="22"/>
          <w:szCs w:val="22"/>
        </w:rPr>
        <w:t xml:space="preserve"> (Canada), </w:t>
      </w:r>
      <w:r w:rsidR="0070609A" w:rsidRPr="00EA5B78">
        <w:rPr>
          <w:rFonts w:ascii="Calibri" w:eastAsia="Calibri" w:hAnsi="Calibri" w:cs="Calibri"/>
          <w:sz w:val="22"/>
          <w:szCs w:val="22"/>
        </w:rPr>
        <w:t>P</w:t>
      </w:r>
      <w:r w:rsidR="002148BD" w:rsidRPr="00EA5B78">
        <w:rPr>
          <w:rFonts w:ascii="Calibri" w:eastAsia="Calibri" w:hAnsi="Calibri" w:cs="Calibri"/>
          <w:sz w:val="22"/>
          <w:szCs w:val="22"/>
        </w:rPr>
        <w:t>rofessor, Département des relations industrielles</w:t>
      </w:r>
      <w:r w:rsidRPr="00EA5B78">
        <w:rPr>
          <w:rFonts w:ascii="Calibri" w:eastAsia="Calibri" w:hAnsi="Calibri" w:cs="Calibri"/>
          <w:sz w:val="22"/>
          <w:szCs w:val="22"/>
        </w:rPr>
        <w:t>, Canada;</w:t>
      </w:r>
      <w:r w:rsidR="002148BD" w:rsidRPr="00EA5B78">
        <w:rPr>
          <w:rFonts w:ascii="Calibri" w:eastAsia="Calibri" w:hAnsi="Calibri" w:cs="Calibri"/>
          <w:sz w:val="22"/>
          <w:szCs w:val="22"/>
        </w:rPr>
        <w:t xml:space="preserve"> </w:t>
      </w:r>
      <w:r w:rsidR="00A64652" w:rsidRPr="00EA5B78">
        <w:rPr>
          <w:rFonts w:ascii="Calibri" w:eastAsia="Calibri" w:hAnsi="Calibri" w:cs="Calibri"/>
          <w:b/>
          <w:bCs/>
          <w:sz w:val="22"/>
          <w:szCs w:val="22"/>
        </w:rPr>
        <w:t>Masdonati</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Jonas</w:t>
      </w:r>
      <w:r w:rsidR="00A64652" w:rsidRPr="00EA5B78">
        <w:rPr>
          <w:rFonts w:ascii="Calibri" w:eastAsia="Calibri" w:hAnsi="Calibri" w:cs="Calibri"/>
          <w:sz w:val="22"/>
          <w:szCs w:val="22"/>
        </w:rPr>
        <w:t xml:space="preserve"> (</w:t>
      </w:r>
      <w:proofErr w:type="spellStart"/>
      <w:r w:rsidR="00A64652" w:rsidRPr="00EA5B78">
        <w:rPr>
          <w:rFonts w:ascii="Calibri" w:eastAsia="Calibri" w:hAnsi="Calibri" w:cs="Calibri"/>
          <w:sz w:val="22"/>
          <w:szCs w:val="22"/>
        </w:rPr>
        <w:t>Switzerland</w:t>
      </w:r>
      <w:proofErr w:type="spellEnd"/>
      <w:r w:rsidR="00A64652" w:rsidRPr="00EA5B78">
        <w:rPr>
          <w:rFonts w:ascii="Calibri" w:eastAsia="Calibri" w:hAnsi="Calibri" w:cs="Calibri"/>
          <w:sz w:val="22"/>
          <w:szCs w:val="22"/>
        </w:rPr>
        <w:t xml:space="preserve">), Professor, Université de Lausanne, </w:t>
      </w:r>
      <w:proofErr w:type="spellStart"/>
      <w:r w:rsidR="00A64652" w:rsidRPr="00EA5B78">
        <w:rPr>
          <w:rFonts w:ascii="Calibri" w:eastAsia="Calibri" w:hAnsi="Calibri" w:cs="Calibri"/>
          <w:sz w:val="22"/>
          <w:szCs w:val="22"/>
        </w:rPr>
        <w:t>Switzerland</w:t>
      </w:r>
      <w:proofErr w:type="spellEnd"/>
      <w:r w:rsidR="00A64652" w:rsidRPr="00EA5B78">
        <w:rPr>
          <w:rFonts w:ascii="Calibri" w:eastAsia="Calibri" w:hAnsi="Calibri" w:cs="Calibri"/>
          <w:sz w:val="22"/>
          <w:szCs w:val="22"/>
        </w:rPr>
        <w:t>;</w:t>
      </w:r>
      <w:r w:rsidR="00A64652" w:rsidRPr="00EA5B78">
        <w:rPr>
          <w:rFonts w:ascii="Calibri" w:eastAsia="Calibri" w:hAnsi="Calibri" w:cs="Calibri"/>
          <w:b/>
          <w:bCs/>
          <w:sz w:val="22"/>
          <w:szCs w:val="22"/>
        </w:rPr>
        <w:t xml:space="preserve"> Pelletier</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Mariève </w:t>
      </w:r>
      <w:r w:rsidR="00A64652" w:rsidRPr="00EA5B78">
        <w:rPr>
          <w:rFonts w:ascii="Calibri" w:eastAsia="Calibri" w:hAnsi="Calibri" w:cs="Calibri"/>
          <w:sz w:val="22"/>
          <w:szCs w:val="22"/>
        </w:rPr>
        <w:t xml:space="preserve">(Canada), Professor, École de counseling et d’orientation, Université Laval, Canada; </w:t>
      </w:r>
      <w:r w:rsidR="009D6BA4" w:rsidRPr="00EA5B78">
        <w:rPr>
          <w:rFonts w:ascii="Calibri" w:eastAsia="Calibri" w:hAnsi="Calibri" w:cs="Calibri"/>
          <w:b/>
          <w:bCs/>
          <w:sz w:val="22"/>
          <w:szCs w:val="22"/>
        </w:rPr>
        <w:t>Pierre-Alexis, Donrock</w:t>
      </w:r>
      <w:r w:rsidR="00892F71">
        <w:rPr>
          <w:rFonts w:ascii="Calibri" w:eastAsia="Calibri" w:hAnsi="Calibri" w:cs="Calibri"/>
          <w:b/>
          <w:bCs/>
          <w:sz w:val="22"/>
          <w:szCs w:val="22"/>
        </w:rPr>
        <w:t xml:space="preserve"> </w:t>
      </w:r>
      <w:r w:rsidR="00892F71">
        <w:rPr>
          <w:rFonts w:ascii="Calibri" w:eastAsia="Calibri" w:hAnsi="Calibri" w:cs="Calibri"/>
          <w:sz w:val="22"/>
          <w:szCs w:val="22"/>
        </w:rPr>
        <w:t>(Haïti, Canada)</w:t>
      </w:r>
      <w:r w:rsidR="009D6BA4" w:rsidRPr="00EA5B78">
        <w:rPr>
          <w:rFonts w:ascii="Calibri" w:eastAsia="Calibri" w:hAnsi="Calibri" w:cs="Calibri"/>
          <w:sz w:val="22"/>
          <w:szCs w:val="22"/>
        </w:rPr>
        <w:t>, PhD Student, Faculté d’éducation, Université de Sherbrooke, Canada</w:t>
      </w:r>
      <w:r w:rsidR="00892F71">
        <w:rPr>
          <w:rFonts w:ascii="Calibri" w:eastAsia="Calibri" w:hAnsi="Calibri" w:cs="Calibri"/>
          <w:sz w:val="22"/>
          <w:szCs w:val="22"/>
        </w:rPr>
        <w:t xml:space="preserve">; </w:t>
      </w:r>
      <w:r w:rsidR="00A64652" w:rsidRPr="00EA5B78">
        <w:rPr>
          <w:rFonts w:ascii="Calibri" w:eastAsia="Calibri" w:hAnsi="Calibri" w:cs="Calibri"/>
          <w:b/>
          <w:bCs/>
          <w:sz w:val="22"/>
          <w:szCs w:val="22"/>
        </w:rPr>
        <w:t>Sow</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Moustapha Mouhamadou</w:t>
      </w:r>
      <w:r w:rsidR="00A64652" w:rsidRPr="00EA5B78">
        <w:rPr>
          <w:rFonts w:ascii="Calibri" w:eastAsia="Calibri" w:hAnsi="Calibri" w:cs="Calibri"/>
          <w:sz w:val="22"/>
          <w:szCs w:val="22"/>
        </w:rPr>
        <w:t xml:space="preserve"> (Senegal), PhD </w:t>
      </w:r>
      <w:r w:rsidR="00233F9F" w:rsidRPr="00EA5B78">
        <w:rPr>
          <w:rFonts w:ascii="Calibri" w:eastAsia="Calibri" w:hAnsi="Calibri" w:cs="Calibri"/>
          <w:sz w:val="22"/>
          <w:szCs w:val="22"/>
        </w:rPr>
        <w:t>S</w:t>
      </w:r>
      <w:r w:rsidR="00A64652" w:rsidRPr="00EA5B78">
        <w:rPr>
          <w:rFonts w:ascii="Calibri" w:eastAsia="Calibri" w:hAnsi="Calibri" w:cs="Calibri"/>
          <w:sz w:val="22"/>
          <w:szCs w:val="22"/>
        </w:rPr>
        <w:t xml:space="preserve">tudent, Faculté d’éducation, Université de Sherbrooke, Canada; </w:t>
      </w:r>
      <w:r w:rsidR="00A64652" w:rsidRPr="00EA5B78">
        <w:rPr>
          <w:rFonts w:ascii="Calibri" w:eastAsia="Calibri" w:hAnsi="Calibri" w:cs="Calibri"/>
          <w:b/>
          <w:bCs/>
          <w:sz w:val="22"/>
          <w:szCs w:val="22"/>
        </w:rPr>
        <w:t>Supeno</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Eddy</w:t>
      </w:r>
      <w:r w:rsidR="00A64652" w:rsidRPr="00EA5B78">
        <w:rPr>
          <w:rFonts w:ascii="Calibri" w:eastAsia="Calibri" w:hAnsi="Calibri" w:cs="Calibri"/>
          <w:sz w:val="22"/>
          <w:szCs w:val="22"/>
        </w:rPr>
        <w:t xml:space="preserve"> </w:t>
      </w:r>
      <w:r w:rsidR="008F41E6" w:rsidRPr="00EA5B78">
        <w:rPr>
          <w:rFonts w:ascii="Calibri" w:eastAsia="Calibri" w:hAnsi="Calibri" w:cs="Calibri"/>
          <w:sz w:val="22"/>
          <w:szCs w:val="22"/>
        </w:rPr>
        <w:t>(France; Canada</w:t>
      </w:r>
      <w:r w:rsidR="00A64652" w:rsidRPr="00EA5B78">
        <w:rPr>
          <w:rFonts w:ascii="Calibri" w:eastAsia="Calibri" w:hAnsi="Calibri" w:cs="Calibri"/>
          <w:sz w:val="22"/>
          <w:szCs w:val="22"/>
        </w:rPr>
        <w:t xml:space="preserve">), Professor, Département d’orientation, Université de Sherbrooke, Canada; </w:t>
      </w:r>
      <w:r w:rsidR="00A64652" w:rsidRPr="00EA5B78">
        <w:rPr>
          <w:rFonts w:ascii="Calibri" w:eastAsia="Calibri" w:hAnsi="Calibri" w:cs="Calibri"/>
          <w:b/>
          <w:bCs/>
          <w:sz w:val="22"/>
          <w:szCs w:val="22"/>
        </w:rPr>
        <w:t>Viviers</w:t>
      </w:r>
      <w:r w:rsidR="007F6C61" w:rsidRPr="00EA5B78">
        <w:rPr>
          <w:rFonts w:ascii="Calibri" w:eastAsia="Calibri" w:hAnsi="Calibri" w:cs="Calibri"/>
          <w:b/>
          <w:bCs/>
          <w:sz w:val="22"/>
          <w:szCs w:val="22"/>
        </w:rPr>
        <w:t>,</w:t>
      </w:r>
      <w:r w:rsidR="00A64652" w:rsidRPr="00EA5B78">
        <w:rPr>
          <w:rFonts w:ascii="Calibri" w:eastAsia="Calibri" w:hAnsi="Calibri" w:cs="Calibri"/>
          <w:b/>
          <w:bCs/>
          <w:sz w:val="22"/>
          <w:szCs w:val="22"/>
        </w:rPr>
        <w:t xml:space="preserve"> Simon</w:t>
      </w:r>
      <w:r w:rsidR="00A64652" w:rsidRPr="00EA5B78">
        <w:rPr>
          <w:rFonts w:ascii="Calibri" w:eastAsia="Calibri" w:hAnsi="Calibri" w:cs="Calibri"/>
          <w:sz w:val="22"/>
          <w:szCs w:val="22"/>
        </w:rPr>
        <w:t xml:space="preserve"> (Canada), Professor, École de counseling et d’orientation, Université Laval, Canada. </w:t>
      </w:r>
    </w:p>
    <w:p w14:paraId="4D2E8536" w14:textId="27F8B930" w:rsidR="00705A01" w:rsidRPr="00EA5B78" w:rsidRDefault="00A64652" w:rsidP="00774D52">
      <w:pPr>
        <w:spacing w:after="0" w:line="240" w:lineRule="auto"/>
        <w:jc w:val="both"/>
        <w:rPr>
          <w:rFonts w:ascii="Calibri" w:eastAsia="Calibri" w:hAnsi="Calibri" w:cs="Calibri"/>
          <w:b/>
          <w:bCs/>
          <w:sz w:val="22"/>
          <w:szCs w:val="22"/>
          <w:lang w:val="fr-CA"/>
        </w:rPr>
      </w:pPr>
      <w:proofErr w:type="spellStart"/>
      <w:r w:rsidRPr="00EA5B78">
        <w:rPr>
          <w:rFonts w:ascii="Calibri" w:eastAsia="Calibri" w:hAnsi="Calibri" w:cs="Calibri"/>
          <w:b/>
          <w:bCs/>
          <w:sz w:val="22"/>
          <w:szCs w:val="22"/>
          <w:lang w:val="fr-CA"/>
        </w:rPr>
        <w:t>Discussants</w:t>
      </w:r>
      <w:proofErr w:type="spellEnd"/>
      <w:r w:rsidRPr="00EA5B78">
        <w:rPr>
          <w:rFonts w:ascii="Calibri" w:eastAsia="Calibri" w:hAnsi="Calibri" w:cs="Calibri"/>
          <w:b/>
          <w:bCs/>
          <w:sz w:val="22"/>
          <w:szCs w:val="22"/>
          <w:lang w:val="fr-CA"/>
        </w:rPr>
        <w:t>:</w:t>
      </w:r>
      <w:r w:rsidRPr="00EA5B78">
        <w:rPr>
          <w:rFonts w:ascii="Calibri" w:eastAsia="Calibri" w:hAnsi="Calibri" w:cs="Calibri"/>
          <w:sz w:val="22"/>
          <w:szCs w:val="22"/>
          <w:lang w:val="fr-CA"/>
        </w:rPr>
        <w:t xml:space="preserve"> </w:t>
      </w:r>
      <w:r w:rsidR="002148BD" w:rsidRPr="00EA5B78">
        <w:rPr>
          <w:rFonts w:ascii="Calibri" w:eastAsia="Calibri" w:hAnsi="Calibri" w:cs="Calibri"/>
          <w:sz w:val="22"/>
          <w:szCs w:val="22"/>
          <w:lang w:val="fr-CA"/>
        </w:rPr>
        <w:t xml:space="preserve"> </w:t>
      </w:r>
      <w:r w:rsidR="0079308C" w:rsidRPr="00EA5B78">
        <w:rPr>
          <w:rFonts w:ascii="Calibri" w:eastAsia="Calibri" w:hAnsi="Calibri" w:cs="Calibri"/>
          <w:b/>
          <w:bCs/>
          <w:sz w:val="22"/>
          <w:szCs w:val="22"/>
          <w:lang w:val="fr-CA"/>
        </w:rPr>
        <w:t>Louis Cournoyer</w:t>
      </w:r>
      <w:r w:rsidRPr="00EA5B78">
        <w:rPr>
          <w:rFonts w:ascii="Calibri" w:eastAsia="Calibri" w:hAnsi="Calibri" w:cs="Calibri"/>
          <w:b/>
          <w:bCs/>
          <w:sz w:val="22"/>
          <w:szCs w:val="22"/>
          <w:lang w:val="fr-CA"/>
        </w:rPr>
        <w:t xml:space="preserve"> </w:t>
      </w:r>
      <w:r w:rsidRPr="00EA5B78">
        <w:rPr>
          <w:rFonts w:ascii="Calibri" w:eastAsia="Calibri" w:hAnsi="Calibri" w:cs="Calibri"/>
          <w:sz w:val="22"/>
          <w:szCs w:val="22"/>
          <w:lang w:val="fr-CA"/>
        </w:rPr>
        <w:t>(Canada), Professor, Département d’éducation et pédagogie, Université du Québec à Montréal</w:t>
      </w:r>
      <w:r w:rsidR="000B6D7B" w:rsidRPr="00EA5B78">
        <w:rPr>
          <w:rFonts w:ascii="Calibri" w:eastAsia="Calibri" w:hAnsi="Calibri" w:cs="Calibri"/>
          <w:sz w:val="22"/>
          <w:szCs w:val="22"/>
          <w:lang w:val="fr-CA"/>
        </w:rPr>
        <w:t>,</w:t>
      </w:r>
      <w:r w:rsidRPr="00EA5B78">
        <w:rPr>
          <w:rFonts w:ascii="Calibri" w:eastAsia="Calibri" w:hAnsi="Calibri" w:cs="Calibri"/>
          <w:sz w:val="22"/>
          <w:szCs w:val="22"/>
          <w:lang w:val="fr-CA"/>
        </w:rPr>
        <w:t xml:space="preserve"> Canada</w:t>
      </w:r>
      <w:r w:rsidRPr="00EA5B78">
        <w:rPr>
          <w:rFonts w:ascii="Calibri" w:eastAsia="Calibri" w:hAnsi="Calibri" w:cs="Calibri"/>
          <w:b/>
          <w:bCs/>
          <w:sz w:val="22"/>
          <w:szCs w:val="22"/>
          <w:lang w:val="fr-CA"/>
        </w:rPr>
        <w:t xml:space="preserve"> </w:t>
      </w:r>
      <w:r w:rsidRPr="00EA5B78">
        <w:rPr>
          <w:rFonts w:ascii="Calibri" w:eastAsia="Calibri" w:hAnsi="Calibri" w:cs="Calibri"/>
          <w:sz w:val="22"/>
          <w:szCs w:val="22"/>
          <w:lang w:val="fr-CA"/>
        </w:rPr>
        <w:t xml:space="preserve">&amp; </w:t>
      </w:r>
      <w:r w:rsidR="00FB5317" w:rsidRPr="00EA5B78">
        <w:rPr>
          <w:rFonts w:ascii="Calibri" w:eastAsia="Calibri" w:hAnsi="Calibri" w:cs="Calibri"/>
          <w:b/>
          <w:bCs/>
          <w:sz w:val="22"/>
          <w:szCs w:val="22"/>
          <w:lang w:val="fr-CA"/>
        </w:rPr>
        <w:t>Nimrod Levin</w:t>
      </w:r>
      <w:r w:rsidR="00FB5317" w:rsidRPr="00EA5B78">
        <w:rPr>
          <w:rFonts w:ascii="Calibri" w:eastAsia="Calibri" w:hAnsi="Calibri" w:cs="Calibri"/>
          <w:sz w:val="22"/>
          <w:szCs w:val="22"/>
          <w:lang w:val="fr-CA"/>
        </w:rPr>
        <w:t xml:space="preserve"> (Israël, Suisse), </w:t>
      </w:r>
      <w:proofErr w:type="spellStart"/>
      <w:r w:rsidR="00705A01" w:rsidRPr="00EA5B78">
        <w:rPr>
          <w:rFonts w:ascii="Calibri" w:eastAsia="Calibri" w:hAnsi="Calibri" w:cs="Calibri"/>
          <w:sz w:val="22"/>
          <w:szCs w:val="22"/>
          <w:lang w:val="fr-CA"/>
        </w:rPr>
        <w:t>Lecturer</w:t>
      </w:r>
      <w:proofErr w:type="spellEnd"/>
      <w:r w:rsidR="00FB5317" w:rsidRPr="00EA5B78">
        <w:rPr>
          <w:rFonts w:ascii="Calibri" w:eastAsia="Calibri" w:hAnsi="Calibri" w:cs="Calibri"/>
          <w:sz w:val="22"/>
          <w:szCs w:val="22"/>
          <w:lang w:val="fr-CA"/>
        </w:rPr>
        <w:t xml:space="preserve">, Université de Lausanne, </w:t>
      </w:r>
      <w:proofErr w:type="spellStart"/>
      <w:r w:rsidR="00FB5317" w:rsidRPr="00EA5B78">
        <w:rPr>
          <w:rFonts w:ascii="Calibri" w:eastAsia="Calibri" w:hAnsi="Calibri" w:cs="Calibri"/>
          <w:sz w:val="22"/>
          <w:szCs w:val="22"/>
          <w:lang w:val="fr-CA"/>
        </w:rPr>
        <w:t>Switzerland</w:t>
      </w:r>
      <w:proofErr w:type="spellEnd"/>
      <w:r w:rsidR="00FB5317" w:rsidRPr="00EA5B78">
        <w:rPr>
          <w:rFonts w:ascii="Calibri" w:eastAsia="Calibri" w:hAnsi="Calibri" w:cs="Calibri"/>
          <w:sz w:val="22"/>
          <w:szCs w:val="22"/>
          <w:lang w:val="fr-CA"/>
        </w:rPr>
        <w:t>.</w:t>
      </w:r>
      <w:r w:rsidR="00705A01" w:rsidRPr="00EA5B78">
        <w:rPr>
          <w:rFonts w:ascii="Calibri" w:eastAsia="Calibri" w:hAnsi="Calibri" w:cs="Calibri"/>
          <w:b/>
          <w:bCs/>
          <w:sz w:val="22"/>
          <w:szCs w:val="22"/>
          <w:lang w:val="fr-CA"/>
        </w:rPr>
        <w:t xml:space="preserve"> </w:t>
      </w:r>
    </w:p>
    <w:p w14:paraId="20CD7637" w14:textId="5364D0C0" w:rsidR="00A64652" w:rsidRPr="00EA5B78" w:rsidRDefault="00A64652" w:rsidP="00774D52">
      <w:pPr>
        <w:spacing w:after="0" w:line="240" w:lineRule="auto"/>
        <w:jc w:val="both"/>
        <w:rPr>
          <w:rFonts w:ascii="Calibri" w:eastAsia="Calibri" w:hAnsi="Calibri" w:cs="Calibri"/>
          <w:b/>
          <w:bCs/>
          <w:sz w:val="22"/>
          <w:szCs w:val="22"/>
          <w:lang w:val="fr-CA"/>
        </w:rPr>
      </w:pPr>
    </w:p>
    <w:p w14:paraId="091EA8F4" w14:textId="2E51342D" w:rsidR="00833D47" w:rsidRPr="001B2B7B" w:rsidRDefault="42ACC5DB" w:rsidP="00774D52">
      <w:pPr>
        <w:pStyle w:val="NormalWeb"/>
        <w:spacing w:before="0" w:beforeAutospacing="0" w:after="0"/>
        <w:jc w:val="both"/>
        <w:rPr>
          <w:rFonts w:ascii="Calibri" w:eastAsia="Calibri" w:hAnsi="Calibri" w:cs="Calibri"/>
          <w:sz w:val="22"/>
          <w:szCs w:val="22"/>
          <w:lang w:val="en-CA"/>
        </w:rPr>
      </w:pPr>
      <w:r w:rsidRPr="001B2B7B">
        <w:rPr>
          <w:rFonts w:ascii="Calibri" w:eastAsia="Calibri" w:hAnsi="Calibri" w:cs="Calibri"/>
          <w:b/>
          <w:bCs/>
          <w:sz w:val="22"/>
          <w:szCs w:val="22"/>
          <w:lang w:val="en-CA"/>
        </w:rPr>
        <w:t xml:space="preserve">Keywords: </w:t>
      </w:r>
      <w:r w:rsidR="00BE4C10" w:rsidRPr="001B2B7B">
        <w:rPr>
          <w:rFonts w:ascii="Calibri" w:eastAsia="Calibri" w:hAnsi="Calibri" w:cs="Calibri"/>
          <w:sz w:val="22"/>
          <w:szCs w:val="22"/>
          <w:lang w:val="en-CA"/>
        </w:rPr>
        <w:t>Transitions</w:t>
      </w:r>
      <w:r w:rsidR="00B63D95" w:rsidRPr="001B2B7B">
        <w:rPr>
          <w:rFonts w:ascii="Calibri" w:eastAsia="Calibri" w:hAnsi="Calibri" w:cs="Calibri"/>
          <w:sz w:val="22"/>
          <w:szCs w:val="22"/>
          <w:lang w:val="en-CA"/>
        </w:rPr>
        <w:t xml:space="preserve">; </w:t>
      </w:r>
      <w:r w:rsidR="00DB0A22" w:rsidRPr="001B2B7B">
        <w:rPr>
          <w:rFonts w:ascii="Calibri" w:eastAsia="Calibri" w:hAnsi="Calibri" w:cs="Calibri"/>
          <w:sz w:val="22"/>
          <w:szCs w:val="22"/>
          <w:lang w:val="en-CA"/>
        </w:rPr>
        <w:t>learning pathways</w:t>
      </w:r>
      <w:r w:rsidR="001C1CBB" w:rsidRPr="001B2B7B">
        <w:rPr>
          <w:rFonts w:ascii="Calibri" w:eastAsia="Calibri" w:hAnsi="Calibri" w:cs="Calibri"/>
          <w:sz w:val="22"/>
          <w:szCs w:val="22"/>
          <w:lang w:val="en-CA"/>
        </w:rPr>
        <w:t xml:space="preserve">; </w:t>
      </w:r>
      <w:r w:rsidR="00DB0A22" w:rsidRPr="001B2B7B">
        <w:rPr>
          <w:rFonts w:ascii="Calibri" w:eastAsia="Calibri" w:hAnsi="Calibri" w:cs="Calibri"/>
          <w:sz w:val="22"/>
          <w:szCs w:val="22"/>
          <w:lang w:val="en-CA"/>
        </w:rPr>
        <w:t>career path</w:t>
      </w:r>
      <w:r w:rsidR="00BF71FA" w:rsidRPr="001B2B7B">
        <w:rPr>
          <w:rFonts w:ascii="Calibri" w:eastAsia="Calibri" w:hAnsi="Calibri" w:cs="Calibri"/>
          <w:sz w:val="22"/>
          <w:szCs w:val="22"/>
          <w:lang w:val="en-CA"/>
        </w:rPr>
        <w:t>;</w:t>
      </w:r>
      <w:r w:rsidR="00B63D95" w:rsidRPr="001B2B7B">
        <w:rPr>
          <w:rFonts w:ascii="Calibri" w:eastAsia="Calibri" w:hAnsi="Calibri" w:cs="Calibri"/>
          <w:sz w:val="22"/>
          <w:szCs w:val="22"/>
          <w:lang w:val="en-CA"/>
        </w:rPr>
        <w:t xml:space="preserve"> </w:t>
      </w:r>
      <w:r w:rsidR="00DB0A22" w:rsidRPr="001B2B7B">
        <w:rPr>
          <w:rFonts w:ascii="Calibri" w:eastAsia="Calibri" w:hAnsi="Calibri" w:cs="Calibri"/>
          <w:sz w:val="22"/>
          <w:szCs w:val="22"/>
          <w:lang w:val="en-CA"/>
        </w:rPr>
        <w:t>life course</w:t>
      </w:r>
      <w:r w:rsidR="001C1CBB" w:rsidRPr="001B2B7B">
        <w:rPr>
          <w:rFonts w:ascii="Calibri" w:eastAsia="Calibri" w:hAnsi="Calibri" w:cs="Calibri"/>
          <w:sz w:val="22"/>
          <w:szCs w:val="22"/>
          <w:lang w:val="en-CA"/>
        </w:rPr>
        <w:t xml:space="preserve">; </w:t>
      </w:r>
      <w:r w:rsidR="00AF185C" w:rsidRPr="001B2B7B">
        <w:rPr>
          <w:rFonts w:ascii="Calibri" w:eastAsia="Calibri" w:hAnsi="Calibri" w:cs="Calibri"/>
          <w:sz w:val="22"/>
          <w:szCs w:val="22"/>
          <w:lang w:val="en-CA"/>
        </w:rPr>
        <w:t>guidance and support</w:t>
      </w:r>
      <w:r w:rsidR="00BF71FA" w:rsidRPr="001B2B7B">
        <w:rPr>
          <w:rFonts w:ascii="Calibri" w:eastAsia="Calibri" w:hAnsi="Calibri" w:cs="Calibri"/>
          <w:sz w:val="22"/>
          <w:szCs w:val="22"/>
          <w:lang w:val="en-CA"/>
        </w:rPr>
        <w:t>.</w:t>
      </w:r>
    </w:p>
    <w:p w14:paraId="573F77AB" w14:textId="03705FFA" w:rsidR="00A37981" w:rsidRPr="001B2B7B" w:rsidRDefault="00BD506F" w:rsidP="00774D52">
      <w:pPr>
        <w:spacing w:after="0" w:line="240" w:lineRule="auto"/>
        <w:jc w:val="both"/>
        <w:rPr>
          <w:rFonts w:ascii="Calibri" w:eastAsia="Calibri" w:hAnsi="Calibri" w:cs="Calibri"/>
          <w:b/>
          <w:sz w:val="22"/>
          <w:szCs w:val="22"/>
        </w:rPr>
      </w:pPr>
      <w:r w:rsidRPr="001B2B7B">
        <w:rPr>
          <w:rFonts w:ascii="Calibri" w:eastAsia="Calibri" w:hAnsi="Calibri" w:cs="Calibri"/>
          <w:b/>
          <w:sz w:val="22"/>
          <w:szCs w:val="22"/>
        </w:rPr>
        <w:t xml:space="preserve">Symposium </w:t>
      </w:r>
      <w:r w:rsidR="143C0446" w:rsidRPr="001B2B7B">
        <w:rPr>
          <w:rFonts w:ascii="Calibri" w:eastAsia="Calibri" w:hAnsi="Calibri" w:cs="Calibri"/>
          <w:b/>
          <w:sz w:val="22"/>
          <w:szCs w:val="22"/>
        </w:rPr>
        <w:t xml:space="preserve">proposal </w:t>
      </w:r>
      <w:r w:rsidRPr="001B2B7B">
        <w:rPr>
          <w:rFonts w:ascii="Calibri" w:eastAsia="Calibri" w:hAnsi="Calibri" w:cs="Calibri"/>
          <w:b/>
          <w:sz w:val="22"/>
          <w:szCs w:val="22"/>
        </w:rPr>
        <w:t>and d</w:t>
      </w:r>
      <w:r w:rsidR="4DCF21DC" w:rsidRPr="001B2B7B">
        <w:rPr>
          <w:rFonts w:ascii="Calibri" w:eastAsia="Calibri" w:hAnsi="Calibri" w:cs="Calibri"/>
          <w:b/>
          <w:sz w:val="22"/>
          <w:szCs w:val="22"/>
        </w:rPr>
        <w:t>escription</w:t>
      </w:r>
    </w:p>
    <w:p w14:paraId="08B2BA89" w14:textId="763996BE" w:rsidR="004D4881" w:rsidRPr="001B2B7B" w:rsidRDefault="004D4881" w:rsidP="00774D52">
      <w:pPr>
        <w:spacing w:line="240" w:lineRule="auto"/>
        <w:jc w:val="both"/>
        <w:rPr>
          <w:rFonts w:ascii="Calibri" w:eastAsia="Calibri" w:hAnsi="Calibri" w:cs="Calibri"/>
          <w:sz w:val="22"/>
          <w:szCs w:val="22"/>
        </w:rPr>
      </w:pPr>
      <w:r w:rsidRPr="001B2B7B">
        <w:rPr>
          <w:rFonts w:ascii="Calibri" w:eastAsia="Calibri" w:hAnsi="Calibri" w:cs="Calibri"/>
          <w:sz w:val="22"/>
          <w:szCs w:val="22"/>
        </w:rPr>
        <w:t>Long</w:t>
      </w:r>
      <w:r w:rsidR="00AF185C" w:rsidRPr="001B2B7B">
        <w:rPr>
          <w:rFonts w:ascii="Calibri" w:eastAsia="Calibri" w:hAnsi="Calibri" w:cs="Calibri"/>
          <w:sz w:val="22"/>
          <w:szCs w:val="22"/>
        </w:rPr>
        <w:t xml:space="preserve"> viewed as linear and sequential, educational, professional, and life paths now appear to be more complex, fragmented, and uncertain</w:t>
      </w:r>
      <w:r w:rsidRPr="001B2B7B">
        <w:rPr>
          <w:rFonts w:ascii="Calibri" w:eastAsia="Calibri" w:hAnsi="Calibri" w:cs="Calibri"/>
          <w:sz w:val="22"/>
          <w:szCs w:val="22"/>
        </w:rPr>
        <w:t xml:space="preserve"> (Akkermans et al., 2024; Baruch &amp; Sullivan, 2022; Tomlinson et al., 2018). </w:t>
      </w:r>
      <w:r w:rsidR="00AF185C" w:rsidRPr="001B2B7B">
        <w:rPr>
          <w:rFonts w:ascii="Calibri" w:eastAsia="Calibri" w:hAnsi="Calibri" w:cs="Calibri"/>
          <w:sz w:val="22"/>
          <w:szCs w:val="22"/>
        </w:rPr>
        <w:t>These paths now unfold as open-ended processes, shaped by the interplay of experiences, bifurcations, and transitions throughout life</w:t>
      </w:r>
      <w:r w:rsidRPr="001B2B7B">
        <w:rPr>
          <w:rFonts w:ascii="Calibri" w:eastAsia="Calibri" w:hAnsi="Calibri" w:cs="Calibri"/>
          <w:sz w:val="22"/>
          <w:szCs w:val="22"/>
        </w:rPr>
        <w:t xml:space="preserve"> (Masdonati et al., 2022; Sullivan &amp; Al Ariss, 2021). </w:t>
      </w:r>
      <w:r w:rsidR="00AF185C" w:rsidRPr="001B2B7B">
        <w:rPr>
          <w:rFonts w:ascii="Calibri" w:eastAsia="Calibri" w:hAnsi="Calibri" w:cs="Calibri"/>
          <w:sz w:val="22"/>
          <w:szCs w:val="22"/>
        </w:rPr>
        <w:t>In this context</w:t>
      </w:r>
      <w:r w:rsidRPr="001B2B7B">
        <w:rPr>
          <w:rFonts w:ascii="Calibri" w:eastAsia="Calibri" w:hAnsi="Calibri" w:cs="Calibri"/>
          <w:sz w:val="22"/>
          <w:szCs w:val="22"/>
        </w:rPr>
        <w:t xml:space="preserve">, </w:t>
      </w:r>
      <w:r w:rsidR="00AF185C" w:rsidRPr="001B2B7B">
        <w:rPr>
          <w:rFonts w:ascii="Calibri" w:eastAsia="Calibri" w:hAnsi="Calibri" w:cs="Calibri"/>
          <w:sz w:val="22"/>
          <w:szCs w:val="22"/>
        </w:rPr>
        <w:t>people continuously</w:t>
      </w:r>
      <w:r w:rsidRPr="001B2B7B">
        <w:rPr>
          <w:rFonts w:ascii="Calibri" w:eastAsia="Calibri" w:hAnsi="Calibri" w:cs="Calibri"/>
          <w:sz w:val="22"/>
          <w:szCs w:val="22"/>
        </w:rPr>
        <w:t xml:space="preserve"> </w:t>
      </w:r>
      <w:r w:rsidR="00AF185C" w:rsidRPr="001B2B7B">
        <w:rPr>
          <w:rFonts w:ascii="Calibri" w:eastAsia="Calibri" w:hAnsi="Calibri" w:cs="Calibri"/>
          <w:sz w:val="22"/>
          <w:szCs w:val="22"/>
        </w:rPr>
        <w:t>adapt</w:t>
      </w:r>
      <w:r w:rsidRPr="001B2B7B">
        <w:rPr>
          <w:rFonts w:ascii="Calibri" w:eastAsia="Calibri" w:hAnsi="Calibri" w:cs="Calibri"/>
          <w:sz w:val="22"/>
          <w:szCs w:val="22"/>
        </w:rPr>
        <w:t xml:space="preserve"> </w:t>
      </w:r>
      <w:r w:rsidR="004B6737" w:rsidRPr="001B2B7B">
        <w:rPr>
          <w:rFonts w:ascii="Calibri" w:eastAsia="Calibri" w:hAnsi="Calibri" w:cs="Calibri"/>
          <w:sz w:val="22"/>
          <w:szCs w:val="22"/>
        </w:rPr>
        <w:t xml:space="preserve">and </w:t>
      </w:r>
      <w:r w:rsidRPr="001B2B7B">
        <w:rPr>
          <w:rFonts w:ascii="Calibri" w:eastAsia="Calibri" w:hAnsi="Calibri" w:cs="Calibri"/>
          <w:sz w:val="22"/>
          <w:szCs w:val="22"/>
        </w:rPr>
        <w:t>re</w:t>
      </w:r>
      <w:r w:rsidR="00AF185C" w:rsidRPr="001B2B7B">
        <w:rPr>
          <w:rFonts w:ascii="Calibri" w:eastAsia="Calibri" w:hAnsi="Calibri" w:cs="Calibri"/>
          <w:sz w:val="22"/>
          <w:szCs w:val="22"/>
        </w:rPr>
        <w:t>define themselves as they navigate changing environments</w:t>
      </w:r>
      <w:r w:rsidRPr="001B2B7B">
        <w:rPr>
          <w:rFonts w:ascii="Calibri" w:eastAsia="Calibri" w:hAnsi="Calibri" w:cs="Calibri"/>
          <w:sz w:val="22"/>
          <w:szCs w:val="22"/>
        </w:rPr>
        <w:t xml:space="preserve"> (Akkermans &amp; Kubasch, 2017; </w:t>
      </w:r>
      <w:proofErr w:type="spellStart"/>
      <w:r w:rsidRPr="001B2B7B">
        <w:rPr>
          <w:rFonts w:ascii="Calibri" w:eastAsia="Calibri" w:hAnsi="Calibri" w:cs="Calibri"/>
          <w:sz w:val="22"/>
          <w:szCs w:val="22"/>
        </w:rPr>
        <w:t>Mussagulova</w:t>
      </w:r>
      <w:proofErr w:type="spellEnd"/>
      <w:r w:rsidRPr="001B2B7B">
        <w:rPr>
          <w:rFonts w:ascii="Calibri" w:eastAsia="Calibri" w:hAnsi="Calibri" w:cs="Calibri"/>
          <w:sz w:val="22"/>
          <w:szCs w:val="22"/>
        </w:rPr>
        <w:t xml:space="preserve"> et al., 2023).</w:t>
      </w:r>
    </w:p>
    <w:p w14:paraId="25E4593C" w14:textId="6247395C" w:rsidR="00324909" w:rsidRPr="001B2B7B" w:rsidRDefault="00AF185C" w:rsidP="00774D52">
      <w:pPr>
        <w:spacing w:line="240" w:lineRule="auto"/>
        <w:jc w:val="both"/>
        <w:rPr>
          <w:rFonts w:ascii="Calibri" w:eastAsia="Calibri" w:hAnsi="Calibri" w:cs="Calibri"/>
          <w:sz w:val="22"/>
          <w:szCs w:val="22"/>
        </w:rPr>
      </w:pPr>
      <w:r w:rsidRPr="001B2B7B">
        <w:rPr>
          <w:rFonts w:ascii="Calibri" w:eastAsia="Calibri" w:hAnsi="Calibri" w:cs="Calibri"/>
          <w:sz w:val="22"/>
          <w:szCs w:val="22"/>
        </w:rPr>
        <w:t xml:space="preserve">Learning, career, and life </w:t>
      </w:r>
      <w:r w:rsidR="00B17340" w:rsidRPr="001B2B7B">
        <w:rPr>
          <w:rFonts w:ascii="Calibri" w:eastAsia="Calibri" w:hAnsi="Calibri" w:cs="Calibri"/>
          <w:sz w:val="22"/>
          <w:szCs w:val="22"/>
        </w:rPr>
        <w:t>courses</w:t>
      </w:r>
      <w:r w:rsidRPr="001B2B7B">
        <w:rPr>
          <w:rFonts w:ascii="Calibri" w:eastAsia="Calibri" w:hAnsi="Calibri" w:cs="Calibri"/>
          <w:sz w:val="22"/>
          <w:szCs w:val="22"/>
        </w:rPr>
        <w:t xml:space="preserve"> rarely follow linear, </w:t>
      </w:r>
      <w:r w:rsidR="00324909" w:rsidRPr="001B2B7B">
        <w:rPr>
          <w:rFonts w:ascii="Calibri" w:eastAsia="Calibri" w:hAnsi="Calibri" w:cs="Calibri"/>
          <w:sz w:val="22"/>
          <w:szCs w:val="22"/>
        </w:rPr>
        <w:t>cumulative, or stabilized trajector</w:t>
      </w:r>
      <w:r w:rsidR="00B17340" w:rsidRPr="001B2B7B">
        <w:rPr>
          <w:rFonts w:ascii="Calibri" w:eastAsia="Calibri" w:hAnsi="Calibri" w:cs="Calibri"/>
          <w:sz w:val="22"/>
          <w:szCs w:val="22"/>
        </w:rPr>
        <w:t>ies</w:t>
      </w:r>
      <w:r w:rsidR="00324909" w:rsidRPr="001B2B7B">
        <w:rPr>
          <w:rFonts w:ascii="Calibri" w:eastAsia="Calibri" w:hAnsi="Calibri" w:cs="Calibri"/>
          <w:sz w:val="22"/>
          <w:szCs w:val="22"/>
        </w:rPr>
        <w:t>. Rather, they are characterized by reorientations, back-and-forth movements across statuses and life domains, seized or missed opportunities, structural constraints, and strategies of social resourcefulness</w:t>
      </w:r>
      <w:r w:rsidR="004D4881" w:rsidRPr="001B2B7B">
        <w:rPr>
          <w:rFonts w:ascii="Calibri" w:eastAsia="Calibri" w:hAnsi="Calibri" w:cs="Calibri"/>
          <w:sz w:val="22"/>
          <w:szCs w:val="22"/>
        </w:rPr>
        <w:t xml:space="preserve"> (Grell, 2004; Supeno &amp; Bourdon, 2017). </w:t>
      </w:r>
      <w:r w:rsidR="00324909" w:rsidRPr="001B2B7B">
        <w:rPr>
          <w:rFonts w:ascii="Calibri" w:eastAsia="Calibri" w:hAnsi="Calibri" w:cs="Calibri"/>
          <w:sz w:val="22"/>
          <w:szCs w:val="22"/>
        </w:rPr>
        <w:t xml:space="preserve">Transitions, whether they relate to education, training, work, family or retirement, among other things, are no longer isolated events, but </w:t>
      </w:r>
      <w:r w:rsidR="004A0FD8" w:rsidRPr="001B2B7B">
        <w:rPr>
          <w:rFonts w:ascii="Calibri" w:eastAsia="Calibri" w:hAnsi="Calibri" w:cs="Calibri"/>
          <w:sz w:val="22"/>
          <w:szCs w:val="22"/>
        </w:rPr>
        <w:t xml:space="preserve">evolving </w:t>
      </w:r>
      <w:r w:rsidR="00324909" w:rsidRPr="001B2B7B">
        <w:rPr>
          <w:rFonts w:ascii="Calibri" w:eastAsia="Calibri" w:hAnsi="Calibri" w:cs="Calibri"/>
          <w:sz w:val="22"/>
          <w:szCs w:val="22"/>
        </w:rPr>
        <w:t>processes that are progressively transforming pathways. People thus develop strategies and reference points to guide their choices through these changes and to make sense of their pathways.</w:t>
      </w:r>
    </w:p>
    <w:p w14:paraId="03A69C8B" w14:textId="229F5F9F" w:rsidR="00285FA0" w:rsidRPr="001B2B7B" w:rsidRDefault="00324909" w:rsidP="00774D52">
      <w:pPr>
        <w:spacing w:line="240" w:lineRule="auto"/>
        <w:jc w:val="both"/>
        <w:rPr>
          <w:rFonts w:ascii="Calibri" w:eastAsia="Calibri" w:hAnsi="Calibri" w:cs="Calibri"/>
          <w:sz w:val="22"/>
          <w:szCs w:val="22"/>
        </w:rPr>
      </w:pPr>
      <w:r w:rsidRPr="001B2B7B">
        <w:rPr>
          <w:rFonts w:ascii="Calibri" w:eastAsia="Calibri" w:hAnsi="Calibri" w:cs="Calibri"/>
          <w:sz w:val="22"/>
          <w:szCs w:val="22"/>
        </w:rPr>
        <w:t xml:space="preserve">These </w:t>
      </w:r>
      <w:r w:rsidR="00285FA0" w:rsidRPr="001B2B7B">
        <w:rPr>
          <w:rFonts w:ascii="Calibri" w:eastAsia="Calibri" w:hAnsi="Calibri" w:cs="Calibri"/>
          <w:sz w:val="22"/>
          <w:szCs w:val="22"/>
        </w:rPr>
        <w:t>changes call for a rethinking of how pathways are understood, conceptualized and supported in the field of guidance, education and work. Transitions are not solely the result of individual decisions or planned projects: they are embedded in social, economic, and institutional contexts that shape the scope for action and room for maneuver</w:t>
      </w:r>
      <w:r w:rsidR="004D4881" w:rsidRPr="001B2B7B">
        <w:rPr>
          <w:rFonts w:ascii="Calibri" w:eastAsia="Calibri" w:hAnsi="Calibri" w:cs="Calibri"/>
          <w:sz w:val="22"/>
          <w:szCs w:val="22"/>
        </w:rPr>
        <w:t xml:space="preserve"> (Blokker et al., 2023; Hooley et al., 2024). </w:t>
      </w:r>
      <w:r w:rsidR="00285FA0" w:rsidRPr="001B2B7B">
        <w:rPr>
          <w:rFonts w:ascii="Calibri" w:eastAsia="Calibri" w:hAnsi="Calibri" w:cs="Calibri"/>
          <w:sz w:val="22"/>
          <w:szCs w:val="22"/>
        </w:rPr>
        <w:t xml:space="preserve">Recent research highlights the importance of understanding transitions at the intersection of individual, contextual and temporal dimensions that interact in </w:t>
      </w:r>
      <w:r w:rsidR="004A0FD8" w:rsidRPr="001B2B7B">
        <w:rPr>
          <w:rFonts w:ascii="Calibri" w:eastAsia="Calibri" w:hAnsi="Calibri" w:cs="Calibri"/>
          <w:sz w:val="22"/>
          <w:szCs w:val="22"/>
        </w:rPr>
        <w:t xml:space="preserve">the construction of </w:t>
      </w:r>
      <w:r w:rsidR="00285FA0" w:rsidRPr="001B2B7B">
        <w:rPr>
          <w:rFonts w:ascii="Calibri" w:eastAsia="Calibri" w:hAnsi="Calibri" w:cs="Calibri"/>
          <w:sz w:val="22"/>
          <w:szCs w:val="22"/>
        </w:rPr>
        <w:t xml:space="preserve">trajectories </w:t>
      </w:r>
      <w:r w:rsidR="004D4881" w:rsidRPr="001B2B7B">
        <w:rPr>
          <w:rFonts w:ascii="Calibri" w:eastAsia="Calibri" w:hAnsi="Calibri" w:cs="Calibri"/>
          <w:sz w:val="22"/>
          <w:szCs w:val="22"/>
        </w:rPr>
        <w:t>(Blokker et al., 2023).</w:t>
      </w:r>
      <w:r w:rsidR="00285FA0" w:rsidRPr="001B2B7B">
        <w:rPr>
          <w:rFonts w:ascii="Calibri" w:eastAsia="Calibri" w:hAnsi="Calibri" w:cs="Calibri"/>
          <w:sz w:val="22"/>
          <w:szCs w:val="22"/>
        </w:rPr>
        <w:t xml:space="preserve"> Understanding these dynamics implies considering simultaneously </w:t>
      </w:r>
      <w:r w:rsidR="009B4858" w:rsidRPr="001B2B7B">
        <w:rPr>
          <w:rFonts w:ascii="Calibri" w:eastAsia="Calibri" w:hAnsi="Calibri" w:cs="Calibri"/>
          <w:sz w:val="22"/>
          <w:szCs w:val="22"/>
        </w:rPr>
        <w:t xml:space="preserve">biographical </w:t>
      </w:r>
      <w:r w:rsidR="00285FA0" w:rsidRPr="001B2B7B">
        <w:rPr>
          <w:rFonts w:ascii="Calibri" w:eastAsia="Calibri" w:hAnsi="Calibri" w:cs="Calibri"/>
          <w:sz w:val="22"/>
          <w:szCs w:val="22"/>
        </w:rPr>
        <w:t>experiences, available resources and structural constraints that shape these path</w:t>
      </w:r>
      <w:r w:rsidR="004D4881" w:rsidRPr="001B2B7B">
        <w:rPr>
          <w:rFonts w:ascii="Calibri" w:eastAsia="Calibri" w:hAnsi="Calibri" w:cs="Calibri"/>
          <w:sz w:val="22"/>
          <w:szCs w:val="22"/>
        </w:rPr>
        <w:t xml:space="preserve">s (Hooley et al., 2024). </w:t>
      </w:r>
      <w:r w:rsidR="00285FA0" w:rsidRPr="001B2B7B">
        <w:rPr>
          <w:rFonts w:ascii="Calibri" w:eastAsia="Calibri" w:hAnsi="Calibri" w:cs="Calibri"/>
          <w:sz w:val="22"/>
          <w:szCs w:val="22"/>
        </w:rPr>
        <w:t xml:space="preserve">In this perspective, guidance provides a privileged space </w:t>
      </w:r>
      <w:r w:rsidR="00081775" w:rsidRPr="001B2B7B">
        <w:rPr>
          <w:rFonts w:ascii="Calibri" w:eastAsia="Calibri" w:hAnsi="Calibri" w:cs="Calibri"/>
          <w:sz w:val="22"/>
          <w:szCs w:val="22"/>
        </w:rPr>
        <w:t xml:space="preserve">for helping people to define the meaning of their trajectory and to develop their capacity </w:t>
      </w:r>
      <w:r w:rsidR="00081775" w:rsidRPr="001B2B7B">
        <w:rPr>
          <w:rFonts w:ascii="Calibri" w:eastAsia="Calibri" w:hAnsi="Calibri" w:cs="Calibri"/>
          <w:sz w:val="22"/>
          <w:szCs w:val="22"/>
        </w:rPr>
        <w:lastRenderedPageBreak/>
        <w:t xml:space="preserve">to </w:t>
      </w:r>
      <w:proofErr w:type="gramStart"/>
      <w:r w:rsidR="00081775" w:rsidRPr="001B2B7B">
        <w:rPr>
          <w:rFonts w:ascii="Calibri" w:eastAsia="Calibri" w:hAnsi="Calibri" w:cs="Calibri"/>
          <w:sz w:val="22"/>
          <w:szCs w:val="22"/>
        </w:rPr>
        <w:t>take action</w:t>
      </w:r>
      <w:proofErr w:type="gramEnd"/>
      <w:r w:rsidR="00081775" w:rsidRPr="001B2B7B">
        <w:rPr>
          <w:rFonts w:ascii="Calibri" w:eastAsia="Calibri" w:hAnsi="Calibri" w:cs="Calibri"/>
          <w:sz w:val="22"/>
          <w:szCs w:val="22"/>
        </w:rPr>
        <w:t>. Exploring the pathways of diverse populations provides a better understanding of how individuals navigate the complexity of contemporary trajectories and the forms of support that can facilitate their navigation.</w:t>
      </w:r>
    </w:p>
    <w:p w14:paraId="0AAE4BFE" w14:textId="3303B032" w:rsidR="00081775" w:rsidRPr="001B2B7B" w:rsidRDefault="004D4881" w:rsidP="00774D52">
      <w:pPr>
        <w:spacing w:line="240" w:lineRule="auto"/>
        <w:jc w:val="both"/>
        <w:rPr>
          <w:rFonts w:ascii="Calibri" w:eastAsia="Calibri" w:hAnsi="Calibri" w:cs="Calibri"/>
          <w:sz w:val="22"/>
          <w:szCs w:val="22"/>
        </w:rPr>
      </w:pPr>
      <w:r w:rsidRPr="001B2B7B">
        <w:rPr>
          <w:rFonts w:ascii="Calibri" w:eastAsia="Calibri" w:hAnsi="Calibri" w:cs="Calibri"/>
          <w:b/>
          <w:bCs/>
          <w:sz w:val="22"/>
          <w:szCs w:val="22"/>
        </w:rPr>
        <w:t>Objecti</w:t>
      </w:r>
      <w:r w:rsidR="00B403A9" w:rsidRPr="001B2B7B">
        <w:rPr>
          <w:rFonts w:ascii="Calibri" w:eastAsia="Calibri" w:hAnsi="Calibri" w:cs="Calibri"/>
          <w:b/>
          <w:bCs/>
          <w:sz w:val="22"/>
          <w:szCs w:val="22"/>
        </w:rPr>
        <w:t>ve</w:t>
      </w:r>
      <w:r w:rsidRPr="001B2B7B">
        <w:rPr>
          <w:rFonts w:ascii="Calibri" w:eastAsia="Calibri" w:hAnsi="Calibri" w:cs="Calibri"/>
          <w:b/>
          <w:bCs/>
          <w:sz w:val="22"/>
          <w:szCs w:val="22"/>
        </w:rPr>
        <w:t>.</w:t>
      </w:r>
      <w:r w:rsidRPr="001B2B7B">
        <w:rPr>
          <w:rFonts w:ascii="Calibri" w:eastAsia="Calibri" w:hAnsi="Calibri" w:cs="Calibri"/>
          <w:sz w:val="22"/>
          <w:szCs w:val="22"/>
        </w:rPr>
        <w:t xml:space="preserve"> </w:t>
      </w:r>
      <w:r w:rsidR="00081775" w:rsidRPr="001B2B7B">
        <w:rPr>
          <w:rFonts w:ascii="Calibri" w:eastAsia="Calibri" w:hAnsi="Calibri" w:cs="Calibri"/>
          <w:sz w:val="22"/>
          <w:szCs w:val="22"/>
        </w:rPr>
        <w:t xml:space="preserve">This symposium aims to shed light on the contributions of research in career guidance and education </w:t>
      </w:r>
      <w:r w:rsidR="009B4858" w:rsidRPr="001B2B7B">
        <w:rPr>
          <w:rFonts w:ascii="Calibri" w:eastAsia="Calibri" w:hAnsi="Calibri" w:cs="Calibri"/>
          <w:sz w:val="22"/>
          <w:szCs w:val="22"/>
        </w:rPr>
        <w:t>to better understanding</w:t>
      </w:r>
      <w:r w:rsidR="00081775" w:rsidRPr="001B2B7B">
        <w:rPr>
          <w:rFonts w:ascii="Calibri" w:eastAsia="Calibri" w:hAnsi="Calibri" w:cs="Calibri"/>
          <w:sz w:val="22"/>
          <w:szCs w:val="22"/>
        </w:rPr>
        <w:t xml:space="preserve"> learning, career and life courses in a context of </w:t>
      </w:r>
      <w:r w:rsidR="000D6328" w:rsidRPr="001B2B7B">
        <w:rPr>
          <w:rFonts w:ascii="Calibri" w:eastAsia="Calibri" w:hAnsi="Calibri" w:cs="Calibri"/>
          <w:sz w:val="22"/>
          <w:szCs w:val="22"/>
        </w:rPr>
        <w:t xml:space="preserve">increasing complexity and </w:t>
      </w:r>
      <w:r w:rsidR="00081775" w:rsidRPr="001B2B7B">
        <w:rPr>
          <w:rFonts w:ascii="Calibri" w:eastAsia="Calibri" w:hAnsi="Calibri" w:cs="Calibri"/>
          <w:sz w:val="22"/>
          <w:szCs w:val="22"/>
        </w:rPr>
        <w:t xml:space="preserve">multiplication of transitions. It will bring together </w:t>
      </w:r>
      <w:r w:rsidR="00B403A9" w:rsidRPr="001B2B7B">
        <w:rPr>
          <w:rFonts w:ascii="Calibri" w:eastAsia="Calibri" w:hAnsi="Calibri" w:cs="Calibri"/>
          <w:sz w:val="22"/>
          <w:szCs w:val="22"/>
        </w:rPr>
        <w:t>research</w:t>
      </w:r>
      <w:r w:rsidR="00081775" w:rsidRPr="001B2B7B">
        <w:rPr>
          <w:rFonts w:ascii="Calibri" w:eastAsia="Calibri" w:hAnsi="Calibri" w:cs="Calibri"/>
          <w:sz w:val="22"/>
          <w:szCs w:val="22"/>
        </w:rPr>
        <w:t xml:space="preserve"> on </w:t>
      </w:r>
      <w:r w:rsidR="00B403A9" w:rsidRPr="001B2B7B">
        <w:rPr>
          <w:rFonts w:ascii="Calibri" w:eastAsia="Calibri" w:hAnsi="Calibri" w:cs="Calibri"/>
          <w:sz w:val="22"/>
          <w:szCs w:val="22"/>
        </w:rPr>
        <w:t>various</w:t>
      </w:r>
      <w:r w:rsidR="00081775" w:rsidRPr="001B2B7B">
        <w:rPr>
          <w:rFonts w:ascii="Calibri" w:eastAsia="Calibri" w:hAnsi="Calibri" w:cs="Calibri"/>
          <w:sz w:val="22"/>
          <w:szCs w:val="22"/>
        </w:rPr>
        <w:t xml:space="preserve"> populations, contexts and transition</w:t>
      </w:r>
      <w:r w:rsidR="00B403A9" w:rsidRPr="001B2B7B">
        <w:rPr>
          <w:rFonts w:ascii="Calibri" w:eastAsia="Calibri" w:hAnsi="Calibri" w:cs="Calibri"/>
          <w:sz w:val="22"/>
          <w:szCs w:val="22"/>
        </w:rPr>
        <w:t>al periods to</w:t>
      </w:r>
      <w:r w:rsidR="00081775" w:rsidRPr="001B2B7B">
        <w:rPr>
          <w:rFonts w:ascii="Calibri" w:eastAsia="Calibri" w:hAnsi="Calibri" w:cs="Calibri"/>
          <w:sz w:val="22"/>
          <w:szCs w:val="22"/>
        </w:rPr>
        <w:t xml:space="preserve"> better understand the dynamics that</w:t>
      </w:r>
      <w:r w:rsidR="00B403A9" w:rsidRPr="001B2B7B">
        <w:rPr>
          <w:rFonts w:ascii="Calibri" w:eastAsia="Calibri" w:hAnsi="Calibri" w:cs="Calibri"/>
          <w:sz w:val="22"/>
          <w:szCs w:val="22"/>
        </w:rPr>
        <w:t xml:space="preserve"> shape life trajectories, as well as the challenges associated with supporting them. </w:t>
      </w:r>
      <w:r w:rsidR="00210DB2" w:rsidRPr="00210DB2">
        <w:rPr>
          <w:rFonts w:ascii="Calibri" w:eastAsia="Calibri" w:hAnsi="Calibri" w:cs="Calibri"/>
          <w:sz w:val="22"/>
          <w:szCs w:val="22"/>
        </w:rPr>
        <w:t xml:space="preserve">Through these contributions, the symposium seeks to identify avenues for reflection to support individuals and those who work with them in constructing their pathways and navigating the tensions, challenges, and opportunities they encounter. </w:t>
      </w:r>
      <w:r w:rsidR="002734F3" w:rsidRPr="00C212A7">
        <w:rPr>
          <w:rFonts w:ascii="Calibri" w:eastAsia="Calibri" w:hAnsi="Calibri" w:cs="Calibri"/>
          <w:sz w:val="22"/>
          <w:szCs w:val="22"/>
        </w:rPr>
        <w:t>Taken together, the six presentations are grounded in diverse empirical contexts, including social vulnerability, migration, health,</w:t>
      </w:r>
      <w:r w:rsidR="00C212A7" w:rsidRPr="00C212A7">
        <w:rPr>
          <w:rFonts w:ascii="Calibri" w:eastAsia="Calibri" w:hAnsi="Calibri" w:cs="Calibri"/>
          <w:sz w:val="22"/>
          <w:szCs w:val="22"/>
        </w:rPr>
        <w:t xml:space="preserve"> experiences of disruption</w:t>
      </w:r>
      <w:r w:rsidR="002734F3" w:rsidRPr="00C212A7">
        <w:rPr>
          <w:rFonts w:ascii="Calibri" w:eastAsia="Calibri" w:hAnsi="Calibri" w:cs="Calibri"/>
          <w:sz w:val="22"/>
          <w:szCs w:val="22"/>
        </w:rPr>
        <w:t>, and precariousness, but converge around a shared analytical concern: understanding how individuals navigate increasingly complex trajectories under conditions of constraint, where agency is continuously negotiated within structural, social, and temporal limitations. In doing so, the symposium offers a critical perspective on the conference theme of “navigating the future” by highlighting that navigating the future does not always involve anticipation and choice, but often unfolds through processes of adjustment, uncertainty, and constrained possibilities.</w:t>
      </w:r>
    </w:p>
    <w:p w14:paraId="77295BC6" w14:textId="73FBFDCC" w:rsidR="004D4881" w:rsidRPr="001B2B7B" w:rsidRDefault="004D4881" w:rsidP="00774D52">
      <w:pPr>
        <w:spacing w:line="240" w:lineRule="auto"/>
        <w:jc w:val="both"/>
        <w:rPr>
          <w:rFonts w:ascii="Calibri" w:eastAsia="Calibri" w:hAnsi="Calibri" w:cs="Calibri"/>
          <w:sz w:val="22"/>
          <w:szCs w:val="22"/>
        </w:rPr>
      </w:pPr>
      <w:r w:rsidRPr="001B2B7B">
        <w:rPr>
          <w:rFonts w:ascii="Calibri" w:eastAsia="Calibri" w:hAnsi="Calibri" w:cs="Calibri"/>
          <w:b/>
          <w:sz w:val="22"/>
          <w:szCs w:val="22"/>
        </w:rPr>
        <w:t>M</w:t>
      </w:r>
      <w:r w:rsidR="00B403A9" w:rsidRPr="001B2B7B">
        <w:rPr>
          <w:rFonts w:ascii="Calibri" w:eastAsia="Calibri" w:hAnsi="Calibri" w:cs="Calibri"/>
          <w:b/>
          <w:sz w:val="22"/>
          <w:szCs w:val="22"/>
        </w:rPr>
        <w:t>ethodology.</w:t>
      </w:r>
      <w:r w:rsidRPr="001B2B7B">
        <w:rPr>
          <w:rFonts w:ascii="Calibri" w:eastAsia="Calibri" w:hAnsi="Calibri" w:cs="Calibri"/>
          <w:sz w:val="22"/>
          <w:szCs w:val="22"/>
        </w:rPr>
        <w:t xml:space="preserve"> </w:t>
      </w:r>
      <w:r w:rsidR="00B403A9" w:rsidRPr="001B2B7B">
        <w:rPr>
          <w:rFonts w:ascii="Calibri" w:eastAsia="Calibri" w:hAnsi="Calibri" w:cs="Calibri"/>
          <w:sz w:val="22"/>
          <w:szCs w:val="22"/>
        </w:rPr>
        <w:t>From a methodological standpoint</w:t>
      </w:r>
      <w:r w:rsidR="00EA3180" w:rsidRPr="001B2B7B">
        <w:rPr>
          <w:rFonts w:ascii="Calibri" w:eastAsia="Calibri" w:hAnsi="Calibri" w:cs="Calibri"/>
          <w:sz w:val="22"/>
          <w:szCs w:val="22"/>
        </w:rPr>
        <w:t xml:space="preserve">, </w:t>
      </w:r>
      <w:r w:rsidR="00B403A9" w:rsidRPr="001B2B7B">
        <w:rPr>
          <w:rFonts w:ascii="Calibri" w:eastAsia="Calibri" w:hAnsi="Calibri" w:cs="Calibri"/>
          <w:sz w:val="22"/>
          <w:szCs w:val="22"/>
        </w:rPr>
        <w:t>this symposium</w:t>
      </w:r>
      <w:r w:rsidR="00EA3180" w:rsidRPr="001B2B7B">
        <w:rPr>
          <w:rFonts w:ascii="Calibri" w:eastAsia="Calibri" w:hAnsi="Calibri" w:cs="Calibri"/>
          <w:sz w:val="22"/>
          <w:szCs w:val="22"/>
        </w:rPr>
        <w:t xml:space="preserve"> </w:t>
      </w:r>
      <w:r w:rsidR="00B403A9" w:rsidRPr="001B2B7B">
        <w:rPr>
          <w:rFonts w:ascii="Calibri" w:eastAsia="Calibri" w:hAnsi="Calibri" w:cs="Calibri"/>
          <w:sz w:val="22"/>
          <w:szCs w:val="22"/>
        </w:rPr>
        <w:t>will include</w:t>
      </w:r>
      <w:r w:rsidR="00EA3180" w:rsidRPr="001B2B7B">
        <w:rPr>
          <w:rFonts w:ascii="Calibri" w:eastAsia="Calibri" w:hAnsi="Calibri" w:cs="Calibri"/>
          <w:sz w:val="22"/>
          <w:szCs w:val="22"/>
        </w:rPr>
        <w:t xml:space="preserve"> </w:t>
      </w:r>
      <w:r w:rsidR="000D6328" w:rsidRPr="001B2B7B">
        <w:rPr>
          <w:rFonts w:ascii="Calibri" w:eastAsia="Calibri" w:hAnsi="Calibri" w:cs="Calibri"/>
          <w:sz w:val="22"/>
          <w:szCs w:val="22"/>
        </w:rPr>
        <w:t xml:space="preserve">research </w:t>
      </w:r>
      <w:r w:rsidR="00B403A9" w:rsidRPr="001B2B7B">
        <w:rPr>
          <w:rFonts w:ascii="Calibri" w:eastAsia="Calibri" w:hAnsi="Calibri" w:cs="Calibri"/>
          <w:sz w:val="22"/>
          <w:szCs w:val="22"/>
        </w:rPr>
        <w:t>papers</w:t>
      </w:r>
      <w:r w:rsidR="000D6328" w:rsidRPr="001B2B7B">
        <w:rPr>
          <w:rFonts w:ascii="Calibri" w:eastAsia="Calibri" w:hAnsi="Calibri" w:cs="Calibri"/>
          <w:sz w:val="22"/>
          <w:szCs w:val="22"/>
        </w:rPr>
        <w:t xml:space="preserve"> </w:t>
      </w:r>
      <w:r w:rsidR="00B403A9" w:rsidRPr="001B2B7B">
        <w:rPr>
          <w:rFonts w:ascii="Calibri" w:eastAsia="Calibri" w:hAnsi="Calibri" w:cs="Calibri"/>
          <w:sz w:val="22"/>
          <w:szCs w:val="22"/>
        </w:rPr>
        <w:t xml:space="preserve">from various disciplines (career guidance, education, sociology, etc.) pursuing a diverse and multifaceted range of goals: explanatory, descriptive, </w:t>
      </w:r>
      <w:r w:rsidR="00D11309" w:rsidRPr="001B2B7B">
        <w:rPr>
          <w:rFonts w:ascii="Calibri" w:eastAsia="Calibri" w:hAnsi="Calibri" w:cs="Calibri"/>
          <w:sz w:val="22"/>
          <w:szCs w:val="22"/>
        </w:rPr>
        <w:t>interpretative</w:t>
      </w:r>
      <w:r w:rsidR="00B403A9" w:rsidRPr="001B2B7B">
        <w:rPr>
          <w:rFonts w:ascii="Calibri" w:eastAsia="Calibri" w:hAnsi="Calibri" w:cs="Calibri"/>
          <w:sz w:val="22"/>
          <w:szCs w:val="22"/>
        </w:rPr>
        <w:t xml:space="preserve">, and transformative. This convergence of disciplinary and epistemological perspectives will help deepen our understanding of life trajectories in an international context marked by an increasing </w:t>
      </w:r>
      <w:r w:rsidR="00B17340" w:rsidRPr="001B2B7B">
        <w:rPr>
          <w:rFonts w:ascii="Calibri" w:eastAsia="Calibri" w:hAnsi="Calibri" w:cs="Calibri"/>
          <w:sz w:val="22"/>
          <w:szCs w:val="22"/>
        </w:rPr>
        <w:t>multiplicity and</w:t>
      </w:r>
      <w:r w:rsidR="00B403A9" w:rsidRPr="001B2B7B">
        <w:rPr>
          <w:rFonts w:ascii="Calibri" w:eastAsia="Calibri" w:hAnsi="Calibri" w:cs="Calibri"/>
          <w:sz w:val="22"/>
          <w:szCs w:val="22"/>
        </w:rPr>
        <w:t xml:space="preserve"> complexity of trans</w:t>
      </w:r>
      <w:r w:rsidR="00B17340" w:rsidRPr="001B2B7B">
        <w:rPr>
          <w:rFonts w:ascii="Calibri" w:eastAsia="Calibri" w:hAnsi="Calibri" w:cs="Calibri"/>
          <w:sz w:val="22"/>
          <w:szCs w:val="22"/>
        </w:rPr>
        <w:t>itions.</w:t>
      </w:r>
    </w:p>
    <w:p w14:paraId="2FE93EEA" w14:textId="05DC4D44" w:rsidR="00275388" w:rsidRPr="001B2B7B" w:rsidRDefault="00275388" w:rsidP="00774D52">
      <w:pPr>
        <w:spacing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Presentations (6):</w:t>
      </w:r>
    </w:p>
    <w:p w14:paraId="348B0191" w14:textId="58DB2DA6" w:rsidR="00437B21" w:rsidRPr="001B2B7B" w:rsidRDefault="007807AD" w:rsidP="00774D52">
      <w:pPr>
        <w:spacing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 xml:space="preserve">1. </w:t>
      </w:r>
      <w:r w:rsidR="00437B21" w:rsidRPr="001B2B7B">
        <w:rPr>
          <w:rFonts w:ascii="Calibri" w:eastAsia="Calibri" w:hAnsi="Calibri" w:cs="Calibri"/>
          <w:b/>
          <w:bCs/>
          <w:sz w:val="22"/>
          <w:szCs w:val="22"/>
        </w:rPr>
        <w:t xml:space="preserve">The </w:t>
      </w:r>
      <w:r w:rsidR="007F6C61" w:rsidRPr="001B2B7B">
        <w:rPr>
          <w:rFonts w:ascii="Calibri" w:eastAsia="Calibri" w:hAnsi="Calibri" w:cs="Calibri"/>
          <w:b/>
          <w:bCs/>
          <w:sz w:val="22"/>
          <w:szCs w:val="22"/>
        </w:rPr>
        <w:t xml:space="preserve">Interplay </w:t>
      </w:r>
      <w:r w:rsidR="00437B21" w:rsidRPr="001B2B7B">
        <w:rPr>
          <w:rFonts w:ascii="Calibri" w:eastAsia="Calibri" w:hAnsi="Calibri" w:cs="Calibri"/>
          <w:b/>
          <w:bCs/>
          <w:sz w:val="22"/>
          <w:szCs w:val="22"/>
        </w:rPr>
        <w:t xml:space="preserve">of </w:t>
      </w:r>
      <w:r w:rsidR="007F6C61" w:rsidRPr="001B2B7B">
        <w:rPr>
          <w:rFonts w:ascii="Calibri" w:eastAsia="Calibri" w:hAnsi="Calibri" w:cs="Calibri"/>
          <w:b/>
          <w:bCs/>
          <w:sz w:val="22"/>
          <w:szCs w:val="22"/>
        </w:rPr>
        <w:t>H</w:t>
      </w:r>
      <w:r w:rsidR="00437B21" w:rsidRPr="001B2B7B">
        <w:rPr>
          <w:rFonts w:ascii="Calibri" w:eastAsia="Calibri" w:hAnsi="Calibri" w:cs="Calibri"/>
          <w:b/>
          <w:bCs/>
          <w:sz w:val="22"/>
          <w:szCs w:val="22"/>
        </w:rPr>
        <w:t xml:space="preserve">ealth and </w:t>
      </w:r>
      <w:r w:rsidR="007F6C61" w:rsidRPr="001B2B7B">
        <w:rPr>
          <w:rFonts w:ascii="Calibri" w:eastAsia="Calibri" w:hAnsi="Calibri" w:cs="Calibri"/>
          <w:b/>
          <w:bCs/>
          <w:sz w:val="22"/>
          <w:szCs w:val="22"/>
        </w:rPr>
        <w:t>Employability I</w:t>
      </w:r>
      <w:r w:rsidR="00437B21" w:rsidRPr="001B2B7B">
        <w:rPr>
          <w:rFonts w:ascii="Calibri" w:eastAsia="Calibri" w:hAnsi="Calibri" w:cs="Calibri"/>
          <w:b/>
          <w:bCs/>
          <w:sz w:val="22"/>
          <w:szCs w:val="22"/>
        </w:rPr>
        <w:t xml:space="preserve">ssues in the </w:t>
      </w:r>
      <w:r w:rsidR="007F6C61" w:rsidRPr="001B2B7B">
        <w:rPr>
          <w:rFonts w:ascii="Calibri" w:eastAsia="Calibri" w:hAnsi="Calibri" w:cs="Calibri"/>
          <w:b/>
          <w:bCs/>
          <w:sz w:val="22"/>
          <w:szCs w:val="22"/>
        </w:rPr>
        <w:t>P</w:t>
      </w:r>
      <w:r w:rsidR="00437B21" w:rsidRPr="001B2B7B">
        <w:rPr>
          <w:rFonts w:ascii="Calibri" w:eastAsia="Calibri" w:hAnsi="Calibri" w:cs="Calibri"/>
          <w:b/>
          <w:bCs/>
          <w:sz w:val="22"/>
          <w:szCs w:val="22"/>
        </w:rPr>
        <w:t xml:space="preserve">rofessional </w:t>
      </w:r>
      <w:r w:rsidR="007F6C61" w:rsidRPr="001B2B7B">
        <w:rPr>
          <w:rFonts w:ascii="Calibri" w:eastAsia="Calibri" w:hAnsi="Calibri" w:cs="Calibri"/>
          <w:b/>
          <w:bCs/>
          <w:sz w:val="22"/>
          <w:szCs w:val="22"/>
        </w:rPr>
        <w:t>I</w:t>
      </w:r>
      <w:r w:rsidR="00437B21" w:rsidRPr="001B2B7B">
        <w:rPr>
          <w:rFonts w:ascii="Calibri" w:eastAsia="Calibri" w:hAnsi="Calibri" w:cs="Calibri"/>
          <w:b/>
          <w:bCs/>
          <w:sz w:val="22"/>
          <w:szCs w:val="22"/>
        </w:rPr>
        <w:t xml:space="preserve">ntegration </w:t>
      </w:r>
      <w:r w:rsidR="007F6C61" w:rsidRPr="001B2B7B">
        <w:rPr>
          <w:rFonts w:ascii="Calibri" w:eastAsia="Calibri" w:hAnsi="Calibri" w:cs="Calibri"/>
          <w:b/>
          <w:bCs/>
          <w:sz w:val="22"/>
          <w:szCs w:val="22"/>
        </w:rPr>
        <w:t>P</w:t>
      </w:r>
      <w:r w:rsidR="00437B21" w:rsidRPr="001B2B7B">
        <w:rPr>
          <w:rFonts w:ascii="Calibri" w:eastAsia="Calibri" w:hAnsi="Calibri" w:cs="Calibri"/>
          <w:b/>
          <w:bCs/>
          <w:sz w:val="22"/>
          <w:szCs w:val="22"/>
        </w:rPr>
        <w:t xml:space="preserve">rocess of </w:t>
      </w:r>
      <w:r w:rsidR="007F6C61" w:rsidRPr="001B2B7B">
        <w:rPr>
          <w:rFonts w:ascii="Calibri" w:eastAsia="Calibri" w:hAnsi="Calibri" w:cs="Calibri"/>
          <w:b/>
          <w:bCs/>
          <w:sz w:val="22"/>
          <w:szCs w:val="22"/>
        </w:rPr>
        <w:t>P</w:t>
      </w:r>
      <w:r w:rsidR="00437B21" w:rsidRPr="001B2B7B">
        <w:rPr>
          <w:rFonts w:ascii="Calibri" w:eastAsia="Calibri" w:hAnsi="Calibri" w:cs="Calibri"/>
          <w:b/>
          <w:bCs/>
          <w:sz w:val="22"/>
          <w:szCs w:val="22"/>
        </w:rPr>
        <w:t xml:space="preserve">eople in </w:t>
      </w:r>
      <w:r w:rsidR="007F6C61" w:rsidRPr="001B2B7B">
        <w:rPr>
          <w:rFonts w:ascii="Calibri" w:eastAsia="Calibri" w:hAnsi="Calibri" w:cs="Calibri"/>
          <w:b/>
          <w:bCs/>
          <w:sz w:val="22"/>
          <w:szCs w:val="22"/>
        </w:rPr>
        <w:t>S</w:t>
      </w:r>
      <w:r w:rsidR="00437B21" w:rsidRPr="001B2B7B">
        <w:rPr>
          <w:rFonts w:ascii="Calibri" w:eastAsia="Calibri" w:hAnsi="Calibri" w:cs="Calibri"/>
          <w:b/>
          <w:bCs/>
          <w:sz w:val="22"/>
          <w:szCs w:val="22"/>
        </w:rPr>
        <w:t xml:space="preserve">ituations of </w:t>
      </w:r>
      <w:r w:rsidR="007F6C61" w:rsidRPr="001B2B7B">
        <w:rPr>
          <w:rFonts w:ascii="Calibri" w:eastAsia="Calibri" w:hAnsi="Calibri" w:cs="Calibri"/>
          <w:b/>
          <w:bCs/>
          <w:sz w:val="22"/>
          <w:szCs w:val="22"/>
        </w:rPr>
        <w:t xml:space="preserve">Social Vulnerability </w:t>
      </w:r>
      <w:r w:rsidRPr="001B2B7B">
        <w:rPr>
          <w:rFonts w:ascii="Calibri" w:eastAsia="Calibri" w:hAnsi="Calibri" w:cs="Calibri"/>
          <w:b/>
          <w:bCs/>
          <w:sz w:val="22"/>
          <w:szCs w:val="22"/>
        </w:rPr>
        <w:t xml:space="preserve">- </w:t>
      </w:r>
      <w:r w:rsidR="00437B21" w:rsidRPr="001B2B7B">
        <w:rPr>
          <w:rFonts w:ascii="Calibri" w:eastAsia="Calibri" w:hAnsi="Calibri" w:cs="Calibri"/>
          <w:sz w:val="22"/>
          <w:szCs w:val="22"/>
        </w:rPr>
        <w:t>Dionne, Supeno, Chabot</w:t>
      </w:r>
      <w:r w:rsidR="00150A04" w:rsidRPr="001B2B7B">
        <w:rPr>
          <w:rFonts w:ascii="Calibri" w:eastAsia="Calibri" w:hAnsi="Calibri" w:cs="Calibri"/>
          <w:sz w:val="22"/>
          <w:szCs w:val="22"/>
        </w:rPr>
        <w:t>,</w:t>
      </w:r>
      <w:r w:rsidR="00437B21" w:rsidRPr="001B2B7B">
        <w:rPr>
          <w:rFonts w:ascii="Calibri" w:eastAsia="Calibri" w:hAnsi="Calibri" w:cs="Calibri"/>
          <w:sz w:val="22"/>
          <w:szCs w:val="22"/>
        </w:rPr>
        <w:t xml:space="preserve"> </w:t>
      </w:r>
      <w:r w:rsidR="00150A04" w:rsidRPr="001B2B7B">
        <w:rPr>
          <w:rFonts w:ascii="Calibri" w:eastAsia="Calibri" w:hAnsi="Calibri" w:cs="Calibri"/>
          <w:sz w:val="22"/>
          <w:szCs w:val="22"/>
        </w:rPr>
        <w:t xml:space="preserve">&amp; </w:t>
      </w:r>
      <w:r w:rsidR="00437B21" w:rsidRPr="001B2B7B">
        <w:rPr>
          <w:rFonts w:ascii="Calibri" w:eastAsia="Calibri" w:hAnsi="Calibri" w:cs="Calibri"/>
          <w:sz w:val="22"/>
          <w:szCs w:val="22"/>
        </w:rPr>
        <w:t>Sow</w:t>
      </w:r>
    </w:p>
    <w:p w14:paraId="53C7D651" w14:textId="23127F90" w:rsidR="00437B21" w:rsidRPr="001B2B7B" w:rsidRDefault="00437B21" w:rsidP="00774D52">
      <w:pPr>
        <w:spacing w:after="0" w:line="240" w:lineRule="auto"/>
        <w:jc w:val="both"/>
        <w:rPr>
          <w:rFonts w:ascii="Calibri" w:hAnsi="Calibri" w:cs="Calibri"/>
          <w:sz w:val="22"/>
          <w:szCs w:val="22"/>
        </w:rPr>
      </w:pPr>
      <w:r w:rsidRPr="001B2B7B">
        <w:rPr>
          <w:rFonts w:ascii="Calibri" w:hAnsi="Calibri" w:cs="Calibri"/>
          <w:sz w:val="22"/>
          <w:szCs w:val="22"/>
        </w:rPr>
        <w:t>The issue of professional integration for people in situations of social vulnerability remains central. Beyond the economic imperatives put forward in public discourse (e.g., population identified as a potential source of labor to fill workforce shortages, pressure to acquire qualifications in a globalized economy, cost of social benefits), their integration into employment takes place in an uncertain context (Bidart, 2019; Papadakis et al., 2021). Indeed, the non-linear nature of career paths punctuated by unpredictable transitions, the diversification of individuals' relationships to work (Longo, 2018), and the psychosocial and health difficulties affecting individuals in the labor market are increasing and exacerbating social inequalities (Davidson &amp; Arim, 2019). Thus, focusing solely on the employment trajectory in the professional integration process and the learning pathway greatly limits our understanding (</w:t>
      </w:r>
      <w:proofErr w:type="spellStart"/>
      <w:r w:rsidRPr="001B2B7B">
        <w:rPr>
          <w:rFonts w:ascii="Calibri" w:hAnsi="Calibri" w:cs="Calibri"/>
          <w:sz w:val="22"/>
          <w:szCs w:val="22"/>
        </w:rPr>
        <w:t>Berthaud</w:t>
      </w:r>
      <w:proofErr w:type="spellEnd"/>
      <w:r w:rsidRPr="001B2B7B">
        <w:rPr>
          <w:rFonts w:ascii="Calibri" w:hAnsi="Calibri" w:cs="Calibri"/>
          <w:sz w:val="22"/>
          <w:szCs w:val="22"/>
        </w:rPr>
        <w:t xml:space="preserve"> &amp; </w:t>
      </w:r>
      <w:proofErr w:type="spellStart"/>
      <w:r w:rsidRPr="001B2B7B">
        <w:rPr>
          <w:rFonts w:ascii="Calibri" w:hAnsi="Calibri" w:cs="Calibri"/>
          <w:sz w:val="22"/>
          <w:szCs w:val="22"/>
        </w:rPr>
        <w:t>Giret</w:t>
      </w:r>
      <w:proofErr w:type="spellEnd"/>
      <w:r w:rsidRPr="001B2B7B">
        <w:rPr>
          <w:rFonts w:ascii="Calibri" w:hAnsi="Calibri" w:cs="Calibri"/>
          <w:sz w:val="22"/>
          <w:szCs w:val="22"/>
        </w:rPr>
        <w:t xml:space="preserve">, 2022), especially for a population facing adversity likely to weigh on, or even impede, their job search (Thern et al., 2023; Veldman et al., 2023). </w:t>
      </w:r>
      <w:r w:rsidR="00D11309" w:rsidRPr="001B2B7B">
        <w:rPr>
          <w:rFonts w:ascii="Calibri" w:hAnsi="Calibri" w:cs="Calibri"/>
          <w:sz w:val="22"/>
          <w:szCs w:val="22"/>
        </w:rPr>
        <w:t>Such an</w:t>
      </w:r>
      <w:r w:rsidRPr="001B2B7B">
        <w:rPr>
          <w:rFonts w:ascii="Calibri" w:hAnsi="Calibri" w:cs="Calibri"/>
          <w:sz w:val="22"/>
          <w:szCs w:val="22"/>
        </w:rPr>
        <w:t xml:space="preserve"> approach allows for a more nuanced analysis, avoiding a one-dimensional interpretation of their integration (Goyette et al., 2007) and their</w:t>
      </w:r>
      <w:r w:rsidRPr="001B2B7B">
        <w:t xml:space="preserve"> </w:t>
      </w:r>
      <w:r w:rsidRPr="001B2B7B">
        <w:rPr>
          <w:rFonts w:ascii="Calibri" w:hAnsi="Calibri" w:cs="Calibri"/>
          <w:sz w:val="22"/>
          <w:szCs w:val="22"/>
        </w:rPr>
        <w:t>learning pathway. In addition, a process-oriented approach to their professional integration proves particularly fruitful for groups in situations of social vulnerability, as their integration is often built through trial and error, and oscillations between relative stability and precariousness where physical and mental health issues stand out more particularly (Longo et al., 2024; Supeno &amp; Bourdon, 2017). We know that health issues have a lasting impact on opportunities for integration and retention in employment, and health, far from being limited to the absence of disease, can be understood in terms of overall well-being (</w:t>
      </w:r>
      <w:proofErr w:type="spellStart"/>
      <w:r w:rsidRPr="001B2B7B">
        <w:rPr>
          <w:rFonts w:ascii="Calibri" w:hAnsi="Calibri" w:cs="Calibri"/>
          <w:sz w:val="22"/>
          <w:szCs w:val="22"/>
        </w:rPr>
        <w:t>Chauffaut</w:t>
      </w:r>
      <w:proofErr w:type="spellEnd"/>
      <w:r w:rsidRPr="001B2B7B">
        <w:rPr>
          <w:rFonts w:ascii="Calibri" w:hAnsi="Calibri" w:cs="Calibri"/>
          <w:sz w:val="22"/>
          <w:szCs w:val="22"/>
        </w:rPr>
        <w:t xml:space="preserve"> et al., 2004; WHO, 2026). </w:t>
      </w:r>
      <w:r w:rsidR="00783DC8" w:rsidRPr="001B2B7B">
        <w:rPr>
          <w:rFonts w:ascii="Calibri" w:hAnsi="Calibri" w:cs="Calibri"/>
          <w:sz w:val="22"/>
          <w:szCs w:val="22"/>
        </w:rPr>
        <w:t>S</w:t>
      </w:r>
      <w:r w:rsidRPr="001B2B7B">
        <w:rPr>
          <w:rFonts w:ascii="Calibri" w:hAnsi="Calibri" w:cs="Calibri"/>
          <w:sz w:val="22"/>
          <w:szCs w:val="22"/>
        </w:rPr>
        <w:t>ince</w:t>
      </w:r>
      <w:r w:rsidR="00783DC8" w:rsidRPr="001B2B7B">
        <w:rPr>
          <w:rFonts w:ascii="Calibri" w:hAnsi="Calibri" w:cs="Calibri"/>
          <w:sz w:val="22"/>
          <w:szCs w:val="22"/>
        </w:rPr>
        <w:t xml:space="preserve"> the</w:t>
      </w:r>
      <w:r w:rsidRPr="001B2B7B">
        <w:rPr>
          <w:rFonts w:ascii="Calibri" w:hAnsi="Calibri" w:cs="Calibri"/>
          <w:sz w:val="22"/>
          <w:szCs w:val="22"/>
        </w:rPr>
        <w:t xml:space="preserve"> pandemic, health issues have worsened for socially vulnerable people, which greatly hinders their ability to move forward, particularly professionally (Côté et al., 2020). </w:t>
      </w:r>
    </w:p>
    <w:p w14:paraId="3475B592" w14:textId="77777777" w:rsidR="00437B21" w:rsidRPr="001B2B7B" w:rsidRDefault="00437B21" w:rsidP="00774D52">
      <w:pPr>
        <w:spacing w:after="0" w:line="240" w:lineRule="auto"/>
        <w:jc w:val="both"/>
        <w:rPr>
          <w:rFonts w:ascii="Calibri" w:hAnsi="Calibri" w:cs="Calibri"/>
          <w:sz w:val="22"/>
          <w:szCs w:val="22"/>
        </w:rPr>
      </w:pPr>
    </w:p>
    <w:p w14:paraId="57364371" w14:textId="6113843D" w:rsidR="003723AC" w:rsidRPr="001B2B7B" w:rsidRDefault="00437B21" w:rsidP="00774D52">
      <w:pPr>
        <w:spacing w:line="240" w:lineRule="auto"/>
        <w:jc w:val="both"/>
        <w:rPr>
          <w:rFonts w:ascii="Calibri" w:hAnsi="Calibri" w:cs="Calibri"/>
          <w:sz w:val="22"/>
          <w:szCs w:val="22"/>
        </w:rPr>
      </w:pPr>
      <w:r w:rsidRPr="001B2B7B">
        <w:rPr>
          <w:rFonts w:ascii="Calibri" w:hAnsi="Calibri" w:cs="Calibri"/>
          <w:sz w:val="22"/>
          <w:szCs w:val="22"/>
        </w:rPr>
        <w:t>It is in this context that this longitudinal research was conducted between 2023 and 2025 with a convenience sample of people considered to be distant from the labor market in Quebec, Canada (n=42) divided into two samples based on participation in a program designed to support activation toward employment.</w:t>
      </w:r>
      <w:r w:rsidR="00EA5B78">
        <w:rPr>
          <w:rFonts w:ascii="Calibri" w:hAnsi="Calibri" w:cs="Calibri"/>
          <w:sz w:val="22"/>
          <w:szCs w:val="22"/>
        </w:rPr>
        <w:t xml:space="preserve"> </w:t>
      </w:r>
      <w:r w:rsidRPr="001B2B7B">
        <w:rPr>
          <w:rFonts w:ascii="Calibri" w:hAnsi="Calibri" w:cs="Calibri"/>
          <w:sz w:val="22"/>
          <w:szCs w:val="22"/>
        </w:rPr>
        <w:t xml:space="preserve">These individuals </w:t>
      </w:r>
      <w:proofErr w:type="gramStart"/>
      <w:r w:rsidRPr="001B2B7B">
        <w:rPr>
          <w:rFonts w:ascii="Calibri" w:hAnsi="Calibri" w:cs="Calibri"/>
          <w:sz w:val="22"/>
          <w:szCs w:val="22"/>
        </w:rPr>
        <w:t>have to</w:t>
      </w:r>
      <w:proofErr w:type="gramEnd"/>
      <w:r w:rsidRPr="001B2B7B">
        <w:rPr>
          <w:rFonts w:ascii="Calibri" w:hAnsi="Calibri" w:cs="Calibri"/>
          <w:sz w:val="22"/>
          <w:szCs w:val="22"/>
        </w:rPr>
        <w:t xml:space="preserve"> deal with a range of situational, dispositional, and environmental barriers (e.g., residential instability, low qualifications, substance use, relationship breakdowns, chronic diseases), which makes them particularly vulnerable to the socioeconomic uncertainties of the labor market (Supeno et al., 2026). Based on two annual rounds of individual interviews and a life cycle calendar (Bourdon et al., 2008), an uninterrupted 24-month sequence of their professional integration process was reconstructed from their employment trajectory, as well as their residential and health trajectories and their social network of close relationships (Bidart &amp; Charbonneau, 2008). For each trajectory, it was possible to document different states (e.g., employed, inactive, unemployed, volunteering) and transitions (e.g., job loss, starting employment, accident), thus providing a picture of the connections between the trajectories studied and </w:t>
      </w:r>
      <w:r w:rsidRPr="001B2B7B">
        <w:rPr>
          <w:rFonts w:ascii="Calibri" w:hAnsi="Calibri" w:cs="Calibri"/>
          <w:sz w:val="22"/>
          <w:szCs w:val="22"/>
        </w:rPr>
        <w:lastRenderedPageBreak/>
        <w:t>highlighting their impact on the individuals' professional integration process. Two interview corpuses were subjected to thematic analysis using NVivo: the first concerns the two waves of interviews with job seekers whose professional integration was analyzed based on certain dimensions (e.g., job search strategies, resources, and perceived obstacles to integration). The second concerns the analysis of the focus group of career guidance professionals who supported the majority of the first sample (n=7). The objective of this paper is to offer a more specific analysis of the interactions between health and employability issues during these individuals</w:t>
      </w:r>
      <w:r w:rsidR="003A3CF1" w:rsidRPr="001B2B7B">
        <w:rPr>
          <w:rFonts w:ascii="Calibri" w:hAnsi="Calibri" w:cs="Calibri"/>
          <w:sz w:val="22"/>
          <w:szCs w:val="22"/>
        </w:rPr>
        <w:t>’</w:t>
      </w:r>
      <w:r w:rsidRPr="001B2B7B">
        <w:rPr>
          <w:rFonts w:ascii="Calibri" w:hAnsi="Calibri" w:cs="Calibri"/>
          <w:sz w:val="22"/>
          <w:szCs w:val="22"/>
        </w:rPr>
        <w:t xml:space="preserve"> professional integration processes within the context of their life course. </w:t>
      </w:r>
    </w:p>
    <w:p w14:paraId="46A1F964" w14:textId="5E844210" w:rsidR="0003721D" w:rsidRPr="001B2B7B" w:rsidRDefault="00705A01" w:rsidP="00774D52">
      <w:pPr>
        <w:spacing w:after="0" w:line="240" w:lineRule="auto"/>
        <w:jc w:val="both"/>
        <w:rPr>
          <w:rFonts w:ascii="Calibri" w:hAnsi="Calibri" w:cs="Calibri"/>
          <w:sz w:val="22"/>
          <w:szCs w:val="22"/>
        </w:rPr>
      </w:pPr>
      <w:r w:rsidRPr="001B2B7B">
        <w:rPr>
          <w:rFonts w:ascii="Calibri" w:eastAsia="Calibri" w:hAnsi="Calibri" w:cs="Calibri"/>
          <w:b/>
          <w:bCs/>
          <w:sz w:val="22"/>
          <w:szCs w:val="22"/>
        </w:rPr>
        <w:t xml:space="preserve">2. </w:t>
      </w:r>
      <w:r w:rsidR="00D633F1" w:rsidRPr="001B2B7B">
        <w:rPr>
          <w:rFonts w:ascii="Calibri" w:eastAsia="Calibri" w:hAnsi="Calibri" w:cs="Calibri"/>
          <w:b/>
          <w:bCs/>
          <w:sz w:val="22"/>
          <w:szCs w:val="22"/>
        </w:rPr>
        <w:t>Navigating Opportunities and Constraints: Immigrants’ Pathways in Vocational Education and Training in Quebec (Canada)</w:t>
      </w:r>
      <w:r w:rsidR="00D633F1" w:rsidRPr="001B2B7B">
        <w:rPr>
          <w:rFonts w:ascii="Calibri" w:hAnsi="Calibri" w:cs="Calibri"/>
          <w:b/>
          <w:bCs/>
          <w:sz w:val="22"/>
          <w:szCs w:val="22"/>
        </w:rPr>
        <w:t xml:space="preserve"> </w:t>
      </w:r>
      <w:r w:rsidR="0003721D" w:rsidRPr="001B2B7B">
        <w:rPr>
          <w:rFonts w:ascii="Calibri" w:hAnsi="Calibri" w:cs="Calibri"/>
          <w:sz w:val="22"/>
          <w:szCs w:val="22"/>
        </w:rPr>
        <w:t>–</w:t>
      </w:r>
      <w:r w:rsidR="00D633F1" w:rsidRPr="001B2B7B">
        <w:rPr>
          <w:rFonts w:ascii="Calibri" w:hAnsi="Calibri" w:cs="Calibri"/>
          <w:sz w:val="22"/>
          <w:szCs w:val="22"/>
        </w:rPr>
        <w:t xml:space="preserve"> </w:t>
      </w:r>
      <w:r w:rsidR="007F6C61" w:rsidRPr="001B2B7B">
        <w:rPr>
          <w:rFonts w:ascii="Calibri" w:hAnsi="Calibri" w:cs="Calibri"/>
          <w:sz w:val="22"/>
          <w:szCs w:val="22"/>
        </w:rPr>
        <w:t>Joncas</w:t>
      </w:r>
      <w:r w:rsidR="0003721D" w:rsidRPr="001B2B7B">
        <w:rPr>
          <w:rFonts w:ascii="Calibri" w:hAnsi="Calibri" w:cs="Calibri"/>
          <w:sz w:val="22"/>
          <w:szCs w:val="22"/>
        </w:rPr>
        <w:t>, Dionne, Champagne</w:t>
      </w:r>
      <w:r w:rsidR="00150A04" w:rsidRPr="001B2B7B">
        <w:rPr>
          <w:rFonts w:ascii="Calibri" w:hAnsi="Calibri" w:cs="Calibri"/>
          <w:sz w:val="22"/>
          <w:szCs w:val="22"/>
        </w:rPr>
        <w:t>,</w:t>
      </w:r>
      <w:r w:rsidR="0003721D" w:rsidRPr="001B2B7B">
        <w:rPr>
          <w:rFonts w:ascii="Calibri" w:hAnsi="Calibri" w:cs="Calibri"/>
          <w:sz w:val="22"/>
          <w:szCs w:val="22"/>
        </w:rPr>
        <w:t xml:space="preserve"> &amp; </w:t>
      </w:r>
      <w:r w:rsidR="007F6C61" w:rsidRPr="001B2B7B">
        <w:rPr>
          <w:rFonts w:ascii="Calibri" w:hAnsi="Calibri" w:cs="Calibri"/>
          <w:sz w:val="22"/>
          <w:szCs w:val="22"/>
        </w:rPr>
        <w:t>Pierre Alexis</w:t>
      </w:r>
    </w:p>
    <w:p w14:paraId="2AA1F3B9" w14:textId="77777777" w:rsidR="00D633F1" w:rsidRPr="001B2B7B" w:rsidRDefault="00D633F1" w:rsidP="00774D52">
      <w:pPr>
        <w:spacing w:after="0" w:line="240" w:lineRule="auto"/>
        <w:jc w:val="both"/>
        <w:rPr>
          <w:rFonts w:ascii="Calibri" w:hAnsi="Calibri" w:cs="Calibri"/>
          <w:sz w:val="22"/>
          <w:szCs w:val="22"/>
        </w:rPr>
      </w:pPr>
    </w:p>
    <w:p w14:paraId="5044A88C" w14:textId="77777777" w:rsidR="00D633F1" w:rsidRPr="001B2B7B" w:rsidRDefault="00D633F1" w:rsidP="00774D52">
      <w:pPr>
        <w:spacing w:after="0" w:line="240" w:lineRule="auto"/>
        <w:jc w:val="both"/>
        <w:rPr>
          <w:rFonts w:ascii="Calibri" w:hAnsi="Calibri" w:cs="Calibri"/>
          <w:sz w:val="22"/>
          <w:szCs w:val="22"/>
        </w:rPr>
      </w:pPr>
      <w:r w:rsidRPr="001B2B7B">
        <w:rPr>
          <w:rFonts w:ascii="Calibri" w:hAnsi="Calibri" w:cs="Calibri"/>
          <w:sz w:val="22"/>
          <w:szCs w:val="22"/>
        </w:rPr>
        <w:t>A substantial body of research shows that many immigrants in host countries pursue vocational education and training (VET) as a pathway to social and economic integration (</w:t>
      </w:r>
      <w:proofErr w:type="spellStart"/>
      <w:r w:rsidRPr="001B2B7B">
        <w:rPr>
          <w:rFonts w:ascii="Calibri" w:hAnsi="Calibri" w:cs="Calibri"/>
          <w:sz w:val="22"/>
          <w:szCs w:val="22"/>
        </w:rPr>
        <w:t>Bakhshaei</w:t>
      </w:r>
      <w:proofErr w:type="spellEnd"/>
      <w:r w:rsidRPr="001B2B7B">
        <w:rPr>
          <w:rFonts w:ascii="Calibri" w:hAnsi="Calibri" w:cs="Calibri"/>
          <w:sz w:val="22"/>
          <w:szCs w:val="22"/>
        </w:rPr>
        <w:t xml:space="preserve">, 2015; Braham &amp; Diallo, 2023; </w:t>
      </w:r>
      <w:proofErr w:type="spellStart"/>
      <w:r w:rsidRPr="001B2B7B">
        <w:rPr>
          <w:rFonts w:ascii="Calibri" w:hAnsi="Calibri" w:cs="Calibri"/>
          <w:sz w:val="22"/>
          <w:szCs w:val="22"/>
        </w:rPr>
        <w:t>Cerdà</w:t>
      </w:r>
      <w:proofErr w:type="spellEnd"/>
      <w:r w:rsidRPr="001B2B7B">
        <w:rPr>
          <w:rFonts w:ascii="Calibri" w:hAnsi="Calibri" w:cs="Calibri"/>
          <w:sz w:val="22"/>
          <w:szCs w:val="22"/>
        </w:rPr>
        <w:t xml:space="preserve">-Navarro et al., 2020; Holmberg, 2018). Several studies (Bruin et al., 2023; Gannon et al., 2021; Jin &amp; Kopp, 2023; Jeon et al., 2022; Lamb, 2011; </w:t>
      </w:r>
      <w:proofErr w:type="spellStart"/>
      <w:r w:rsidRPr="001B2B7B">
        <w:rPr>
          <w:rFonts w:ascii="Calibri" w:hAnsi="Calibri" w:cs="Calibri"/>
          <w:sz w:val="22"/>
          <w:szCs w:val="22"/>
        </w:rPr>
        <w:t>Nallasamy</w:t>
      </w:r>
      <w:proofErr w:type="spellEnd"/>
      <w:r w:rsidRPr="001B2B7B">
        <w:rPr>
          <w:rFonts w:ascii="Calibri" w:hAnsi="Calibri" w:cs="Calibri"/>
          <w:sz w:val="22"/>
          <w:szCs w:val="22"/>
        </w:rPr>
        <w:t xml:space="preserve">, 2023), as well as a UNESCO (2021) report, underscore the significant contributions of VET to immigrants’ access to the labour market and their broader processes of inclusion. These contributions are particularly evident in contexts where VET provides practical skills, recognized credentials, and structured transitions into employment. At the same time, a growing body of literature highlights the multiple barriers that can constrain immigrants’ pathway within VET. These obstacles include financial difficulties, experiences of discrimination, limited employment opportunities, challenges related to career guidance, lower levels of prior schooling, or increased competition in certain sectors (Ahmed, 2019; </w:t>
      </w:r>
      <w:proofErr w:type="spellStart"/>
      <w:r w:rsidRPr="001B2B7B">
        <w:rPr>
          <w:rFonts w:ascii="Calibri" w:hAnsi="Calibri" w:cs="Calibri"/>
          <w:sz w:val="22"/>
          <w:szCs w:val="22"/>
        </w:rPr>
        <w:t>Cerdà</w:t>
      </w:r>
      <w:proofErr w:type="spellEnd"/>
      <w:r w:rsidRPr="001B2B7B">
        <w:rPr>
          <w:rFonts w:ascii="Calibri" w:hAnsi="Calibri" w:cs="Calibri"/>
          <w:sz w:val="22"/>
          <w:szCs w:val="22"/>
        </w:rPr>
        <w:t xml:space="preserve">-Navarro et al., 2020; </w:t>
      </w:r>
      <w:proofErr w:type="spellStart"/>
      <w:r w:rsidRPr="001B2B7B">
        <w:rPr>
          <w:rFonts w:ascii="Calibri" w:hAnsi="Calibri" w:cs="Calibri"/>
          <w:sz w:val="22"/>
          <w:szCs w:val="22"/>
        </w:rPr>
        <w:t>Chadderton</w:t>
      </w:r>
      <w:proofErr w:type="spellEnd"/>
      <w:r w:rsidRPr="001B2B7B">
        <w:rPr>
          <w:rFonts w:ascii="Calibri" w:hAnsi="Calibri" w:cs="Calibri"/>
          <w:sz w:val="22"/>
          <w:szCs w:val="22"/>
        </w:rPr>
        <w:t xml:space="preserve"> &amp; Edmonds, 2015; </w:t>
      </w:r>
      <w:proofErr w:type="spellStart"/>
      <w:r w:rsidRPr="001B2B7B">
        <w:rPr>
          <w:rFonts w:ascii="Calibri" w:hAnsi="Calibri" w:cs="Calibri"/>
          <w:sz w:val="22"/>
          <w:szCs w:val="22"/>
        </w:rPr>
        <w:t>Onsando</w:t>
      </w:r>
      <w:proofErr w:type="spellEnd"/>
      <w:r w:rsidRPr="001B2B7B">
        <w:rPr>
          <w:rFonts w:ascii="Calibri" w:hAnsi="Calibri" w:cs="Calibri"/>
          <w:sz w:val="22"/>
          <w:szCs w:val="22"/>
        </w:rPr>
        <w:t xml:space="preserve"> &amp; Billett, 2017; Rusert &amp; Stein, 2023). These constraints, often structural, not only affect access to VET programs, but also influence retention and outcomes, making it more difficult to fulfill the promises of VET as a direct pathway to integration. </w:t>
      </w:r>
    </w:p>
    <w:p w14:paraId="7502DA13" w14:textId="77777777" w:rsidR="00D633F1" w:rsidRPr="001B2B7B" w:rsidRDefault="00D633F1" w:rsidP="00774D52">
      <w:pPr>
        <w:spacing w:after="0" w:line="240" w:lineRule="auto"/>
        <w:jc w:val="both"/>
        <w:rPr>
          <w:rFonts w:ascii="Calibri" w:hAnsi="Calibri" w:cs="Calibri"/>
          <w:sz w:val="22"/>
          <w:szCs w:val="22"/>
        </w:rPr>
      </w:pPr>
    </w:p>
    <w:p w14:paraId="0974F53B" w14:textId="12E73742" w:rsidR="00D633F1" w:rsidRPr="001B2B7B" w:rsidRDefault="00D633F1" w:rsidP="00774D52">
      <w:pPr>
        <w:spacing w:after="0" w:line="240" w:lineRule="auto"/>
        <w:jc w:val="both"/>
        <w:rPr>
          <w:rFonts w:ascii="Calibri" w:hAnsi="Calibri" w:cs="Calibri"/>
          <w:sz w:val="22"/>
          <w:szCs w:val="22"/>
        </w:rPr>
      </w:pPr>
      <w:proofErr w:type="gramStart"/>
      <w:r w:rsidRPr="001B2B7B">
        <w:rPr>
          <w:rFonts w:ascii="Calibri" w:hAnsi="Calibri" w:cs="Calibri"/>
          <w:sz w:val="22"/>
          <w:szCs w:val="22"/>
        </w:rPr>
        <w:t>In order to</w:t>
      </w:r>
      <w:proofErr w:type="gramEnd"/>
      <w:r w:rsidRPr="001B2B7B">
        <w:rPr>
          <w:rFonts w:ascii="Calibri" w:hAnsi="Calibri" w:cs="Calibri"/>
          <w:sz w:val="22"/>
          <w:szCs w:val="22"/>
        </w:rPr>
        <w:t xml:space="preserve"> better understand how immigrants navigate these opportunities and constraints, it is necessary to examine their learning pathway during VET. This study documents the experiences of 20 adult immigrants enrolled in VET programs in Quebec (Canada). These participants took part in semi-structured individual interviews based on the trajectory method (</w:t>
      </w:r>
      <w:proofErr w:type="spellStart"/>
      <w:r w:rsidRPr="001B2B7B">
        <w:rPr>
          <w:rFonts w:ascii="Calibri" w:hAnsi="Calibri" w:cs="Calibri"/>
          <w:sz w:val="22"/>
          <w:szCs w:val="22"/>
        </w:rPr>
        <w:t>Loisy</w:t>
      </w:r>
      <w:proofErr w:type="spellEnd"/>
      <w:r w:rsidRPr="001B2B7B">
        <w:rPr>
          <w:rFonts w:ascii="Calibri" w:hAnsi="Calibri" w:cs="Calibri"/>
          <w:sz w:val="22"/>
          <w:szCs w:val="22"/>
        </w:rPr>
        <w:t xml:space="preserve">, 2021), which is a tool to trace learning processes by visualizing the key moments. The analytical framework draws on </w:t>
      </w:r>
      <w:r w:rsidR="007F5CFA" w:rsidRPr="001B2B7B">
        <w:rPr>
          <w:rFonts w:ascii="Calibri" w:hAnsi="Calibri" w:cs="Calibri"/>
          <w:sz w:val="22"/>
          <w:szCs w:val="22"/>
        </w:rPr>
        <w:t xml:space="preserve">the </w:t>
      </w:r>
      <w:r w:rsidRPr="001B2B7B">
        <w:rPr>
          <w:rFonts w:ascii="Calibri" w:hAnsi="Calibri" w:cs="Calibri"/>
          <w:sz w:val="22"/>
          <w:szCs w:val="22"/>
        </w:rPr>
        <w:t>capabilit</w:t>
      </w:r>
      <w:r w:rsidR="007F5CFA" w:rsidRPr="001B2B7B">
        <w:rPr>
          <w:rFonts w:ascii="Calibri" w:hAnsi="Calibri" w:cs="Calibri"/>
          <w:sz w:val="22"/>
          <w:szCs w:val="22"/>
        </w:rPr>
        <w:t>y</w:t>
      </w:r>
      <w:r w:rsidRPr="001B2B7B">
        <w:rPr>
          <w:rFonts w:ascii="Calibri" w:hAnsi="Calibri" w:cs="Calibri"/>
          <w:sz w:val="22"/>
          <w:szCs w:val="22"/>
        </w:rPr>
        <w:t xml:space="preserve"> approach (Sen, 2000), which emphasizes the interplay between individual agency and structural conditions in shaping educational and professional pathways.</w:t>
      </w:r>
    </w:p>
    <w:p w14:paraId="66F08251" w14:textId="77777777" w:rsidR="00D633F1" w:rsidRPr="001B2B7B" w:rsidRDefault="00D633F1" w:rsidP="00774D52">
      <w:pPr>
        <w:spacing w:after="0" w:line="240" w:lineRule="auto"/>
        <w:jc w:val="both"/>
        <w:rPr>
          <w:rFonts w:ascii="Calibri" w:hAnsi="Calibri" w:cs="Calibri"/>
          <w:sz w:val="22"/>
          <w:szCs w:val="22"/>
        </w:rPr>
      </w:pPr>
    </w:p>
    <w:p w14:paraId="3345D452" w14:textId="49FADE74" w:rsidR="00D633F1" w:rsidRPr="000245F3" w:rsidRDefault="00D633F1" w:rsidP="000245F3">
      <w:pPr>
        <w:spacing w:line="240" w:lineRule="auto"/>
        <w:jc w:val="both"/>
        <w:rPr>
          <w:rFonts w:ascii="Calibri" w:hAnsi="Calibri" w:cs="Calibri"/>
          <w:sz w:val="22"/>
          <w:szCs w:val="22"/>
        </w:rPr>
      </w:pPr>
      <w:r w:rsidRPr="001B2B7B">
        <w:rPr>
          <w:rFonts w:ascii="Calibri" w:hAnsi="Calibri" w:cs="Calibri"/>
          <w:sz w:val="22"/>
          <w:szCs w:val="22"/>
        </w:rPr>
        <w:t>Preliminary findings reveal a diversity of motivations underpinning participants’ engagement in VET. While some people report choosing their training program based on an intrinsic interest in a specific trade, a significant proportion describes VET as a default choice, while others view it as a strategy to facilitate the success of their immigration process. Among this latter group, several participants hold university degrees obtained in their countries of origin that are not formally recognized in the host context. Consequently, they often experience a form of professional deskilling and must reorient their careers through vocational pathways. These participants also express heightened concerns regarding the financial burden associated with tuition and training-related expenses. In addition, many participants report facing recurring difficulties throughout their training, including issues related to administrative procedures and institutional requirements, as well as challenges in balancing studies, family, and work, in addition to uncertainties about their future employment prospects. These findings highlight the need for more nuanced and supportive policies to enhance the transformative potential of VET for immigrant populations.</w:t>
      </w:r>
    </w:p>
    <w:p w14:paraId="797CFE93" w14:textId="6E820BDA" w:rsidR="003723AC" w:rsidRPr="001B2B7B" w:rsidRDefault="00705A01" w:rsidP="00774D52">
      <w:pPr>
        <w:spacing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 xml:space="preserve">3. </w:t>
      </w:r>
      <w:r w:rsidR="003723AC" w:rsidRPr="001B2B7B">
        <w:rPr>
          <w:rFonts w:ascii="Calibri" w:eastAsia="Calibri" w:hAnsi="Calibri" w:cs="Calibri"/>
          <w:b/>
          <w:bCs/>
          <w:sz w:val="22"/>
          <w:szCs w:val="22"/>
        </w:rPr>
        <w:t xml:space="preserve">Navigating Uncertainty: Education and Employment Trajectories of Young Adults from the French Caribbean Studying in Quebec </w:t>
      </w:r>
      <w:r w:rsidR="003723AC" w:rsidRPr="001B2B7B">
        <w:rPr>
          <w:rFonts w:ascii="Calibri" w:eastAsia="Calibri" w:hAnsi="Calibri" w:cs="Calibri"/>
          <w:sz w:val="22"/>
          <w:szCs w:val="22"/>
        </w:rPr>
        <w:t xml:space="preserve">- Supeno, </w:t>
      </w:r>
      <w:proofErr w:type="spellStart"/>
      <w:r w:rsidR="003723AC" w:rsidRPr="001B2B7B">
        <w:rPr>
          <w:rFonts w:ascii="Calibri" w:eastAsia="Calibri" w:hAnsi="Calibri" w:cs="Calibri"/>
          <w:sz w:val="22"/>
          <w:szCs w:val="22"/>
        </w:rPr>
        <w:t>Lechaume</w:t>
      </w:r>
      <w:proofErr w:type="spellEnd"/>
      <w:r w:rsidR="00150A04" w:rsidRPr="001B2B7B">
        <w:rPr>
          <w:rFonts w:ascii="Calibri" w:eastAsia="Calibri" w:hAnsi="Calibri" w:cs="Calibri"/>
          <w:sz w:val="22"/>
          <w:szCs w:val="22"/>
        </w:rPr>
        <w:t>,</w:t>
      </w:r>
      <w:r w:rsidR="003723AC" w:rsidRPr="001B2B7B">
        <w:rPr>
          <w:rFonts w:ascii="Calibri" w:eastAsia="Calibri" w:hAnsi="Calibri" w:cs="Calibri"/>
          <w:sz w:val="22"/>
          <w:szCs w:val="22"/>
        </w:rPr>
        <w:t xml:space="preserve"> </w:t>
      </w:r>
      <w:r w:rsidR="001B0350" w:rsidRPr="001B2B7B">
        <w:rPr>
          <w:rFonts w:ascii="Calibri" w:eastAsia="Calibri" w:hAnsi="Calibri" w:cs="Calibri"/>
          <w:sz w:val="22"/>
          <w:szCs w:val="22"/>
        </w:rPr>
        <w:t>&amp;</w:t>
      </w:r>
      <w:r w:rsidR="003723AC" w:rsidRPr="001B2B7B">
        <w:rPr>
          <w:rFonts w:ascii="Calibri" w:eastAsia="Calibri" w:hAnsi="Calibri" w:cs="Calibri"/>
          <w:sz w:val="22"/>
          <w:szCs w:val="22"/>
        </w:rPr>
        <w:t xml:space="preserve"> Chabot</w:t>
      </w:r>
    </w:p>
    <w:p w14:paraId="538EA7B7" w14:textId="41E1FCA0" w:rsidR="003723AC" w:rsidRPr="001B2B7B" w:rsidRDefault="003723AC" w:rsidP="00774D52">
      <w:pPr>
        <w:spacing w:after="0" w:line="240" w:lineRule="auto"/>
        <w:jc w:val="both"/>
        <w:rPr>
          <w:rFonts w:ascii="Calibri" w:hAnsi="Calibri" w:cs="Calibri"/>
          <w:sz w:val="22"/>
          <w:szCs w:val="22"/>
        </w:rPr>
      </w:pPr>
      <w:r w:rsidRPr="001B2B7B">
        <w:rPr>
          <w:rFonts w:ascii="Calibri" w:hAnsi="Calibri" w:cs="Calibri"/>
          <w:sz w:val="22"/>
          <w:szCs w:val="22"/>
        </w:rPr>
        <w:t>The migration of young adults from the French Caribbean who wish to pursue higher education in Quebec (Canada) remains a relatively under documented phenomenon, despite the province’s long-standing implementation of policies and programs aimed at attracting and retaining a francophone international student population. These include international student programs, Working Holiday permits, and measures facilitating transitions into employment. These initiatives are embedded in a context marked by significant economic and demographic needs. However, they coexist with frequent regulatory changes to migration programs, whose increasing complexity and restrictions generate multiple forms of uncertainty likely to affect these young adults’ learning pathways and life trajectories.</w:t>
      </w:r>
    </w:p>
    <w:p w14:paraId="22C4EFC0" w14:textId="77777777" w:rsidR="003723AC" w:rsidRPr="001B2B7B" w:rsidRDefault="003723AC" w:rsidP="00774D52">
      <w:pPr>
        <w:spacing w:after="0" w:line="240" w:lineRule="auto"/>
        <w:jc w:val="both"/>
        <w:rPr>
          <w:rFonts w:ascii="Calibri" w:hAnsi="Calibri" w:cs="Calibri"/>
          <w:b/>
          <w:bCs/>
          <w:sz w:val="22"/>
          <w:szCs w:val="22"/>
        </w:rPr>
      </w:pPr>
    </w:p>
    <w:p w14:paraId="782E4B2C" w14:textId="1E25F5A7" w:rsidR="003723AC" w:rsidRPr="001B2B7B" w:rsidRDefault="003723AC" w:rsidP="00774D52">
      <w:pPr>
        <w:spacing w:after="0" w:line="240" w:lineRule="auto"/>
        <w:jc w:val="both"/>
        <w:rPr>
          <w:rFonts w:ascii="Calibri" w:hAnsi="Calibri" w:cs="Calibri"/>
          <w:sz w:val="22"/>
          <w:szCs w:val="22"/>
        </w:rPr>
      </w:pPr>
      <w:r w:rsidRPr="001B2B7B">
        <w:rPr>
          <w:rFonts w:ascii="Calibri" w:hAnsi="Calibri" w:cs="Calibri"/>
          <w:sz w:val="22"/>
          <w:szCs w:val="22"/>
        </w:rPr>
        <w:t xml:space="preserve">The academic literature remains relatively limited </w:t>
      </w:r>
      <w:r w:rsidR="00DC083A" w:rsidRPr="001B2B7B">
        <w:rPr>
          <w:rFonts w:ascii="Calibri" w:hAnsi="Calibri" w:cs="Calibri"/>
          <w:sz w:val="22"/>
          <w:szCs w:val="22"/>
        </w:rPr>
        <w:t>regarding</w:t>
      </w:r>
      <w:r w:rsidRPr="001B2B7B">
        <w:rPr>
          <w:rFonts w:ascii="Calibri" w:hAnsi="Calibri" w:cs="Calibri"/>
          <w:sz w:val="22"/>
          <w:szCs w:val="22"/>
        </w:rPr>
        <w:t xml:space="preserve"> the motivations, departure conditions, constraints encountered, and resources mobilized by young adults from the French Caribbean engaged in such migratory </w:t>
      </w:r>
      <w:r w:rsidRPr="001B2B7B">
        <w:rPr>
          <w:rFonts w:ascii="Calibri" w:hAnsi="Calibri" w:cs="Calibri"/>
          <w:sz w:val="22"/>
          <w:szCs w:val="22"/>
        </w:rPr>
        <w:lastRenderedPageBreak/>
        <w:t>trajectories (Plaza, 2007). This paper seeks to contribute to this body of knowledge by exploring the dynamics that structure the education and employment pathways of young adults from French Caribbean who come to study in Quebec, situating these pathways within their social, economic, and institutional contexts. Emphasis is placed on the transitions these people experience—in migration, in education, in employment, and in the broader transition to adulthood—conceptualized as evolving and interconnected processes rather than as isolated or discrete stages.</w:t>
      </w:r>
    </w:p>
    <w:p w14:paraId="2306E08E" w14:textId="77777777" w:rsidR="003723AC" w:rsidRPr="001B2B7B" w:rsidRDefault="003723AC" w:rsidP="00774D52">
      <w:pPr>
        <w:spacing w:after="0" w:line="240" w:lineRule="auto"/>
        <w:jc w:val="both"/>
        <w:rPr>
          <w:rFonts w:ascii="Calibri" w:hAnsi="Calibri" w:cs="Calibri"/>
          <w:sz w:val="22"/>
          <w:szCs w:val="22"/>
        </w:rPr>
      </w:pPr>
    </w:p>
    <w:p w14:paraId="59E16DF1" w14:textId="77777777" w:rsidR="003723AC" w:rsidRPr="001B2B7B" w:rsidRDefault="003723AC" w:rsidP="00774D52">
      <w:pPr>
        <w:spacing w:after="0" w:line="240" w:lineRule="auto"/>
        <w:jc w:val="both"/>
        <w:rPr>
          <w:rFonts w:ascii="Calibri" w:hAnsi="Calibri" w:cs="Calibri"/>
          <w:sz w:val="22"/>
          <w:szCs w:val="22"/>
        </w:rPr>
      </w:pPr>
      <w:r w:rsidRPr="001B2B7B">
        <w:rPr>
          <w:rFonts w:ascii="Calibri" w:hAnsi="Calibri" w:cs="Calibri"/>
          <w:sz w:val="22"/>
          <w:szCs w:val="22"/>
        </w:rPr>
        <w:t>The research project underpinning this paper is both scientifically and socially relevant, as these young adults engaged in mobility are situated at a critical juncture in the life course: the transition to adulthood. This period is characterized by major reconfigurations of social ties and opportunities across different spheres of life (Gaudet, 2001; Supeno &amp; Bourdon, 2013), reconfigurations that may be amplified, or at least significantly shaped, by the migratory experience. Rather than following linear trajectories, these young adults navigate fragmented pathways marked by adjustments, turning points, and successive reorientations.</w:t>
      </w:r>
    </w:p>
    <w:p w14:paraId="3843A5E5" w14:textId="77777777" w:rsidR="003723AC" w:rsidRPr="001B2B7B" w:rsidRDefault="003723AC" w:rsidP="00774D52">
      <w:pPr>
        <w:spacing w:after="0" w:line="240" w:lineRule="auto"/>
        <w:jc w:val="both"/>
        <w:rPr>
          <w:rFonts w:ascii="Calibri" w:hAnsi="Calibri" w:cs="Calibri"/>
          <w:sz w:val="22"/>
          <w:szCs w:val="22"/>
        </w:rPr>
      </w:pPr>
    </w:p>
    <w:p w14:paraId="164018E3" w14:textId="77777777" w:rsidR="003723AC" w:rsidRPr="001B2B7B" w:rsidRDefault="003723AC" w:rsidP="00774D52">
      <w:pPr>
        <w:spacing w:after="0" w:line="240" w:lineRule="auto"/>
        <w:jc w:val="both"/>
        <w:rPr>
          <w:rFonts w:ascii="Calibri" w:hAnsi="Calibri" w:cs="Calibri"/>
          <w:sz w:val="22"/>
          <w:szCs w:val="22"/>
        </w:rPr>
      </w:pPr>
      <w:r w:rsidRPr="001B2B7B">
        <w:rPr>
          <w:rFonts w:ascii="Calibri" w:hAnsi="Calibri" w:cs="Calibri"/>
          <w:sz w:val="22"/>
          <w:szCs w:val="22"/>
        </w:rPr>
        <w:t>Drawing on the life</w:t>
      </w:r>
      <w:r w:rsidRPr="001B2B7B">
        <w:rPr>
          <w:rFonts w:ascii="Calibri" w:hAnsi="Calibri" w:cs="Calibri"/>
          <w:sz w:val="22"/>
          <w:szCs w:val="22"/>
        </w:rPr>
        <w:noBreakHyphen/>
        <w:t>course approach (Elder, 1995), the analysis draws on an empirical corpus combining secondary data (administrative data and census data) with qualitative data collected through interviews conducted as part of an exploratory research project. This project involved fourteen young adults from the French Caribbean, as well as several key actors involved in supporting them, particularly within institutional, educational, and community settings.</w:t>
      </w:r>
    </w:p>
    <w:p w14:paraId="34077603" w14:textId="77777777" w:rsidR="003723AC" w:rsidRPr="001B2B7B" w:rsidRDefault="003723AC" w:rsidP="00774D52">
      <w:pPr>
        <w:spacing w:after="0" w:line="240" w:lineRule="auto"/>
        <w:jc w:val="both"/>
        <w:rPr>
          <w:rFonts w:ascii="Calibri" w:hAnsi="Calibri" w:cs="Calibri"/>
          <w:sz w:val="22"/>
          <w:szCs w:val="22"/>
        </w:rPr>
      </w:pPr>
    </w:p>
    <w:p w14:paraId="1D4717C0" w14:textId="447C0B4F" w:rsidR="003723AC" w:rsidRPr="001B2B7B" w:rsidRDefault="003723AC" w:rsidP="00774D52">
      <w:pPr>
        <w:spacing w:after="0" w:line="240" w:lineRule="auto"/>
        <w:jc w:val="both"/>
        <w:rPr>
          <w:rFonts w:ascii="Calibri" w:hAnsi="Calibri" w:cs="Calibri"/>
          <w:sz w:val="22"/>
          <w:szCs w:val="22"/>
        </w:rPr>
      </w:pPr>
      <w:r w:rsidRPr="001B2B7B">
        <w:rPr>
          <w:rFonts w:ascii="Calibri" w:hAnsi="Calibri" w:cs="Calibri"/>
          <w:sz w:val="22"/>
          <w:szCs w:val="22"/>
        </w:rPr>
        <w:t>This paper will first present a nuanced portrait of these trajectories by highlighting how they are shaped both by structural constraints—institutional, economic, and social—and by the strategies developed by young adults to cope with and adapt to these constraints. Regulatory frameworks related to migration status, conditions of access to education and employment, administrative requirements, and unequal access to resources constitute key parameters influencing opportunities and margins of action throughout the trajectory. In response to these constraints, it will then examine the young adults’ strategies of adaptation and social “bricolage” (Supeno &amp; Bourdon, 2017) within their learning pathways, including the reconfiguration of educational projects, the diversification of work experiences, reliance on formal or informal networks, and the redefinition of the meaning attributed to their trajectories. The paper also examines the interrelations between different spheres of life and their effects on individual trajectories. The findings highlight, on the one hand, the motives, conditions, and temporalities shaping departures to Quebec and, on the other hand, the processes through which these young adults construct their educational and professional trajectories in a migratory context while navigating between constraints and opportunities. Attention is paid to how they develop reference points, build narrative coherence in their trajectories, and redefine their choices, identities, and life projects in the face of uncertainty-laden transitions.</w:t>
      </w:r>
    </w:p>
    <w:p w14:paraId="2A2AA4E9" w14:textId="77777777" w:rsidR="00724D4F" w:rsidRPr="001B2B7B" w:rsidRDefault="00724D4F" w:rsidP="00774D52">
      <w:pPr>
        <w:spacing w:after="0" w:line="240" w:lineRule="auto"/>
        <w:jc w:val="both"/>
        <w:rPr>
          <w:rFonts w:ascii="Calibri" w:hAnsi="Calibri" w:cs="Calibri"/>
          <w:sz w:val="22"/>
          <w:szCs w:val="22"/>
        </w:rPr>
      </w:pPr>
    </w:p>
    <w:p w14:paraId="0D8D9716" w14:textId="77777777" w:rsidR="009D6BA4" w:rsidRDefault="001B0350" w:rsidP="00774D52">
      <w:pPr>
        <w:spacing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 xml:space="preserve">4. </w:t>
      </w:r>
      <w:r w:rsidR="00724D4F" w:rsidRPr="001B2B7B">
        <w:rPr>
          <w:rFonts w:ascii="Calibri" w:eastAsia="Calibri" w:hAnsi="Calibri" w:cs="Calibri"/>
          <w:b/>
          <w:bCs/>
          <w:sz w:val="22"/>
          <w:szCs w:val="22"/>
        </w:rPr>
        <w:t xml:space="preserve">Navigating the </w:t>
      </w:r>
      <w:r w:rsidR="007F6C61" w:rsidRPr="001B2B7B">
        <w:rPr>
          <w:rFonts w:ascii="Calibri" w:eastAsia="Calibri" w:hAnsi="Calibri" w:cs="Calibri"/>
          <w:b/>
          <w:bCs/>
          <w:sz w:val="22"/>
          <w:szCs w:val="22"/>
        </w:rPr>
        <w:t xml:space="preserve">Future </w:t>
      </w:r>
      <w:r w:rsidR="00724D4F" w:rsidRPr="001B2B7B">
        <w:rPr>
          <w:rFonts w:ascii="Calibri" w:eastAsia="Calibri" w:hAnsi="Calibri" w:cs="Calibri"/>
          <w:b/>
          <w:bCs/>
          <w:sz w:val="22"/>
          <w:szCs w:val="22"/>
        </w:rPr>
        <w:t xml:space="preserve">after a </w:t>
      </w:r>
      <w:r w:rsidR="007F6C61" w:rsidRPr="001B2B7B">
        <w:rPr>
          <w:rFonts w:ascii="Calibri" w:eastAsia="Calibri" w:hAnsi="Calibri" w:cs="Calibri"/>
          <w:b/>
          <w:bCs/>
          <w:sz w:val="22"/>
          <w:szCs w:val="22"/>
        </w:rPr>
        <w:t>Rupture</w:t>
      </w:r>
      <w:r w:rsidR="00724D4F" w:rsidRPr="001B2B7B">
        <w:rPr>
          <w:rFonts w:ascii="Calibri" w:eastAsia="Calibri" w:hAnsi="Calibri" w:cs="Calibri"/>
          <w:b/>
          <w:bCs/>
          <w:sz w:val="22"/>
          <w:szCs w:val="22"/>
        </w:rPr>
        <w:t xml:space="preserve">: </w:t>
      </w:r>
      <w:r w:rsidR="007F6C61" w:rsidRPr="001B2B7B">
        <w:rPr>
          <w:rFonts w:ascii="Calibri" w:eastAsia="Calibri" w:hAnsi="Calibri" w:cs="Calibri"/>
          <w:b/>
          <w:bCs/>
          <w:sz w:val="22"/>
          <w:szCs w:val="22"/>
        </w:rPr>
        <w:t xml:space="preserve">Understanding Career Pathways Following </w:t>
      </w:r>
      <w:r w:rsidR="00724D4F" w:rsidRPr="001B2B7B">
        <w:rPr>
          <w:rFonts w:ascii="Calibri" w:eastAsia="Calibri" w:hAnsi="Calibri" w:cs="Calibri"/>
          <w:b/>
          <w:bCs/>
          <w:sz w:val="22"/>
          <w:szCs w:val="22"/>
        </w:rPr>
        <w:t xml:space="preserve">the </w:t>
      </w:r>
      <w:r w:rsidR="007F6C61" w:rsidRPr="001B2B7B">
        <w:rPr>
          <w:rFonts w:ascii="Calibri" w:eastAsia="Calibri" w:hAnsi="Calibri" w:cs="Calibri"/>
          <w:b/>
          <w:bCs/>
          <w:sz w:val="22"/>
          <w:szCs w:val="22"/>
        </w:rPr>
        <w:t xml:space="preserve">Loss </w:t>
      </w:r>
      <w:r w:rsidR="00724D4F" w:rsidRPr="001B2B7B">
        <w:rPr>
          <w:rFonts w:ascii="Calibri" w:eastAsia="Calibri" w:hAnsi="Calibri" w:cs="Calibri"/>
          <w:b/>
          <w:bCs/>
          <w:sz w:val="22"/>
          <w:szCs w:val="22"/>
        </w:rPr>
        <w:t xml:space="preserve">of a </w:t>
      </w:r>
      <w:r w:rsidR="007F6C61" w:rsidRPr="001B2B7B">
        <w:rPr>
          <w:rFonts w:ascii="Calibri" w:eastAsia="Calibri" w:hAnsi="Calibri" w:cs="Calibri"/>
          <w:b/>
          <w:bCs/>
          <w:sz w:val="22"/>
          <w:szCs w:val="22"/>
        </w:rPr>
        <w:t>L</w:t>
      </w:r>
      <w:r w:rsidR="00724D4F" w:rsidRPr="001B2B7B">
        <w:rPr>
          <w:rFonts w:ascii="Calibri" w:eastAsia="Calibri" w:hAnsi="Calibri" w:cs="Calibri"/>
          <w:b/>
          <w:bCs/>
          <w:sz w:val="22"/>
          <w:szCs w:val="22"/>
        </w:rPr>
        <w:t>ong-</w:t>
      </w:r>
      <w:r w:rsidR="007F6C61" w:rsidRPr="001B2B7B">
        <w:rPr>
          <w:rFonts w:ascii="Calibri" w:eastAsia="Calibri" w:hAnsi="Calibri" w:cs="Calibri"/>
          <w:b/>
          <w:bCs/>
          <w:sz w:val="22"/>
          <w:szCs w:val="22"/>
        </w:rPr>
        <w:t>S</w:t>
      </w:r>
      <w:r w:rsidR="00724D4F" w:rsidRPr="001B2B7B">
        <w:rPr>
          <w:rFonts w:ascii="Calibri" w:eastAsia="Calibri" w:hAnsi="Calibri" w:cs="Calibri"/>
          <w:b/>
          <w:bCs/>
          <w:sz w:val="22"/>
          <w:szCs w:val="22"/>
        </w:rPr>
        <w:t xml:space="preserve">tanding </w:t>
      </w:r>
      <w:r w:rsidR="007F6C61" w:rsidRPr="001B2B7B">
        <w:rPr>
          <w:rFonts w:ascii="Calibri" w:eastAsia="Calibri" w:hAnsi="Calibri" w:cs="Calibri"/>
          <w:b/>
          <w:bCs/>
          <w:sz w:val="22"/>
          <w:szCs w:val="22"/>
        </w:rPr>
        <w:t xml:space="preserve">Career Position </w:t>
      </w:r>
      <w:r w:rsidR="00724D4F" w:rsidRPr="001B2B7B">
        <w:rPr>
          <w:rFonts w:ascii="Calibri" w:eastAsia="Calibri" w:hAnsi="Calibri" w:cs="Calibri"/>
          <w:b/>
          <w:bCs/>
          <w:sz w:val="22"/>
          <w:szCs w:val="22"/>
        </w:rPr>
        <w:t xml:space="preserve">- </w:t>
      </w:r>
      <w:r w:rsidR="00724D4F" w:rsidRPr="001B2B7B">
        <w:rPr>
          <w:rFonts w:ascii="Calibri" w:hAnsi="Calibri" w:cs="Calibri"/>
          <w:sz w:val="22"/>
          <w:szCs w:val="22"/>
        </w:rPr>
        <w:t>Lahrizi, Viviers</w:t>
      </w:r>
      <w:r w:rsidR="00150A04" w:rsidRPr="001B2B7B">
        <w:rPr>
          <w:rFonts w:ascii="Calibri" w:hAnsi="Calibri" w:cs="Calibri"/>
          <w:sz w:val="22"/>
          <w:szCs w:val="22"/>
        </w:rPr>
        <w:t>,</w:t>
      </w:r>
      <w:r w:rsidR="00724D4F" w:rsidRPr="001B2B7B">
        <w:rPr>
          <w:rFonts w:ascii="Calibri" w:hAnsi="Calibri" w:cs="Calibri"/>
          <w:sz w:val="22"/>
          <w:szCs w:val="22"/>
        </w:rPr>
        <w:t xml:space="preserve"> &amp; Masdonati</w:t>
      </w:r>
    </w:p>
    <w:p w14:paraId="7911A3C3" w14:textId="31470B69" w:rsidR="00724D4F" w:rsidRPr="009D6BA4" w:rsidRDefault="00724D4F" w:rsidP="00774D52">
      <w:pPr>
        <w:spacing w:line="240" w:lineRule="auto"/>
        <w:jc w:val="both"/>
        <w:rPr>
          <w:rFonts w:ascii="Calibri" w:eastAsia="Calibri" w:hAnsi="Calibri" w:cs="Calibri"/>
          <w:b/>
          <w:bCs/>
          <w:sz w:val="22"/>
          <w:szCs w:val="22"/>
        </w:rPr>
      </w:pPr>
      <w:r w:rsidRPr="001B2B7B">
        <w:rPr>
          <w:rFonts w:ascii="Calibri" w:hAnsi="Calibri" w:cs="Calibri"/>
          <w:sz w:val="22"/>
          <w:szCs w:val="22"/>
        </w:rPr>
        <w:t>In a context where career paths are becoming increasingly complex, transitions are often understood as moments of redefinition that enable individuals to navigate their trajectories (Akkermans et al., 2024; Sullivan &amp; Al Ariss, 2021). However, these perspectives largely focus on anticipated or partially controlled transitions, embedded in processes of exploration and adaptation (De Vos et al., 2021; Baruch &amp; Sullivan, 2022). As such, they tend to overlook situations in which transitions occur under constraint, in contexts characterized by low predictability and limited room for maneuve</w:t>
      </w:r>
      <w:r w:rsidR="00150A04" w:rsidRPr="001B2B7B">
        <w:rPr>
          <w:rFonts w:ascii="Calibri" w:hAnsi="Calibri" w:cs="Calibri"/>
          <w:sz w:val="22"/>
          <w:szCs w:val="22"/>
        </w:rPr>
        <w:t>r</w:t>
      </w:r>
      <w:r w:rsidRPr="001B2B7B">
        <w:rPr>
          <w:rFonts w:ascii="Calibri" w:hAnsi="Calibri" w:cs="Calibri"/>
          <w:sz w:val="22"/>
          <w:szCs w:val="22"/>
        </w:rPr>
        <w:t xml:space="preserve"> (</w:t>
      </w:r>
      <w:proofErr w:type="spellStart"/>
      <w:r w:rsidRPr="001B2B7B">
        <w:rPr>
          <w:rFonts w:ascii="Calibri" w:hAnsi="Calibri" w:cs="Calibri"/>
          <w:sz w:val="22"/>
          <w:szCs w:val="22"/>
        </w:rPr>
        <w:t>Mussagulova</w:t>
      </w:r>
      <w:proofErr w:type="spellEnd"/>
      <w:r w:rsidRPr="001B2B7B">
        <w:rPr>
          <w:rFonts w:ascii="Calibri" w:hAnsi="Calibri" w:cs="Calibri"/>
          <w:sz w:val="22"/>
          <w:szCs w:val="22"/>
        </w:rPr>
        <w:t xml:space="preserve"> et al., 2023). In these configurations, the future no longer appears as a horizon that can be shaped, but rather as a space of uncertainty in which the usual reference points for action and projection are weakened. The loss of a long-standing career position constitutes a particularly significant form of constrained transition, as it entails a biographical rupture likely to reconfigure trajectories, professional identities, and life course temporalities.</w:t>
      </w:r>
    </w:p>
    <w:p w14:paraId="34C471D7" w14:textId="77777777" w:rsidR="00724D4F" w:rsidRPr="001B2B7B" w:rsidRDefault="00724D4F" w:rsidP="00774D52">
      <w:pPr>
        <w:spacing w:line="240" w:lineRule="auto"/>
        <w:jc w:val="both"/>
        <w:rPr>
          <w:rFonts w:ascii="Calibri" w:hAnsi="Calibri" w:cs="Calibri"/>
          <w:sz w:val="22"/>
          <w:szCs w:val="22"/>
        </w:rPr>
      </w:pPr>
      <w:r w:rsidRPr="001B2B7B">
        <w:rPr>
          <w:rFonts w:ascii="Calibri" w:hAnsi="Calibri" w:cs="Calibri"/>
          <w:sz w:val="22"/>
          <w:szCs w:val="22"/>
        </w:rPr>
        <w:t>This paper aims to examine 1) how individuals make sense of their trajectories following the loss of such a position and 2) the dynamics of reconfiguration that unfold in these contexts. It draws on a perspective that articulates the life course approach with constructivist perspectives in career development. The life course approach conceptualizes transitions as processes embedded in multiple temporalities (Elder &amp; Giele, 2009; Perez-Roux, 2021), while constructivist perspectives emphasize trajectories as situated constructions of meaning shaped by the interplay between individual experiences, social contexts, and available resources (Savickas et al., 2009). From this standpoint, navigating a career path cannot be reduced to individual decision-making, but is instead embedded within broader social and structural conditions that shape available possibilities.</w:t>
      </w:r>
    </w:p>
    <w:p w14:paraId="6F5024A3" w14:textId="77777777" w:rsidR="00724D4F" w:rsidRPr="001B2B7B" w:rsidRDefault="00724D4F" w:rsidP="00774D52">
      <w:pPr>
        <w:spacing w:line="240" w:lineRule="auto"/>
        <w:jc w:val="both"/>
        <w:rPr>
          <w:rFonts w:ascii="Calibri" w:hAnsi="Calibri" w:cs="Calibri"/>
          <w:sz w:val="22"/>
          <w:szCs w:val="22"/>
        </w:rPr>
      </w:pPr>
      <w:r w:rsidRPr="001B2B7B">
        <w:rPr>
          <w:rFonts w:ascii="Calibri" w:hAnsi="Calibri" w:cs="Calibri"/>
          <w:sz w:val="22"/>
          <w:szCs w:val="22"/>
        </w:rPr>
        <w:lastRenderedPageBreak/>
        <w:t>The findings presented are drawn from a qualitative narrative study conducted with 15 individuals who experienced the loss of a stable position they had held for at least ten years within the same organization. Data were collected through semi-structured interviews focusing on career trajectories before, during, and after the job loss. Narrative analysis captures the dynamics of continuity and discontinuity, as well as processes of reconstructing the meaning attributed to work.</w:t>
      </w:r>
    </w:p>
    <w:p w14:paraId="709A71C1" w14:textId="77777777" w:rsidR="00724D4F" w:rsidRPr="001B2B7B" w:rsidRDefault="00724D4F" w:rsidP="00774D52">
      <w:pPr>
        <w:spacing w:line="240" w:lineRule="auto"/>
        <w:jc w:val="both"/>
        <w:rPr>
          <w:rFonts w:ascii="Calibri" w:hAnsi="Calibri" w:cs="Calibri"/>
          <w:sz w:val="22"/>
          <w:szCs w:val="22"/>
        </w:rPr>
      </w:pPr>
      <w:r w:rsidRPr="001B2B7B">
        <w:rPr>
          <w:rFonts w:ascii="Calibri" w:hAnsi="Calibri" w:cs="Calibri"/>
          <w:sz w:val="22"/>
          <w:szCs w:val="22"/>
        </w:rPr>
        <w:t xml:space="preserve">The findings show that the loss of a long-standing position does not constitute a single </w:t>
      </w:r>
      <w:proofErr w:type="gramStart"/>
      <w:r w:rsidRPr="001B2B7B">
        <w:rPr>
          <w:rFonts w:ascii="Calibri" w:hAnsi="Calibri" w:cs="Calibri"/>
          <w:sz w:val="22"/>
          <w:szCs w:val="22"/>
        </w:rPr>
        <w:t>event, but</w:t>
      </w:r>
      <w:proofErr w:type="gramEnd"/>
      <w:r w:rsidRPr="001B2B7B">
        <w:rPr>
          <w:rFonts w:ascii="Calibri" w:hAnsi="Calibri" w:cs="Calibri"/>
          <w:sz w:val="22"/>
          <w:szCs w:val="22"/>
        </w:rPr>
        <w:t xml:space="preserve"> instead unfolds as a complex life course process. It introduces a rupture of continuity, undermining the narrative coherence of trajectories and reshaping the value of prior professional investments. It also generates a desynchronization of temporalities, between the demands of reemployment, the biographical time required to process the disruption, and the fluctuations in the labor market. In some cases, it weakens individuals’ capacity to project themselves into the future, reflected in an experience of time marked by uncertainty, waiting, and a sense of suspension. The analysis further highlights differentiated patterns of reconfiguration across trajectories, ranging from attempts to maintain continuity with prior professional identities to processes of distancing or redefinition in the meaning of work.</w:t>
      </w:r>
    </w:p>
    <w:p w14:paraId="4B66DF3D" w14:textId="48996F1A" w:rsidR="003723AC" w:rsidRPr="001B2B7B" w:rsidRDefault="00724D4F" w:rsidP="00774D52">
      <w:pPr>
        <w:spacing w:line="240" w:lineRule="auto"/>
        <w:jc w:val="both"/>
        <w:rPr>
          <w:rFonts w:ascii="Calibri" w:hAnsi="Calibri" w:cs="Calibri"/>
          <w:sz w:val="22"/>
          <w:szCs w:val="22"/>
        </w:rPr>
      </w:pPr>
      <w:r w:rsidRPr="001B2B7B">
        <w:rPr>
          <w:rFonts w:ascii="Calibri" w:hAnsi="Calibri" w:cs="Calibri"/>
          <w:sz w:val="22"/>
          <w:szCs w:val="22"/>
        </w:rPr>
        <w:t xml:space="preserve">In these contexts, navigating the future no longer refers to a planned orientation, but rather to a gradual process of reconstructing meaning under conditions of constraint and uncertainty. This paper thus invites a reconsideration of dominant models of career navigation by positioning constrained transitions as structuring experiences of contemporary trajectories. It highlights the importance of integrating processes of reconfiguration, temporal dynamics, and social conditions into the analysis of trajectories, and opens avenues for rethinking support practices by considering the vulnerabilities and limited margins for action inherent in situations of rupture. </w:t>
      </w:r>
    </w:p>
    <w:p w14:paraId="190A246D" w14:textId="5351AECF" w:rsidR="002E230D" w:rsidRPr="001B2B7B" w:rsidRDefault="001B0350" w:rsidP="00774D52">
      <w:pPr>
        <w:spacing w:before="240" w:after="0" w:line="240" w:lineRule="auto"/>
        <w:jc w:val="both"/>
        <w:rPr>
          <w:rFonts w:ascii="Calibri" w:eastAsia="Calibri" w:hAnsi="Calibri" w:cs="Calibri"/>
          <w:b/>
          <w:bCs/>
          <w:sz w:val="22"/>
          <w:szCs w:val="22"/>
        </w:rPr>
      </w:pPr>
      <w:r w:rsidRPr="001B2B7B">
        <w:rPr>
          <w:rFonts w:ascii="Calibri" w:eastAsia="Calibri" w:hAnsi="Calibri" w:cs="Calibri"/>
          <w:b/>
          <w:bCs/>
          <w:sz w:val="22"/>
          <w:szCs w:val="22"/>
        </w:rPr>
        <w:t xml:space="preserve">5. </w:t>
      </w:r>
      <w:r w:rsidR="002E230D" w:rsidRPr="001B2B7B">
        <w:rPr>
          <w:rFonts w:ascii="Calibri" w:eastAsia="Calibri" w:hAnsi="Calibri" w:cs="Calibri"/>
          <w:b/>
          <w:bCs/>
          <w:sz w:val="22"/>
          <w:szCs w:val="22"/>
        </w:rPr>
        <w:t xml:space="preserve">Returning to </w:t>
      </w:r>
      <w:r w:rsidR="00150A04" w:rsidRPr="001B2B7B">
        <w:rPr>
          <w:rFonts w:ascii="Calibri" w:eastAsia="Calibri" w:hAnsi="Calibri" w:cs="Calibri"/>
          <w:b/>
          <w:bCs/>
          <w:sz w:val="22"/>
          <w:szCs w:val="22"/>
        </w:rPr>
        <w:t xml:space="preserve">Work </w:t>
      </w:r>
      <w:r w:rsidR="002E230D" w:rsidRPr="001B2B7B">
        <w:rPr>
          <w:rFonts w:ascii="Calibri" w:eastAsia="Calibri" w:hAnsi="Calibri" w:cs="Calibri"/>
          <w:b/>
          <w:bCs/>
          <w:sz w:val="22"/>
          <w:szCs w:val="22"/>
        </w:rPr>
        <w:t xml:space="preserve">after </w:t>
      </w:r>
      <w:r w:rsidR="00150A04" w:rsidRPr="001B2B7B">
        <w:rPr>
          <w:rFonts w:ascii="Calibri" w:eastAsia="Calibri" w:hAnsi="Calibri" w:cs="Calibri"/>
          <w:b/>
          <w:bCs/>
          <w:sz w:val="22"/>
          <w:szCs w:val="22"/>
        </w:rPr>
        <w:t>Psychological Harassment</w:t>
      </w:r>
      <w:r w:rsidR="002E230D" w:rsidRPr="001B2B7B">
        <w:rPr>
          <w:rFonts w:ascii="Calibri" w:eastAsia="Calibri" w:hAnsi="Calibri" w:cs="Calibri"/>
          <w:b/>
          <w:bCs/>
          <w:sz w:val="22"/>
          <w:szCs w:val="22"/>
        </w:rPr>
        <w:t xml:space="preserve">: </w:t>
      </w:r>
      <w:r w:rsidR="00150A04" w:rsidRPr="001B2B7B">
        <w:rPr>
          <w:rFonts w:ascii="Calibri" w:eastAsia="Calibri" w:hAnsi="Calibri" w:cs="Calibri"/>
          <w:b/>
          <w:bCs/>
          <w:sz w:val="22"/>
          <w:szCs w:val="22"/>
        </w:rPr>
        <w:t>How O</w:t>
      </w:r>
      <w:r w:rsidR="002E230D" w:rsidRPr="001B2B7B">
        <w:rPr>
          <w:rFonts w:ascii="Calibri" w:eastAsia="Calibri" w:hAnsi="Calibri" w:cs="Calibri"/>
          <w:b/>
          <w:bCs/>
          <w:sz w:val="22"/>
          <w:szCs w:val="22"/>
        </w:rPr>
        <w:t xml:space="preserve">rganizations </w:t>
      </w:r>
      <w:r w:rsidR="00150A04" w:rsidRPr="001B2B7B">
        <w:rPr>
          <w:rFonts w:ascii="Calibri" w:eastAsia="Calibri" w:hAnsi="Calibri" w:cs="Calibri"/>
          <w:b/>
          <w:bCs/>
          <w:sz w:val="22"/>
          <w:szCs w:val="22"/>
        </w:rPr>
        <w:t>S</w:t>
      </w:r>
      <w:r w:rsidR="002E230D" w:rsidRPr="001B2B7B">
        <w:rPr>
          <w:rFonts w:ascii="Calibri" w:eastAsia="Calibri" w:hAnsi="Calibri" w:cs="Calibri"/>
          <w:b/>
          <w:bCs/>
          <w:sz w:val="22"/>
          <w:szCs w:val="22"/>
        </w:rPr>
        <w:t xml:space="preserve">upport </w:t>
      </w:r>
      <w:r w:rsidR="00150A04" w:rsidRPr="001B2B7B">
        <w:rPr>
          <w:rFonts w:ascii="Calibri" w:eastAsia="Calibri" w:hAnsi="Calibri" w:cs="Calibri"/>
          <w:b/>
          <w:bCs/>
          <w:sz w:val="22"/>
          <w:szCs w:val="22"/>
        </w:rPr>
        <w:t>V</w:t>
      </w:r>
      <w:r w:rsidR="002E230D" w:rsidRPr="001B2B7B">
        <w:rPr>
          <w:rFonts w:ascii="Calibri" w:eastAsia="Calibri" w:hAnsi="Calibri" w:cs="Calibri"/>
          <w:b/>
          <w:bCs/>
          <w:sz w:val="22"/>
          <w:szCs w:val="22"/>
        </w:rPr>
        <w:t xml:space="preserve">ictims’ </w:t>
      </w:r>
      <w:r w:rsidR="00150A04" w:rsidRPr="001B2B7B">
        <w:rPr>
          <w:rFonts w:ascii="Calibri" w:eastAsia="Calibri" w:hAnsi="Calibri" w:cs="Calibri"/>
          <w:b/>
          <w:bCs/>
          <w:sz w:val="22"/>
          <w:szCs w:val="22"/>
        </w:rPr>
        <w:t>P</w:t>
      </w:r>
      <w:r w:rsidR="002E230D" w:rsidRPr="001B2B7B">
        <w:rPr>
          <w:rFonts w:ascii="Calibri" w:eastAsia="Calibri" w:hAnsi="Calibri" w:cs="Calibri"/>
          <w:b/>
          <w:bCs/>
          <w:sz w:val="22"/>
          <w:szCs w:val="22"/>
        </w:rPr>
        <w:t xml:space="preserve">ersonal and </w:t>
      </w:r>
      <w:r w:rsidR="00150A04" w:rsidRPr="001B2B7B">
        <w:rPr>
          <w:rFonts w:ascii="Calibri" w:eastAsia="Calibri" w:hAnsi="Calibri" w:cs="Calibri"/>
          <w:b/>
          <w:bCs/>
          <w:sz w:val="22"/>
          <w:szCs w:val="22"/>
        </w:rPr>
        <w:t>P</w:t>
      </w:r>
      <w:r w:rsidR="002E230D" w:rsidRPr="001B2B7B">
        <w:rPr>
          <w:rFonts w:ascii="Calibri" w:eastAsia="Calibri" w:hAnsi="Calibri" w:cs="Calibri"/>
          <w:b/>
          <w:bCs/>
          <w:sz w:val="22"/>
          <w:szCs w:val="22"/>
        </w:rPr>
        <w:t xml:space="preserve">rofessional </w:t>
      </w:r>
      <w:r w:rsidR="00150A04" w:rsidRPr="001B2B7B">
        <w:rPr>
          <w:rFonts w:ascii="Calibri" w:eastAsia="Calibri" w:hAnsi="Calibri" w:cs="Calibri"/>
          <w:b/>
          <w:bCs/>
          <w:sz w:val="22"/>
          <w:szCs w:val="22"/>
        </w:rPr>
        <w:t>T</w:t>
      </w:r>
      <w:r w:rsidR="002E230D" w:rsidRPr="001B2B7B">
        <w:rPr>
          <w:rFonts w:ascii="Calibri" w:eastAsia="Calibri" w:hAnsi="Calibri" w:cs="Calibri"/>
          <w:b/>
          <w:bCs/>
          <w:sz w:val="22"/>
          <w:szCs w:val="22"/>
        </w:rPr>
        <w:t xml:space="preserve">rajectories </w:t>
      </w:r>
      <w:r w:rsidR="002E230D" w:rsidRPr="001B2B7B">
        <w:rPr>
          <w:rFonts w:ascii="Calibri" w:eastAsia="Calibri" w:hAnsi="Calibri" w:cs="Calibri"/>
          <w:sz w:val="22"/>
          <w:szCs w:val="22"/>
        </w:rPr>
        <w:t>– Pelletier, Laurin, &amp; Barriault</w:t>
      </w:r>
    </w:p>
    <w:p w14:paraId="68530E7B" w14:textId="7FAC0D9E" w:rsidR="00FE117C" w:rsidRPr="001B2B7B" w:rsidRDefault="002E230D" w:rsidP="00774D52">
      <w:pPr>
        <w:spacing w:after="0" w:line="240" w:lineRule="auto"/>
        <w:jc w:val="both"/>
        <w:rPr>
          <w:rFonts w:ascii="Calibri" w:hAnsi="Calibri" w:cs="Calibri"/>
          <w:sz w:val="22"/>
          <w:szCs w:val="22"/>
        </w:rPr>
      </w:pPr>
      <w:r w:rsidRPr="001B2B7B">
        <w:rPr>
          <w:rFonts w:ascii="Calibri" w:hAnsi="Calibri" w:cs="Calibri"/>
          <w:sz w:val="22"/>
          <w:szCs w:val="22"/>
        </w:rPr>
        <w:t xml:space="preserve">Experiencing workplace psychological harassment is a traumatic event that undermines self-esteem, self-confidence, and trust in the work environment (Williams &amp; Williams, 2021). Individuals exposed to workplace psychological harassment are at greater risk of depression, psychological distress, and occupational burnout (Pelletier et al., 2025; </w:t>
      </w:r>
      <w:proofErr w:type="spellStart"/>
      <w:r w:rsidRPr="001B2B7B">
        <w:rPr>
          <w:rFonts w:ascii="Calibri" w:hAnsi="Calibri" w:cs="Calibri"/>
          <w:sz w:val="22"/>
          <w:szCs w:val="22"/>
        </w:rPr>
        <w:t>Caraso</w:t>
      </w:r>
      <w:proofErr w:type="spellEnd"/>
      <w:r w:rsidRPr="001B2B7B">
        <w:rPr>
          <w:rFonts w:ascii="Calibri" w:hAnsi="Calibri" w:cs="Calibri"/>
          <w:sz w:val="22"/>
          <w:szCs w:val="22"/>
        </w:rPr>
        <w:t xml:space="preserve"> et al., 2021; </w:t>
      </w:r>
      <w:proofErr w:type="spellStart"/>
      <w:r w:rsidRPr="001B2B7B">
        <w:rPr>
          <w:rFonts w:ascii="Calibri" w:hAnsi="Calibri" w:cs="Calibri"/>
          <w:sz w:val="22"/>
          <w:szCs w:val="22"/>
        </w:rPr>
        <w:t>Gullander</w:t>
      </w:r>
      <w:proofErr w:type="spellEnd"/>
      <w:r w:rsidRPr="001B2B7B">
        <w:rPr>
          <w:rFonts w:ascii="Calibri" w:hAnsi="Calibri" w:cs="Calibri"/>
          <w:sz w:val="22"/>
          <w:szCs w:val="22"/>
        </w:rPr>
        <w:t xml:space="preserve"> et al., 2014; Kivimäki et al., 2003; </w:t>
      </w:r>
      <w:proofErr w:type="spellStart"/>
      <w:r w:rsidRPr="001B2B7B">
        <w:rPr>
          <w:rFonts w:ascii="Calibri" w:hAnsi="Calibri" w:cs="Calibri"/>
          <w:sz w:val="22"/>
          <w:szCs w:val="22"/>
        </w:rPr>
        <w:t>Rugulies</w:t>
      </w:r>
      <w:proofErr w:type="spellEnd"/>
      <w:r w:rsidRPr="001B2B7B">
        <w:rPr>
          <w:rFonts w:ascii="Calibri" w:hAnsi="Calibri" w:cs="Calibri"/>
          <w:sz w:val="22"/>
          <w:szCs w:val="22"/>
        </w:rPr>
        <w:t xml:space="preserve"> et al., 2012), of experiencing suicidal ideation (Nielsen &amp; Einarsen, 2018; Nielsen et al., 2016; Nielsen et al., 2015), of suffering posttraumatic stress symptoms (Nielsen et al., 2015), and of developing sleep disorders (Nielsen &amp; Einarsen, 2018). Many of these health consequences may persist after the harassment has ended (Bonde et al., 2016). According to Hodgins et al. (2020), many organizations fail to manage harassment situations effectively, which contributes to increasing the distress experienced by those subjected to workplace harassment. Consequently, harassment leaves wounds in victims who continue to feel stress, fear, and distress even when measures have been taken to stop the harassment (Williams &amp; Williams, 2020). These victims are therefore at higher risk of prolonged work absence due to health-related issues (Nielsen et al., 2016; Hauge et al., 2010). They often report very low self-efficacy regarding a potential return-to-work and lack confidence in their ability to perform their job again, which undermines the return-to-work process (Aarestad et al., 2021). Anticipation of returning to work can be particularly anxiety</w:t>
      </w:r>
      <w:r w:rsidR="007B360D" w:rsidRPr="001B2B7B">
        <w:rPr>
          <w:rFonts w:ascii="Calibri" w:hAnsi="Calibri" w:cs="Calibri"/>
          <w:sz w:val="22"/>
          <w:szCs w:val="22"/>
        </w:rPr>
        <w:t>-</w:t>
      </w:r>
      <w:r w:rsidRPr="001B2B7B">
        <w:rPr>
          <w:rFonts w:ascii="Calibri" w:hAnsi="Calibri" w:cs="Calibri"/>
          <w:sz w:val="22"/>
          <w:szCs w:val="22"/>
        </w:rPr>
        <w:t xml:space="preserve">provoking and influence trajectories of withdrawal from the workplace and the labour market (Coetzee &amp; Van Dyk, 2018; </w:t>
      </w:r>
      <w:proofErr w:type="spellStart"/>
      <w:r w:rsidRPr="001B2B7B">
        <w:rPr>
          <w:rFonts w:ascii="Calibri" w:hAnsi="Calibri" w:cs="Calibri"/>
          <w:sz w:val="22"/>
          <w:szCs w:val="22"/>
        </w:rPr>
        <w:t>Glambek</w:t>
      </w:r>
      <w:proofErr w:type="spellEnd"/>
      <w:r w:rsidRPr="001B2B7B">
        <w:rPr>
          <w:rFonts w:ascii="Calibri" w:hAnsi="Calibri" w:cs="Calibri"/>
          <w:sz w:val="22"/>
          <w:szCs w:val="22"/>
        </w:rPr>
        <w:t xml:space="preserve"> et al., 2015). Although it has  been established that organizational support practices facilitate recovery and return</w:t>
      </w:r>
      <w:r w:rsidRPr="001B2B7B">
        <w:rPr>
          <w:rFonts w:ascii="Cambria Math" w:hAnsi="Cambria Math" w:cs="Cambria Math"/>
          <w:sz w:val="22"/>
          <w:szCs w:val="22"/>
        </w:rPr>
        <w:t>‑</w:t>
      </w:r>
      <w:r w:rsidRPr="001B2B7B">
        <w:rPr>
          <w:rFonts w:ascii="Calibri" w:hAnsi="Calibri" w:cs="Calibri"/>
          <w:sz w:val="22"/>
          <w:szCs w:val="22"/>
        </w:rPr>
        <w:t>to</w:t>
      </w:r>
      <w:r w:rsidRPr="001B2B7B">
        <w:rPr>
          <w:rFonts w:ascii="Cambria Math" w:hAnsi="Cambria Math" w:cs="Cambria Math"/>
          <w:sz w:val="22"/>
          <w:szCs w:val="22"/>
        </w:rPr>
        <w:t>‑</w:t>
      </w:r>
      <w:r w:rsidRPr="001B2B7B">
        <w:rPr>
          <w:rFonts w:ascii="Calibri" w:hAnsi="Calibri" w:cs="Calibri"/>
          <w:sz w:val="22"/>
          <w:szCs w:val="22"/>
        </w:rPr>
        <w:t>work pathways for individuals facing mental health challenges in the workplace (St</w:t>
      </w:r>
      <w:r w:rsidRPr="001B2B7B">
        <w:rPr>
          <w:rFonts w:ascii="Cambria Math" w:hAnsi="Cambria Math" w:cs="Cambria Math"/>
          <w:sz w:val="22"/>
          <w:szCs w:val="22"/>
        </w:rPr>
        <w:t>‑</w:t>
      </w:r>
      <w:r w:rsidRPr="001B2B7B">
        <w:rPr>
          <w:rFonts w:ascii="Calibri" w:hAnsi="Calibri" w:cs="Calibri"/>
          <w:sz w:val="22"/>
          <w:szCs w:val="22"/>
        </w:rPr>
        <w:t xml:space="preserve">Arnaud &amp; Pelletier, 2013; Nigatu et al., 2016; </w:t>
      </w:r>
      <w:proofErr w:type="spellStart"/>
      <w:r w:rsidRPr="001B2B7B">
        <w:rPr>
          <w:rFonts w:ascii="Calibri" w:hAnsi="Calibri" w:cs="Calibri"/>
          <w:sz w:val="22"/>
          <w:szCs w:val="22"/>
        </w:rPr>
        <w:t>Larrivière</w:t>
      </w:r>
      <w:proofErr w:type="spellEnd"/>
      <w:r w:rsidRPr="001B2B7B">
        <w:rPr>
          <w:rFonts w:ascii="Calibri" w:hAnsi="Calibri" w:cs="Calibri"/>
          <w:sz w:val="22"/>
          <w:szCs w:val="22"/>
        </w:rPr>
        <w:t xml:space="preserve"> et al., 2021; Pelletier &amp; Giguère, 2026), very few studies, to our knowledge, have examined support practices specifically aimed at facilitating the return to work of victims of workplace psychological harassment. </w:t>
      </w:r>
    </w:p>
    <w:p w14:paraId="6C3B467C" w14:textId="77777777" w:rsidR="00FE117C" w:rsidRPr="001B2B7B" w:rsidRDefault="00FE117C" w:rsidP="00774D52">
      <w:pPr>
        <w:spacing w:after="0" w:line="240" w:lineRule="auto"/>
        <w:jc w:val="both"/>
        <w:rPr>
          <w:rFonts w:ascii="Calibri" w:hAnsi="Calibri" w:cs="Calibri"/>
          <w:sz w:val="22"/>
          <w:szCs w:val="22"/>
        </w:rPr>
      </w:pPr>
    </w:p>
    <w:p w14:paraId="1773EC92" w14:textId="384939CD" w:rsidR="00FE117C" w:rsidRPr="001B2B7B" w:rsidRDefault="002E230D" w:rsidP="00774D52">
      <w:pPr>
        <w:spacing w:after="0" w:line="240" w:lineRule="auto"/>
        <w:jc w:val="both"/>
        <w:rPr>
          <w:rFonts w:ascii="Calibri" w:hAnsi="Calibri" w:cs="Calibri"/>
          <w:sz w:val="22"/>
          <w:szCs w:val="22"/>
        </w:rPr>
      </w:pPr>
      <w:r w:rsidRPr="001B2B7B">
        <w:rPr>
          <w:rFonts w:ascii="Calibri" w:hAnsi="Calibri" w:cs="Calibri"/>
          <w:sz w:val="22"/>
          <w:szCs w:val="22"/>
        </w:rPr>
        <w:t xml:space="preserve">Objective: This presentation reports the results of a research project conducted in Québec, Canada, aimed at identifying, from the perspective of vocational rehabilitation counsellors, promising organizational practices to better support the recovery and return-to-work trajectories of victims of psychological harassment. </w:t>
      </w:r>
    </w:p>
    <w:p w14:paraId="0A6777C4" w14:textId="77777777" w:rsidR="00FE117C" w:rsidRPr="001B2B7B" w:rsidRDefault="00FE117C" w:rsidP="00774D52">
      <w:pPr>
        <w:spacing w:after="0" w:line="240" w:lineRule="auto"/>
        <w:jc w:val="both"/>
        <w:rPr>
          <w:rFonts w:ascii="Calibri" w:hAnsi="Calibri" w:cs="Calibri"/>
          <w:sz w:val="22"/>
          <w:szCs w:val="22"/>
        </w:rPr>
      </w:pPr>
    </w:p>
    <w:p w14:paraId="11DEAD2C" w14:textId="77777777" w:rsidR="00FE117C" w:rsidRPr="001B2B7B" w:rsidRDefault="002E230D" w:rsidP="00774D52">
      <w:pPr>
        <w:spacing w:after="0" w:line="240" w:lineRule="auto"/>
        <w:jc w:val="both"/>
        <w:rPr>
          <w:rFonts w:ascii="Calibri" w:hAnsi="Calibri" w:cs="Calibri"/>
          <w:sz w:val="22"/>
          <w:szCs w:val="22"/>
        </w:rPr>
      </w:pPr>
      <w:r w:rsidRPr="001B2B7B">
        <w:rPr>
          <w:rFonts w:ascii="Calibri" w:hAnsi="Calibri" w:cs="Calibri"/>
          <w:sz w:val="22"/>
          <w:szCs w:val="22"/>
        </w:rPr>
        <w:t xml:space="preserve">Theoretical framework: St-Arnaud and Pelletier’s (2013) framework on the dynamic process of recovery and return-to-work was used to understand how work lies at the heart of withdrawal and reintegration trajectories. Organizational support practices were conceptualized using the IGLOO model for return to work among people experiencing mental health issues (Nielsen et al., 2020). </w:t>
      </w:r>
    </w:p>
    <w:p w14:paraId="4D45EC98" w14:textId="77777777" w:rsidR="00FE117C" w:rsidRPr="001B2B7B" w:rsidRDefault="00FE117C" w:rsidP="00774D52">
      <w:pPr>
        <w:spacing w:after="0" w:line="240" w:lineRule="auto"/>
        <w:jc w:val="both"/>
        <w:rPr>
          <w:rFonts w:ascii="Calibri" w:hAnsi="Calibri" w:cs="Calibri"/>
          <w:sz w:val="22"/>
          <w:szCs w:val="22"/>
        </w:rPr>
      </w:pPr>
    </w:p>
    <w:p w14:paraId="522D73F0" w14:textId="5E8FCA04" w:rsidR="00FE117C" w:rsidRPr="001B2B7B" w:rsidRDefault="002E230D" w:rsidP="00774D52">
      <w:pPr>
        <w:spacing w:after="0" w:line="240" w:lineRule="auto"/>
        <w:jc w:val="both"/>
        <w:rPr>
          <w:rFonts w:ascii="Calibri" w:hAnsi="Calibri" w:cs="Calibri"/>
          <w:sz w:val="22"/>
          <w:szCs w:val="22"/>
        </w:rPr>
      </w:pPr>
      <w:r w:rsidRPr="001B2B7B">
        <w:rPr>
          <w:rFonts w:ascii="Calibri" w:hAnsi="Calibri" w:cs="Calibri"/>
          <w:sz w:val="22"/>
          <w:szCs w:val="22"/>
        </w:rPr>
        <w:t>Method: A qualitative research design was followed. Six focus group interviews were conducted in 2025 with human resources counsellors from various organizational sectors, all responsible for managing disability and vocational rehabilitation cases. A thematic content analysis was performed (</w:t>
      </w:r>
      <w:proofErr w:type="spellStart"/>
      <w:r w:rsidRPr="001B2B7B">
        <w:rPr>
          <w:rFonts w:ascii="Calibri" w:hAnsi="Calibri" w:cs="Calibri"/>
          <w:sz w:val="22"/>
          <w:szCs w:val="22"/>
        </w:rPr>
        <w:t>Paillé</w:t>
      </w:r>
      <w:proofErr w:type="spellEnd"/>
      <w:r w:rsidRPr="001B2B7B">
        <w:rPr>
          <w:rFonts w:ascii="Calibri" w:hAnsi="Calibri" w:cs="Calibri"/>
          <w:sz w:val="22"/>
          <w:szCs w:val="22"/>
        </w:rPr>
        <w:t xml:space="preserve"> &amp; </w:t>
      </w:r>
      <w:proofErr w:type="spellStart"/>
      <w:r w:rsidRPr="001B2B7B">
        <w:rPr>
          <w:rFonts w:ascii="Calibri" w:hAnsi="Calibri" w:cs="Calibri"/>
          <w:sz w:val="22"/>
          <w:szCs w:val="22"/>
        </w:rPr>
        <w:t>Mucchielli</w:t>
      </w:r>
      <w:proofErr w:type="spellEnd"/>
      <w:r w:rsidRPr="001B2B7B">
        <w:rPr>
          <w:rFonts w:ascii="Calibri" w:hAnsi="Calibri" w:cs="Calibri"/>
          <w:sz w:val="22"/>
          <w:szCs w:val="22"/>
        </w:rPr>
        <w:t xml:space="preserve">, 2021). </w:t>
      </w:r>
    </w:p>
    <w:p w14:paraId="2E4516DD" w14:textId="77777777" w:rsidR="00FE117C" w:rsidRPr="001B2B7B" w:rsidRDefault="00FE117C" w:rsidP="00774D52">
      <w:pPr>
        <w:spacing w:after="0" w:line="240" w:lineRule="auto"/>
        <w:jc w:val="both"/>
        <w:rPr>
          <w:rFonts w:ascii="Calibri" w:hAnsi="Calibri" w:cs="Calibri"/>
          <w:sz w:val="22"/>
          <w:szCs w:val="22"/>
        </w:rPr>
      </w:pPr>
    </w:p>
    <w:p w14:paraId="74491181" w14:textId="765E73DE" w:rsidR="007E3326" w:rsidRPr="007E3326" w:rsidRDefault="002E230D" w:rsidP="00774D52">
      <w:pPr>
        <w:spacing w:line="240" w:lineRule="auto"/>
        <w:jc w:val="both"/>
        <w:rPr>
          <w:rFonts w:ascii="Calibri" w:hAnsi="Calibri" w:cs="Calibri"/>
          <w:sz w:val="22"/>
          <w:szCs w:val="22"/>
        </w:rPr>
      </w:pPr>
      <w:r w:rsidRPr="001B2B7B">
        <w:rPr>
          <w:rFonts w:ascii="Calibri" w:hAnsi="Calibri" w:cs="Calibri"/>
          <w:sz w:val="22"/>
          <w:szCs w:val="22"/>
        </w:rPr>
        <w:t>Results: Despite the complexity and marked difficulties associated with managing these cases, participants identified several organizational measures they had implemented that, in their experience, facilitated the return-to-work process for victims of harassment within their organizations. These measures were classified into six themes: preparation for return-to-work; monitoring and support during the return process; adjustments and flexibility; mediation, intervention, and/or resolution of the harassment; resources and support tailored to needs; and professional mobility or organizational changes. These practices target the return-to-work process, but none intervene during the absence period to promote recovery or reduce negative anticipation of returning to work. Further studies assessing the perceived effectiveness of these measures from the victims’ perspective, as well as their impact on absence duration and job retention after return, appear to be relevant avenues for future research.</w:t>
      </w:r>
    </w:p>
    <w:p w14:paraId="674B54DB" w14:textId="35AE2187" w:rsidR="005107F8" w:rsidRPr="001B2B7B" w:rsidRDefault="001B0350" w:rsidP="00774D52">
      <w:pPr>
        <w:spacing w:after="0" w:line="240" w:lineRule="auto"/>
        <w:jc w:val="both"/>
        <w:rPr>
          <w:rFonts w:ascii="Calibri" w:hAnsi="Calibri" w:cs="Calibri"/>
          <w:sz w:val="22"/>
          <w:szCs w:val="22"/>
        </w:rPr>
      </w:pPr>
      <w:r w:rsidRPr="007E3326">
        <w:rPr>
          <w:rFonts w:ascii="Calibri" w:hAnsi="Calibri" w:cs="Calibri"/>
          <w:b/>
          <w:bCs/>
          <w:sz w:val="22"/>
          <w:szCs w:val="22"/>
        </w:rPr>
        <w:t xml:space="preserve">6. </w:t>
      </w:r>
      <w:r w:rsidR="005107F8" w:rsidRPr="007E3326">
        <w:rPr>
          <w:rFonts w:ascii="Calibri" w:hAnsi="Calibri" w:cs="Calibri"/>
          <w:b/>
          <w:bCs/>
          <w:sz w:val="22"/>
          <w:szCs w:val="22"/>
        </w:rPr>
        <w:t>NEET Youth Activation Policies, the Imperative to Pursue a Project, and the Future in a Context of Precariousness</w:t>
      </w:r>
      <w:r w:rsidR="00F608D9" w:rsidRPr="007E3326">
        <w:rPr>
          <w:rFonts w:ascii="Calibri" w:hAnsi="Calibri" w:cs="Calibri"/>
          <w:b/>
          <w:bCs/>
          <w:sz w:val="22"/>
          <w:szCs w:val="22"/>
        </w:rPr>
        <w:t xml:space="preserve"> </w:t>
      </w:r>
      <w:r w:rsidR="00F608D9" w:rsidRPr="007E3326">
        <w:rPr>
          <w:rFonts w:ascii="Calibri" w:hAnsi="Calibri" w:cs="Calibri"/>
          <w:sz w:val="22"/>
          <w:szCs w:val="22"/>
        </w:rPr>
        <w:t>– Binet, Lahrizi, Pelletier, Barriault</w:t>
      </w:r>
      <w:r w:rsidR="000B6D7B" w:rsidRPr="007E3326">
        <w:rPr>
          <w:rFonts w:ascii="Calibri" w:hAnsi="Calibri" w:cs="Calibri"/>
          <w:sz w:val="22"/>
          <w:szCs w:val="22"/>
        </w:rPr>
        <w:t>,</w:t>
      </w:r>
      <w:r w:rsidR="00F608D9" w:rsidRPr="007E3326">
        <w:rPr>
          <w:rFonts w:ascii="Calibri" w:hAnsi="Calibri" w:cs="Calibri"/>
          <w:sz w:val="22"/>
          <w:szCs w:val="22"/>
        </w:rPr>
        <w:t xml:space="preserve"> &amp; Dimé</w:t>
      </w:r>
    </w:p>
    <w:p w14:paraId="04DC42BD" w14:textId="77777777" w:rsidR="00DB6C08" w:rsidRPr="001B2B7B" w:rsidRDefault="00DB6C08" w:rsidP="00774D52">
      <w:pPr>
        <w:spacing w:after="0" w:line="240" w:lineRule="auto"/>
        <w:jc w:val="both"/>
        <w:rPr>
          <w:rFonts w:ascii="Calibri" w:hAnsi="Calibri" w:cs="Calibri"/>
          <w:sz w:val="22"/>
          <w:szCs w:val="22"/>
        </w:rPr>
      </w:pPr>
      <w:r w:rsidRPr="001B2B7B">
        <w:rPr>
          <w:rFonts w:ascii="Calibri" w:hAnsi="Calibri" w:cs="Calibri"/>
          <w:sz w:val="22"/>
          <w:szCs w:val="22"/>
        </w:rPr>
        <w:t>Created in the United Kingdom during the 1990s to identify and structure interventions for vulnerable youth at high risk of social exclusion, the category of young people who are neither in employment, education, nor training (NEEF) has spread to several countries (</w:t>
      </w:r>
      <w:proofErr w:type="spellStart"/>
      <w:r w:rsidRPr="001B2B7B">
        <w:rPr>
          <w:rFonts w:ascii="Calibri" w:hAnsi="Calibri" w:cs="Calibri"/>
          <w:sz w:val="22"/>
          <w:szCs w:val="22"/>
        </w:rPr>
        <w:t>Carcillo</w:t>
      </w:r>
      <w:proofErr w:type="spellEnd"/>
      <w:r w:rsidRPr="001B2B7B">
        <w:rPr>
          <w:rFonts w:ascii="Calibri" w:hAnsi="Calibri" w:cs="Calibri"/>
          <w:sz w:val="22"/>
          <w:szCs w:val="22"/>
        </w:rPr>
        <w:t xml:space="preserve"> et al., 2015). In Canada, and particularly in Quebec, this category has seen a rise since 2012, due to its ability to highlight the limitations of integration through school and work, concerns about these young people’s future, and a potential labor pool (Van de Velde, 2016; Vultur, 2016). In 2021, in Quebec, 200,800 young people were categorized as NEEF, representing 10.8% of individuals aged 15 to 29 (Longo et al., 2020). In response to this situation, various activation policies have been implemented to promote these young people’s participation in employment, education, and training pathways (</w:t>
      </w:r>
      <w:proofErr w:type="spellStart"/>
      <w:r w:rsidRPr="001B2B7B">
        <w:rPr>
          <w:rFonts w:ascii="Calibri" w:hAnsi="Calibri" w:cs="Calibri"/>
          <w:sz w:val="22"/>
          <w:szCs w:val="22"/>
        </w:rPr>
        <w:t>Guatieri</w:t>
      </w:r>
      <w:proofErr w:type="spellEnd"/>
      <w:r w:rsidRPr="001B2B7B">
        <w:rPr>
          <w:rFonts w:ascii="Calibri" w:hAnsi="Calibri" w:cs="Calibri"/>
          <w:sz w:val="22"/>
          <w:szCs w:val="22"/>
        </w:rPr>
        <w:t xml:space="preserve">, 2022; Longo and Gallant, 2019). However, qualitative research analyzing the alignment between these young people’s integration pathways and the interventions designed for them remains scarce and critical to date (Binet, 2019; Chevalier, 2023; </w:t>
      </w:r>
      <w:proofErr w:type="spellStart"/>
      <w:r w:rsidRPr="001B2B7B">
        <w:rPr>
          <w:rFonts w:ascii="Calibri" w:hAnsi="Calibri" w:cs="Calibri"/>
          <w:sz w:val="22"/>
          <w:szCs w:val="22"/>
        </w:rPr>
        <w:t>Guatiri</w:t>
      </w:r>
      <w:proofErr w:type="spellEnd"/>
      <w:r w:rsidRPr="001B2B7B">
        <w:rPr>
          <w:rFonts w:ascii="Calibri" w:hAnsi="Calibri" w:cs="Calibri"/>
          <w:sz w:val="22"/>
          <w:szCs w:val="22"/>
        </w:rPr>
        <w:t xml:space="preserve">, 2022). They show that activation policies often rely on individualized services designed to engage young people in various projects, so that they can develop skills, manage the risks they face, and </w:t>
      </w:r>
      <w:bookmarkStart w:id="0" w:name="_Int_MCHdOiBr"/>
      <w:proofErr w:type="gramStart"/>
      <w:r w:rsidRPr="001B2B7B">
        <w:rPr>
          <w:rFonts w:ascii="Calibri" w:hAnsi="Calibri" w:cs="Calibri"/>
          <w:sz w:val="22"/>
          <w:szCs w:val="22"/>
        </w:rPr>
        <w:t>plan for the future</w:t>
      </w:r>
      <w:bookmarkEnd w:id="0"/>
      <w:proofErr w:type="gramEnd"/>
      <w:r w:rsidRPr="001B2B7B">
        <w:rPr>
          <w:rFonts w:ascii="Calibri" w:hAnsi="Calibri" w:cs="Calibri"/>
          <w:sz w:val="22"/>
          <w:szCs w:val="22"/>
        </w:rPr>
        <w:t xml:space="preserve"> (Binet et al., 2024). However, these interventions overlook the precarious conditions in which these young people navigate their life paths, the normative pressures weighing on this stage of life, the unique characteristics of certain subgroups, and the specific needs of some of them, particularly regarding career guidance (Bourdon and Bélisle, 2016; Gauthier, 2016; Noh and Lee, 2017; Van de Velde, 2016). Thus, despite these activation policies, the individualized services provided, and the plans pursued, many young people in precarious situations continue to experience roller-coaster, unstable, complex, and non-linear life trajectories that defy the projective and teleological logic underlying activation (Binet, 2023; Supeno, 2016). Methodology. The semi-structured interviews were conducted at four community employment assistance organizations operating under the Carrefours jeunesse-</w:t>
      </w:r>
      <w:proofErr w:type="spellStart"/>
      <w:r w:rsidRPr="001B2B7B">
        <w:rPr>
          <w:rFonts w:ascii="Calibri" w:hAnsi="Calibri" w:cs="Calibri"/>
          <w:sz w:val="22"/>
          <w:szCs w:val="22"/>
        </w:rPr>
        <w:t>emploi</w:t>
      </w:r>
      <w:proofErr w:type="spellEnd"/>
      <w:r w:rsidRPr="001B2B7B">
        <w:rPr>
          <w:rFonts w:ascii="Calibri" w:hAnsi="Calibri" w:cs="Calibri"/>
          <w:sz w:val="22"/>
          <w:szCs w:val="22"/>
        </w:rPr>
        <w:t xml:space="preserve"> umbrella and had the following objectives: 1) to trace the paths that led these young people to experience periods of NEEF; 2) to understand what motivated them to seek services from the CJEs; 3) to explore their experiences with intervention practices focused on pursuing academic and professional projects; and 4) to analyze their relationship to self-entrepreneurship. Theoretical Framework. The results are interpreted through an integration of life course theory (Elder et al., 2004) with individuation theory (</w:t>
      </w:r>
      <w:proofErr w:type="spellStart"/>
      <w:r w:rsidRPr="001B2B7B">
        <w:rPr>
          <w:rFonts w:ascii="Calibri" w:hAnsi="Calibri" w:cs="Calibri"/>
          <w:sz w:val="22"/>
          <w:szCs w:val="22"/>
        </w:rPr>
        <w:t>Martucceli</w:t>
      </w:r>
      <w:proofErr w:type="spellEnd"/>
      <w:r w:rsidRPr="001B2B7B">
        <w:rPr>
          <w:rFonts w:ascii="Calibri" w:hAnsi="Calibri" w:cs="Calibri"/>
          <w:sz w:val="22"/>
          <w:szCs w:val="22"/>
        </w:rPr>
        <w:t xml:space="preserve">, 2005), </w:t>
      </w:r>
      <w:proofErr w:type="gramStart"/>
      <w:r w:rsidRPr="001B2B7B">
        <w:rPr>
          <w:rFonts w:ascii="Calibri" w:hAnsi="Calibri" w:cs="Calibri"/>
          <w:sz w:val="22"/>
          <w:szCs w:val="22"/>
        </w:rPr>
        <w:t>in order to</w:t>
      </w:r>
      <w:proofErr w:type="gramEnd"/>
      <w:r w:rsidRPr="001B2B7B">
        <w:rPr>
          <w:rFonts w:ascii="Calibri" w:hAnsi="Calibri" w:cs="Calibri"/>
          <w:sz w:val="22"/>
          <w:szCs w:val="22"/>
        </w:rPr>
        <w:t xml:space="preserve"> understand future-oriented projects as a technology of the self (Delory-Momberger, 2007). This perspective allows us to grasp the ways in which young people are encouraged to invest in school and professional projects, to construct themselves as subjects, to forge relationships, and to shape their life trajectories as entrepreneurs of the self. Results and Analysis. The analysis is organized around two main themes that highlight the intersections between: 1) the young people’s uneven life trajectories, characterized by multiple forms of precariousness that can hinder their ability to envision a future; and 2) their experiences with support practices that encourage them to pursue academic and professional projects, highlighting the tensions between this expectation and their living conditions. This contributes to documenting the concrete effects of the expectation to pursue projects within activation policies, shifting the analysis from individual deficits to the analysis of the norms that regulate NEEF youth’s relationship with the future.</w:t>
      </w:r>
    </w:p>
    <w:p w14:paraId="1ADFA69B" w14:textId="66D281A3" w:rsidR="00E45F8D" w:rsidRPr="001B2B7B" w:rsidRDefault="00E45F8D" w:rsidP="00774D52">
      <w:pPr>
        <w:spacing w:line="240" w:lineRule="auto"/>
        <w:jc w:val="both"/>
        <w:rPr>
          <w:rFonts w:ascii="Calibri" w:eastAsia="Calibri" w:hAnsi="Calibri" w:cs="Calibri"/>
          <w:b/>
          <w:bCs/>
          <w:sz w:val="22"/>
          <w:szCs w:val="22"/>
        </w:rPr>
      </w:pPr>
      <w:r w:rsidRPr="001B2B7B">
        <w:rPr>
          <w:rFonts w:ascii="Calibri" w:eastAsia="Calibri" w:hAnsi="Calibri" w:cs="Calibri"/>
          <w:b/>
          <w:bCs/>
          <w:sz w:val="22"/>
          <w:szCs w:val="22"/>
        </w:rPr>
        <w:br w:type="page"/>
      </w:r>
    </w:p>
    <w:p w14:paraId="1E5855B8" w14:textId="4029B3B3" w:rsidR="00A91FAD" w:rsidRPr="00F34151" w:rsidRDefault="00B17340" w:rsidP="00F34151">
      <w:pPr>
        <w:spacing w:after="0" w:line="240" w:lineRule="auto"/>
        <w:jc w:val="both"/>
        <w:rPr>
          <w:rFonts w:ascii="Calibri" w:eastAsia="Calibri" w:hAnsi="Calibri" w:cs="Calibri"/>
          <w:sz w:val="22"/>
          <w:szCs w:val="22"/>
        </w:rPr>
      </w:pPr>
      <w:r w:rsidRPr="00F34151">
        <w:rPr>
          <w:rFonts w:ascii="Calibri" w:eastAsia="Calibri" w:hAnsi="Calibri" w:cs="Calibri"/>
          <w:b/>
          <w:bCs/>
          <w:sz w:val="22"/>
          <w:szCs w:val="22"/>
        </w:rPr>
        <w:lastRenderedPageBreak/>
        <w:t>References:</w:t>
      </w:r>
    </w:p>
    <w:p w14:paraId="58643C85" w14:textId="77777777" w:rsidR="0097051A" w:rsidRPr="00F34151" w:rsidRDefault="0097051A" w:rsidP="00F34151">
      <w:pPr>
        <w:spacing w:after="0" w:line="240" w:lineRule="auto"/>
        <w:ind w:left="567" w:hanging="567"/>
        <w:jc w:val="both"/>
        <w:rPr>
          <w:rFonts w:ascii="Calibri" w:eastAsia="Calibri" w:hAnsi="Calibri" w:cs="Calibri"/>
          <w:color w:val="212121"/>
          <w:sz w:val="22"/>
          <w:szCs w:val="22"/>
        </w:rPr>
      </w:pPr>
      <w:r w:rsidRPr="00F34151">
        <w:rPr>
          <w:rFonts w:ascii="Calibri" w:eastAsia="Calibri" w:hAnsi="Calibri" w:cs="Calibri"/>
          <w:color w:val="212121"/>
          <w:sz w:val="22"/>
          <w:szCs w:val="22"/>
        </w:rPr>
        <w:t xml:space="preserve">Aarestad, S. H., Harris, A., Einarsen, S. V., Gjengedal, R. G. H., Osnes, K., Hannisdal, M., &amp; Hjemdal, O. (2021). Exposure to bullying behaviours, resilience, and return to work self-efficacy in patients on or at risk of sick leave. </w:t>
      </w:r>
      <w:r w:rsidRPr="00F34151">
        <w:rPr>
          <w:rFonts w:ascii="Calibri" w:eastAsia="Calibri" w:hAnsi="Calibri" w:cs="Calibri"/>
          <w:i/>
          <w:iCs/>
          <w:color w:val="212121"/>
          <w:sz w:val="22"/>
          <w:szCs w:val="22"/>
        </w:rPr>
        <w:t>Industrial Health</w:t>
      </w:r>
      <w:r w:rsidRPr="00F34151">
        <w:rPr>
          <w:rFonts w:ascii="Calibri" w:eastAsia="Calibri" w:hAnsi="Calibri" w:cs="Calibri"/>
          <w:color w:val="212121"/>
          <w:sz w:val="22"/>
          <w:szCs w:val="22"/>
        </w:rPr>
        <w:t xml:space="preserve">, </w:t>
      </w:r>
      <w:r w:rsidRPr="00F34151">
        <w:rPr>
          <w:rFonts w:ascii="Calibri" w:eastAsia="Calibri" w:hAnsi="Calibri" w:cs="Calibri"/>
          <w:i/>
          <w:iCs/>
          <w:color w:val="212121"/>
          <w:sz w:val="22"/>
          <w:szCs w:val="22"/>
        </w:rPr>
        <w:t>59</w:t>
      </w:r>
      <w:r w:rsidRPr="00F34151">
        <w:rPr>
          <w:rFonts w:ascii="Calibri" w:eastAsia="Calibri" w:hAnsi="Calibri" w:cs="Calibri"/>
          <w:color w:val="212121"/>
          <w:sz w:val="22"/>
          <w:szCs w:val="22"/>
        </w:rPr>
        <w:t xml:space="preserve">(3), 180–192. </w:t>
      </w:r>
      <w:hyperlink r:id="rId11" w:history="1">
        <w:r w:rsidRPr="00F34151">
          <w:rPr>
            <w:rStyle w:val="Lienhypertexte"/>
            <w:rFonts w:ascii="Calibri" w:eastAsia="Calibri" w:hAnsi="Calibri" w:cs="Calibri"/>
            <w:sz w:val="22"/>
            <w:szCs w:val="22"/>
          </w:rPr>
          <w:t>https://doi.org/10.2486/indhealth.2020-0064</w:t>
        </w:r>
      </w:hyperlink>
    </w:p>
    <w:p w14:paraId="323C3BCF" w14:textId="77777777" w:rsidR="00774D52" w:rsidRPr="00F34151" w:rsidRDefault="0097051A" w:rsidP="00F34151">
      <w:pPr>
        <w:spacing w:after="0" w:line="240" w:lineRule="auto"/>
        <w:ind w:left="567" w:hanging="567"/>
        <w:jc w:val="both"/>
        <w:rPr>
          <w:rFonts w:ascii="Calibri" w:eastAsia="Calibri" w:hAnsi="Calibri" w:cs="Calibri"/>
          <w:bCs/>
          <w:sz w:val="22"/>
          <w:szCs w:val="22"/>
        </w:rPr>
      </w:pPr>
      <w:r w:rsidRPr="00F34151">
        <w:rPr>
          <w:rFonts w:ascii="Calibri" w:eastAsia="Calibri" w:hAnsi="Calibri" w:cs="Calibri"/>
          <w:bCs/>
          <w:sz w:val="22"/>
          <w:szCs w:val="22"/>
        </w:rPr>
        <w:t>Akkermans, J., &amp; Kubasch, S. (2017). #Trending topics in careers: A review and future research agenda. </w:t>
      </w:r>
      <w:r w:rsidRPr="00F34151">
        <w:rPr>
          <w:rFonts w:ascii="Calibri" w:eastAsia="Calibri" w:hAnsi="Calibri" w:cs="Calibri"/>
          <w:bCs/>
          <w:i/>
          <w:iCs/>
          <w:sz w:val="22"/>
          <w:szCs w:val="22"/>
        </w:rPr>
        <w:t>Career Development International</w:t>
      </w:r>
      <w:r w:rsidRPr="00F34151">
        <w:rPr>
          <w:rFonts w:ascii="Calibri" w:eastAsia="Calibri" w:hAnsi="Calibri" w:cs="Calibri"/>
          <w:bCs/>
          <w:sz w:val="22"/>
          <w:szCs w:val="22"/>
        </w:rPr>
        <w:t>, </w:t>
      </w:r>
      <w:r w:rsidRPr="00F34151">
        <w:rPr>
          <w:rFonts w:ascii="Calibri" w:eastAsia="Calibri" w:hAnsi="Calibri" w:cs="Calibri"/>
          <w:bCs/>
          <w:i/>
          <w:iCs/>
          <w:sz w:val="22"/>
          <w:szCs w:val="22"/>
        </w:rPr>
        <w:t>22</w:t>
      </w:r>
      <w:r w:rsidRPr="00F34151">
        <w:rPr>
          <w:rFonts w:ascii="Calibri" w:eastAsia="Calibri" w:hAnsi="Calibri" w:cs="Calibri"/>
          <w:bCs/>
          <w:sz w:val="22"/>
          <w:szCs w:val="22"/>
        </w:rPr>
        <w:t xml:space="preserve">(6), 586-627. </w:t>
      </w:r>
      <w:hyperlink r:id="rId12" w:history="1">
        <w:r w:rsidRPr="00F34151">
          <w:rPr>
            <w:rStyle w:val="Lienhypertexte"/>
            <w:rFonts w:ascii="Calibri" w:eastAsia="Calibri" w:hAnsi="Calibri" w:cs="Calibri"/>
            <w:bCs/>
            <w:sz w:val="22"/>
            <w:szCs w:val="22"/>
          </w:rPr>
          <w:t>https://doi.org/10.1108/CDI-08-2017-0143</w:t>
        </w:r>
      </w:hyperlink>
    </w:p>
    <w:p w14:paraId="510A2E06" w14:textId="77777777" w:rsidR="00774D52" w:rsidRPr="00F34151" w:rsidRDefault="0097051A" w:rsidP="00F34151">
      <w:pPr>
        <w:spacing w:after="0" w:line="240" w:lineRule="auto"/>
        <w:ind w:left="567" w:hanging="567"/>
        <w:jc w:val="both"/>
        <w:rPr>
          <w:rFonts w:ascii="Calibri" w:eastAsia="Calibri" w:hAnsi="Calibri" w:cs="Calibri"/>
          <w:bCs/>
          <w:sz w:val="22"/>
          <w:szCs w:val="22"/>
        </w:rPr>
      </w:pPr>
      <w:r w:rsidRPr="00F34151">
        <w:rPr>
          <w:rFonts w:ascii="Calibri" w:eastAsia="Calibri" w:hAnsi="Calibri" w:cs="Calibri"/>
          <w:bCs/>
          <w:sz w:val="22"/>
          <w:szCs w:val="22"/>
        </w:rPr>
        <w:t>Akkermans, J., da Motta Veiga, S. P., Hirschi, A., &amp; Marciniak, J. (2024). Career transitions across the lifespan: A review and research agenda. </w:t>
      </w:r>
      <w:r w:rsidRPr="00F34151">
        <w:rPr>
          <w:rFonts w:ascii="Calibri" w:eastAsia="Calibri" w:hAnsi="Calibri" w:cs="Calibri"/>
          <w:bCs/>
          <w:i/>
          <w:iCs/>
          <w:sz w:val="22"/>
          <w:szCs w:val="22"/>
        </w:rPr>
        <w:t>Journal of Vocational Behavior</w:t>
      </w:r>
      <w:r w:rsidRPr="00F34151">
        <w:rPr>
          <w:rFonts w:ascii="Calibri" w:eastAsia="Calibri" w:hAnsi="Calibri" w:cs="Calibri"/>
          <w:bCs/>
          <w:sz w:val="22"/>
          <w:szCs w:val="22"/>
        </w:rPr>
        <w:t>, </w:t>
      </w:r>
      <w:r w:rsidRPr="00F34151">
        <w:rPr>
          <w:rFonts w:ascii="Calibri" w:eastAsia="Calibri" w:hAnsi="Calibri" w:cs="Calibri"/>
          <w:bCs/>
          <w:i/>
          <w:iCs/>
          <w:sz w:val="22"/>
          <w:szCs w:val="22"/>
        </w:rPr>
        <w:t>148</w:t>
      </w:r>
      <w:r w:rsidRPr="00F34151">
        <w:rPr>
          <w:rFonts w:ascii="Calibri" w:eastAsia="Calibri" w:hAnsi="Calibri" w:cs="Calibri"/>
          <w:bCs/>
          <w:sz w:val="22"/>
          <w:szCs w:val="22"/>
        </w:rPr>
        <w:t xml:space="preserve">. </w:t>
      </w:r>
      <w:hyperlink r:id="rId13" w:history="1">
        <w:r w:rsidRPr="00F34151">
          <w:rPr>
            <w:rStyle w:val="Lienhypertexte"/>
            <w:rFonts w:ascii="Calibri" w:eastAsia="Calibri" w:hAnsi="Calibri" w:cs="Calibri"/>
            <w:bCs/>
            <w:sz w:val="22"/>
            <w:szCs w:val="22"/>
          </w:rPr>
          <w:t>https://doi.org/10.1016/j.jvb.2023.103957</w:t>
        </w:r>
      </w:hyperlink>
    </w:p>
    <w:p w14:paraId="3A7717AE" w14:textId="77777777" w:rsidR="00774D52" w:rsidRPr="00F34151" w:rsidRDefault="0097051A" w:rsidP="00F34151">
      <w:pPr>
        <w:spacing w:after="0" w:line="240" w:lineRule="auto"/>
        <w:ind w:left="567" w:hanging="567"/>
        <w:jc w:val="both"/>
        <w:rPr>
          <w:rFonts w:ascii="Calibri" w:eastAsia="Calibri" w:hAnsi="Calibri" w:cs="Calibri"/>
          <w:bCs/>
          <w:sz w:val="22"/>
          <w:szCs w:val="22"/>
        </w:rPr>
      </w:pPr>
      <w:r w:rsidRPr="00F34151">
        <w:rPr>
          <w:rFonts w:ascii="Calibri" w:eastAsia="Calibri" w:hAnsi="Calibri" w:cs="Calibri"/>
          <w:bCs/>
          <w:sz w:val="22"/>
          <w:szCs w:val="22"/>
        </w:rPr>
        <w:t>Baruch, Y., &amp; Sullivan, S. E. (2022). The why, what and how of career research: A review and recommendations for future study. </w:t>
      </w:r>
      <w:r w:rsidRPr="00F34151">
        <w:rPr>
          <w:rFonts w:ascii="Calibri" w:eastAsia="Calibri" w:hAnsi="Calibri" w:cs="Calibri"/>
          <w:bCs/>
          <w:i/>
          <w:iCs/>
          <w:sz w:val="22"/>
          <w:szCs w:val="22"/>
        </w:rPr>
        <w:t>Career Development International</w:t>
      </w:r>
      <w:r w:rsidRPr="00F34151">
        <w:rPr>
          <w:rFonts w:ascii="Calibri" w:eastAsia="Calibri" w:hAnsi="Calibri" w:cs="Calibri"/>
          <w:bCs/>
          <w:sz w:val="22"/>
          <w:szCs w:val="22"/>
        </w:rPr>
        <w:t>, </w:t>
      </w:r>
      <w:r w:rsidRPr="00F34151">
        <w:rPr>
          <w:rFonts w:ascii="Calibri" w:eastAsia="Calibri" w:hAnsi="Calibri" w:cs="Calibri"/>
          <w:bCs/>
          <w:i/>
          <w:iCs/>
          <w:sz w:val="22"/>
          <w:szCs w:val="22"/>
        </w:rPr>
        <w:t>27</w:t>
      </w:r>
      <w:r w:rsidRPr="00F34151">
        <w:rPr>
          <w:rFonts w:ascii="Calibri" w:eastAsia="Calibri" w:hAnsi="Calibri" w:cs="Calibri"/>
          <w:bCs/>
          <w:sz w:val="22"/>
          <w:szCs w:val="22"/>
        </w:rPr>
        <w:t xml:space="preserve">(1), 135–159. </w:t>
      </w:r>
      <w:hyperlink r:id="rId14" w:history="1">
        <w:r w:rsidRPr="00F34151">
          <w:rPr>
            <w:rStyle w:val="Lienhypertexte"/>
            <w:rFonts w:ascii="Calibri" w:eastAsia="Calibri" w:hAnsi="Calibri" w:cs="Calibri"/>
            <w:bCs/>
            <w:sz w:val="22"/>
            <w:szCs w:val="22"/>
          </w:rPr>
          <w:t>https://doi.org/10.1108/CDI-10-2021-0251</w:t>
        </w:r>
      </w:hyperlink>
    </w:p>
    <w:p w14:paraId="4BF8C203" w14:textId="77777777" w:rsidR="00774D52" w:rsidRPr="00F34151" w:rsidRDefault="0097051A" w:rsidP="00F34151">
      <w:pPr>
        <w:spacing w:after="0" w:line="240" w:lineRule="auto"/>
        <w:ind w:left="567" w:hanging="567"/>
        <w:jc w:val="both"/>
        <w:rPr>
          <w:rFonts w:ascii="Calibri" w:eastAsia="Calibri" w:hAnsi="Calibri" w:cs="Calibri"/>
          <w:bCs/>
          <w:sz w:val="22"/>
          <w:szCs w:val="22"/>
        </w:rPr>
      </w:pPr>
      <w:r w:rsidRPr="00F34151">
        <w:rPr>
          <w:rFonts w:ascii="Calibri" w:hAnsi="Calibri" w:cs="Calibri"/>
          <w:sz w:val="22"/>
          <w:szCs w:val="22"/>
        </w:rPr>
        <w:t xml:space="preserve">Berthaud, J., &amp; </w:t>
      </w:r>
      <w:proofErr w:type="spellStart"/>
      <w:r w:rsidRPr="00F34151">
        <w:rPr>
          <w:rFonts w:ascii="Calibri" w:hAnsi="Calibri" w:cs="Calibri"/>
          <w:sz w:val="22"/>
          <w:szCs w:val="22"/>
        </w:rPr>
        <w:t>Giret</w:t>
      </w:r>
      <w:proofErr w:type="spellEnd"/>
      <w:r w:rsidRPr="00F34151">
        <w:rPr>
          <w:rFonts w:ascii="Calibri" w:hAnsi="Calibri" w:cs="Calibri"/>
          <w:sz w:val="22"/>
          <w:szCs w:val="22"/>
        </w:rPr>
        <w:t xml:space="preserve">, J.-F. (2022). </w:t>
      </w:r>
      <w:r w:rsidRPr="00EA5B78">
        <w:rPr>
          <w:rFonts w:ascii="Calibri" w:hAnsi="Calibri" w:cs="Calibri"/>
          <w:sz w:val="22"/>
          <w:szCs w:val="22"/>
          <w:lang w:val="fr-CA"/>
        </w:rPr>
        <w:t xml:space="preserve">L’accès aux ressources publiques dans les trajectoires des jeunes décrocheurs. Dans T. </w:t>
      </w:r>
      <w:proofErr w:type="spellStart"/>
      <w:r w:rsidRPr="00EA5B78">
        <w:rPr>
          <w:rFonts w:ascii="Calibri" w:hAnsi="Calibri" w:cs="Calibri"/>
          <w:sz w:val="22"/>
          <w:szCs w:val="22"/>
          <w:lang w:val="fr-CA"/>
        </w:rPr>
        <w:t>Couppié</w:t>
      </w:r>
      <w:proofErr w:type="spellEnd"/>
      <w:r w:rsidRPr="00EA5B78">
        <w:rPr>
          <w:rFonts w:ascii="Calibri" w:hAnsi="Calibri" w:cs="Calibri"/>
          <w:sz w:val="22"/>
          <w:szCs w:val="22"/>
          <w:lang w:val="fr-CA"/>
        </w:rPr>
        <w:t xml:space="preserve">, A. Dupray, C. Gasquet et E. </w:t>
      </w:r>
      <w:proofErr w:type="spellStart"/>
      <w:r w:rsidRPr="00EA5B78">
        <w:rPr>
          <w:rFonts w:ascii="Calibri" w:hAnsi="Calibri" w:cs="Calibri"/>
          <w:sz w:val="22"/>
          <w:szCs w:val="22"/>
          <w:lang w:val="fr-CA"/>
        </w:rPr>
        <w:t>Personnaz</w:t>
      </w:r>
      <w:proofErr w:type="spellEnd"/>
      <w:r w:rsidRPr="00EA5B78">
        <w:rPr>
          <w:rFonts w:ascii="Calibri" w:hAnsi="Calibri" w:cs="Calibri"/>
          <w:sz w:val="22"/>
          <w:szCs w:val="22"/>
          <w:lang w:val="fr-CA"/>
        </w:rPr>
        <w:t xml:space="preserve"> (</w:t>
      </w:r>
      <w:proofErr w:type="spellStart"/>
      <w:r w:rsidRPr="00EA5B78">
        <w:rPr>
          <w:rFonts w:ascii="Calibri" w:hAnsi="Calibri" w:cs="Calibri"/>
          <w:sz w:val="22"/>
          <w:szCs w:val="22"/>
          <w:lang w:val="fr-CA"/>
        </w:rPr>
        <w:t>dir</w:t>
      </w:r>
      <w:proofErr w:type="spellEnd"/>
      <w:r w:rsidRPr="00EA5B78">
        <w:rPr>
          <w:rFonts w:ascii="Calibri" w:hAnsi="Calibri" w:cs="Calibri"/>
          <w:sz w:val="22"/>
          <w:szCs w:val="22"/>
          <w:lang w:val="fr-CA"/>
        </w:rPr>
        <w:t xml:space="preserve">.), </w:t>
      </w:r>
      <w:r w:rsidRPr="00EA5B78">
        <w:rPr>
          <w:rFonts w:ascii="Calibri" w:hAnsi="Calibri" w:cs="Calibri"/>
          <w:i/>
          <w:iCs/>
          <w:sz w:val="22"/>
          <w:szCs w:val="22"/>
          <w:lang w:val="fr-CA"/>
        </w:rPr>
        <w:t>Chemins vers l’emploi et la vie adulte : l’inégalité des possibles</w:t>
      </w:r>
      <w:r w:rsidRPr="00EA5B78">
        <w:rPr>
          <w:rFonts w:ascii="Calibri" w:hAnsi="Calibri" w:cs="Calibri"/>
          <w:sz w:val="22"/>
          <w:szCs w:val="22"/>
          <w:lang w:val="fr-CA"/>
        </w:rPr>
        <w:t xml:space="preserve"> (p. 26-35). </w:t>
      </w:r>
      <w:r w:rsidRPr="00F34151">
        <w:rPr>
          <w:rFonts w:ascii="Calibri" w:hAnsi="Calibri" w:cs="Calibri"/>
          <w:sz w:val="22"/>
          <w:szCs w:val="22"/>
        </w:rPr>
        <w:t xml:space="preserve">Céreq </w:t>
      </w:r>
      <w:proofErr w:type="spellStart"/>
      <w:r w:rsidRPr="00F34151">
        <w:rPr>
          <w:rFonts w:ascii="Calibri" w:hAnsi="Calibri" w:cs="Calibri"/>
          <w:sz w:val="22"/>
          <w:szCs w:val="22"/>
        </w:rPr>
        <w:t>Essentiels</w:t>
      </w:r>
      <w:proofErr w:type="spellEnd"/>
      <w:r w:rsidRPr="00F34151">
        <w:rPr>
          <w:rFonts w:ascii="Calibri" w:hAnsi="Calibri" w:cs="Calibri"/>
          <w:sz w:val="22"/>
          <w:szCs w:val="22"/>
        </w:rPr>
        <w:t>.</w:t>
      </w:r>
    </w:p>
    <w:p w14:paraId="28C544C2" w14:textId="77777777" w:rsidR="00774D52" w:rsidRPr="00F34151" w:rsidRDefault="0097051A" w:rsidP="00F34151">
      <w:pPr>
        <w:spacing w:after="0" w:line="240" w:lineRule="auto"/>
        <w:ind w:left="567" w:hanging="567"/>
        <w:jc w:val="both"/>
        <w:rPr>
          <w:rFonts w:ascii="Calibri" w:eastAsia="Calibri" w:hAnsi="Calibri" w:cs="Calibri"/>
          <w:bCs/>
          <w:sz w:val="22"/>
          <w:szCs w:val="22"/>
        </w:rPr>
      </w:pPr>
      <w:r w:rsidRPr="00F34151">
        <w:rPr>
          <w:rFonts w:ascii="Calibri" w:hAnsi="Calibri" w:cs="Calibri"/>
          <w:sz w:val="22"/>
          <w:szCs w:val="22"/>
        </w:rPr>
        <w:t xml:space="preserve">Bidart, C. (2019). How plans change: Anticipation, interferences and </w:t>
      </w:r>
      <w:proofErr w:type="spellStart"/>
      <w:r w:rsidRPr="00F34151">
        <w:rPr>
          <w:rFonts w:ascii="Calibri" w:hAnsi="Calibri" w:cs="Calibri"/>
          <w:sz w:val="22"/>
          <w:szCs w:val="22"/>
        </w:rPr>
        <w:t>unpredictabilities</w:t>
      </w:r>
      <w:proofErr w:type="spellEnd"/>
      <w:r w:rsidRPr="00F34151">
        <w:rPr>
          <w:rFonts w:ascii="Calibri" w:hAnsi="Calibri" w:cs="Calibri"/>
          <w:sz w:val="22"/>
          <w:szCs w:val="22"/>
        </w:rPr>
        <w:t xml:space="preserve">. </w:t>
      </w:r>
      <w:r w:rsidRPr="00F34151">
        <w:rPr>
          <w:rFonts w:ascii="Calibri" w:hAnsi="Calibri" w:cs="Calibri"/>
          <w:i/>
          <w:iCs/>
          <w:sz w:val="22"/>
          <w:szCs w:val="22"/>
        </w:rPr>
        <w:t>Advances in Life Course Research</w:t>
      </w:r>
      <w:r w:rsidRPr="00F34151">
        <w:rPr>
          <w:rFonts w:ascii="Calibri" w:hAnsi="Calibri" w:cs="Calibri"/>
          <w:sz w:val="22"/>
          <w:szCs w:val="22"/>
        </w:rPr>
        <w:t xml:space="preserve">, </w:t>
      </w:r>
      <w:r w:rsidRPr="00F34151">
        <w:rPr>
          <w:rFonts w:ascii="Calibri" w:hAnsi="Calibri" w:cs="Calibri"/>
          <w:i/>
          <w:iCs/>
          <w:sz w:val="22"/>
          <w:szCs w:val="22"/>
        </w:rPr>
        <w:t>Theoretical and Methodological Frontiers in Life Course Research, 41</w:t>
      </w:r>
      <w:r w:rsidRPr="00F34151">
        <w:rPr>
          <w:rFonts w:ascii="Calibri" w:hAnsi="Calibri" w:cs="Calibri"/>
          <w:sz w:val="22"/>
          <w:szCs w:val="22"/>
        </w:rPr>
        <w:t>.</w:t>
      </w:r>
    </w:p>
    <w:p w14:paraId="0026592A" w14:textId="77777777" w:rsidR="00774D52" w:rsidRPr="00EA5B78"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 xml:space="preserve">Bidart, C., &amp; Charbonneau, J. (2008, mai). </w:t>
      </w:r>
      <w:r w:rsidRPr="00EA5B78">
        <w:rPr>
          <w:rFonts w:ascii="Calibri" w:hAnsi="Calibri" w:cs="Calibri"/>
          <w:i/>
          <w:iCs/>
          <w:sz w:val="22"/>
          <w:szCs w:val="22"/>
          <w:lang w:val="fr-CA"/>
        </w:rPr>
        <w:t>Le générateur de noms par contexte : un outil efficace pour l’étude de la sociabilité et de la socialisation</w:t>
      </w:r>
      <w:r w:rsidRPr="00EA5B78">
        <w:rPr>
          <w:rFonts w:ascii="Calibri" w:hAnsi="Calibri" w:cs="Calibri"/>
          <w:sz w:val="22"/>
          <w:szCs w:val="22"/>
          <w:lang w:val="fr-CA"/>
        </w:rPr>
        <w:t>. Congrès de l'ACFAS "L'apport des réseaux sociaux à l'étude des sociétés", Quebec, Canada.</w:t>
      </w:r>
    </w:p>
    <w:p w14:paraId="46C307B6" w14:textId="77777777" w:rsidR="00774D52" w:rsidRPr="00EA5B78"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 xml:space="preserve">Binet, J. (2019). Les jeunes NEEF : Enjeux de définition et d’usage d’une catégorie d’action publique. </w:t>
      </w:r>
      <w:r w:rsidRPr="00EA5B78">
        <w:rPr>
          <w:rFonts w:ascii="Calibri" w:hAnsi="Calibri" w:cs="Calibri"/>
          <w:i/>
          <w:iCs/>
          <w:sz w:val="22"/>
          <w:szCs w:val="22"/>
          <w:lang w:val="fr-CA"/>
        </w:rPr>
        <w:t>Reflets</w:t>
      </w:r>
      <w:r w:rsidRPr="00EA5B78">
        <w:rPr>
          <w:rFonts w:ascii="Calibri" w:hAnsi="Calibri" w:cs="Calibri"/>
          <w:sz w:val="22"/>
          <w:szCs w:val="22"/>
          <w:lang w:val="fr-CA"/>
        </w:rPr>
        <w:t xml:space="preserve">, </w:t>
      </w:r>
      <w:r w:rsidRPr="00EA5B78">
        <w:rPr>
          <w:rFonts w:ascii="Calibri" w:hAnsi="Calibri" w:cs="Calibri"/>
          <w:i/>
          <w:iCs/>
          <w:sz w:val="22"/>
          <w:szCs w:val="22"/>
          <w:lang w:val="fr-CA"/>
        </w:rPr>
        <w:t>25</w:t>
      </w:r>
      <w:r w:rsidRPr="00EA5B78">
        <w:rPr>
          <w:rFonts w:ascii="Calibri" w:hAnsi="Calibri" w:cs="Calibri"/>
          <w:sz w:val="22"/>
          <w:szCs w:val="22"/>
          <w:lang w:val="fr-CA"/>
        </w:rPr>
        <w:t>(1), 94–110.</w:t>
      </w:r>
    </w:p>
    <w:p w14:paraId="575F6EBE" w14:textId="31615739" w:rsidR="00774D52" w:rsidRPr="00EA5B78"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 xml:space="preserve">Binet, J. (2023). Le </w:t>
      </w:r>
      <w:proofErr w:type="spellStart"/>
      <w:r w:rsidRPr="00EA5B78">
        <w:rPr>
          <w:rFonts w:ascii="Calibri" w:hAnsi="Calibri" w:cs="Calibri"/>
          <w:sz w:val="22"/>
          <w:szCs w:val="22"/>
          <w:lang w:val="fr-CA"/>
        </w:rPr>
        <w:t>workfare</w:t>
      </w:r>
      <w:proofErr w:type="spellEnd"/>
      <w:r w:rsidRPr="00EA5B78">
        <w:rPr>
          <w:rFonts w:ascii="Calibri" w:hAnsi="Calibri" w:cs="Calibri"/>
          <w:sz w:val="22"/>
          <w:szCs w:val="22"/>
          <w:lang w:val="fr-CA"/>
        </w:rPr>
        <w:t xml:space="preserve"> comme entrepreneuriat de soi : Un traitement disciplinaire des jeunes NEEF en contexte néolibéral. </w:t>
      </w:r>
      <w:r w:rsidRPr="00EA5B78">
        <w:rPr>
          <w:rFonts w:ascii="Calibri" w:hAnsi="Calibri" w:cs="Calibri"/>
          <w:i/>
          <w:iCs/>
          <w:sz w:val="22"/>
          <w:szCs w:val="22"/>
          <w:lang w:val="fr-CA"/>
        </w:rPr>
        <w:t xml:space="preserve">Champ pénal / </w:t>
      </w:r>
      <w:proofErr w:type="spellStart"/>
      <w:r w:rsidRPr="00EA5B78">
        <w:rPr>
          <w:rFonts w:ascii="Calibri" w:hAnsi="Calibri" w:cs="Calibri"/>
          <w:i/>
          <w:iCs/>
          <w:sz w:val="22"/>
          <w:szCs w:val="22"/>
          <w:lang w:val="fr-CA"/>
        </w:rPr>
        <w:t>Penal</w:t>
      </w:r>
      <w:proofErr w:type="spellEnd"/>
      <w:r w:rsidRPr="00EA5B78">
        <w:rPr>
          <w:rFonts w:ascii="Calibri" w:hAnsi="Calibri" w:cs="Calibri"/>
          <w:i/>
          <w:iCs/>
          <w:sz w:val="22"/>
          <w:szCs w:val="22"/>
          <w:lang w:val="fr-CA"/>
        </w:rPr>
        <w:t xml:space="preserve"> </w:t>
      </w:r>
      <w:proofErr w:type="spellStart"/>
      <w:r w:rsidRPr="00EA5B78">
        <w:rPr>
          <w:rFonts w:ascii="Calibri" w:hAnsi="Calibri" w:cs="Calibri"/>
          <w:i/>
          <w:iCs/>
          <w:sz w:val="22"/>
          <w:szCs w:val="22"/>
          <w:lang w:val="fr-CA"/>
        </w:rPr>
        <w:t>field</w:t>
      </w:r>
      <w:proofErr w:type="spellEnd"/>
      <w:r w:rsidRPr="00EA5B78">
        <w:rPr>
          <w:rFonts w:ascii="Calibri" w:hAnsi="Calibri" w:cs="Calibri"/>
          <w:sz w:val="22"/>
          <w:szCs w:val="22"/>
          <w:lang w:val="fr-CA"/>
        </w:rPr>
        <w:t xml:space="preserve">, </w:t>
      </w:r>
      <w:r w:rsidRPr="00EA5B78">
        <w:rPr>
          <w:rFonts w:ascii="Calibri" w:hAnsi="Calibri" w:cs="Calibri"/>
          <w:i/>
          <w:iCs/>
          <w:sz w:val="22"/>
          <w:szCs w:val="22"/>
          <w:lang w:val="fr-CA"/>
        </w:rPr>
        <w:t>(29)</w:t>
      </w:r>
      <w:r w:rsidR="00CE7F0F" w:rsidRPr="00EA5B78">
        <w:rPr>
          <w:rFonts w:ascii="Calibri" w:hAnsi="Calibri" w:cs="Calibri"/>
          <w:sz w:val="22"/>
          <w:szCs w:val="22"/>
          <w:lang w:val="fr-CA"/>
        </w:rPr>
        <w:t xml:space="preserve">. </w:t>
      </w:r>
      <w:hyperlink r:id="rId15" w:history="1">
        <w:r w:rsidR="007978AC" w:rsidRPr="00EA5B78">
          <w:rPr>
            <w:rStyle w:val="Lienhypertexte"/>
            <w:rFonts w:ascii="Calibri" w:hAnsi="Calibri" w:cs="Calibri"/>
            <w:sz w:val="22"/>
            <w:szCs w:val="22"/>
            <w:lang w:val="fr-CA"/>
          </w:rPr>
          <w:t>https://doi-org./10.4000/champpenal.15114</w:t>
        </w:r>
      </w:hyperlink>
    </w:p>
    <w:p w14:paraId="1711D05E" w14:textId="77777777" w:rsidR="007978AC" w:rsidRPr="00F34151"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 xml:space="preserve">Binet, J., Lambert, S., &amp; </w:t>
      </w:r>
      <w:proofErr w:type="spellStart"/>
      <w:r w:rsidRPr="00EA5B78">
        <w:rPr>
          <w:rFonts w:ascii="Calibri" w:hAnsi="Calibri" w:cs="Calibri"/>
          <w:sz w:val="22"/>
          <w:szCs w:val="22"/>
          <w:lang w:val="fr-CA"/>
        </w:rPr>
        <w:t>Molgat</w:t>
      </w:r>
      <w:proofErr w:type="spellEnd"/>
      <w:r w:rsidRPr="00EA5B78">
        <w:rPr>
          <w:rFonts w:ascii="Calibri" w:hAnsi="Calibri" w:cs="Calibri"/>
          <w:sz w:val="22"/>
          <w:szCs w:val="22"/>
          <w:lang w:val="fr-CA"/>
        </w:rPr>
        <w:t xml:space="preserve">, M. (2024). Les relations sociales des jeunes face aux discours d’activation des politiques de la jeunesse : Analyse croisée des parcours atypiques de jeunes adultes vulnérables sur trois terrains de recherche au Québec. </w:t>
      </w:r>
      <w:r w:rsidRPr="00F34151">
        <w:rPr>
          <w:rFonts w:ascii="Calibri" w:hAnsi="Calibri" w:cs="Calibri"/>
          <w:i/>
          <w:iCs/>
          <w:sz w:val="22"/>
          <w:szCs w:val="22"/>
          <w:lang w:val="fr-CA"/>
        </w:rPr>
        <w:t>Sociétés et jeunesses en difficulté</w:t>
      </w:r>
      <w:r w:rsidRPr="00F34151">
        <w:rPr>
          <w:rFonts w:ascii="Calibri" w:hAnsi="Calibri" w:cs="Calibri"/>
          <w:sz w:val="22"/>
          <w:szCs w:val="22"/>
          <w:lang w:val="fr-CA"/>
        </w:rPr>
        <w:t xml:space="preserve">, </w:t>
      </w:r>
      <w:r w:rsidRPr="00F34151">
        <w:rPr>
          <w:rFonts w:ascii="Calibri" w:hAnsi="Calibri" w:cs="Calibri"/>
          <w:i/>
          <w:iCs/>
          <w:sz w:val="22"/>
          <w:szCs w:val="22"/>
          <w:lang w:val="fr-CA"/>
        </w:rPr>
        <w:t>(30)</w:t>
      </w:r>
      <w:r w:rsidR="007978AC" w:rsidRPr="00F34151">
        <w:rPr>
          <w:rFonts w:ascii="Calibri" w:hAnsi="Calibri" w:cs="Calibri"/>
          <w:sz w:val="22"/>
          <w:szCs w:val="22"/>
          <w:lang w:val="fr-CA"/>
        </w:rPr>
        <w:t xml:space="preserve">. </w:t>
      </w:r>
      <w:hyperlink r:id="rId16" w:history="1">
        <w:r w:rsidR="007978AC" w:rsidRPr="00F34151">
          <w:rPr>
            <w:rStyle w:val="Lienhypertexte"/>
            <w:rFonts w:ascii="Calibri" w:hAnsi="Calibri" w:cs="Calibri"/>
            <w:sz w:val="22"/>
            <w:szCs w:val="22"/>
            <w:lang w:val="fr-CA"/>
          </w:rPr>
          <w:t>https://journals.openedition.org/sejed/12448</w:t>
        </w:r>
      </w:hyperlink>
      <w:r w:rsidR="007978AC" w:rsidRPr="00F34151">
        <w:rPr>
          <w:rFonts w:ascii="Calibri" w:hAnsi="Calibri" w:cs="Calibri"/>
          <w:sz w:val="22"/>
          <w:szCs w:val="22"/>
          <w:lang w:val="fr-CA"/>
        </w:rPr>
        <w:t xml:space="preserve"> </w:t>
      </w:r>
    </w:p>
    <w:p w14:paraId="04C5B1F1" w14:textId="77777777" w:rsidR="007978AC" w:rsidRPr="00EA5B78" w:rsidRDefault="0097051A" w:rsidP="00F34151">
      <w:pPr>
        <w:spacing w:after="0" w:line="240" w:lineRule="auto"/>
        <w:ind w:left="567" w:hanging="567"/>
        <w:jc w:val="both"/>
        <w:rPr>
          <w:rFonts w:ascii="Calibri" w:eastAsia="Calibri" w:hAnsi="Calibri" w:cs="Calibri"/>
          <w:bCs/>
          <w:sz w:val="22"/>
          <w:szCs w:val="22"/>
        </w:rPr>
      </w:pPr>
      <w:r w:rsidRPr="00F34151">
        <w:rPr>
          <w:rFonts w:ascii="Calibri" w:eastAsia="Calibri" w:hAnsi="Calibri" w:cs="Calibri"/>
          <w:bCs/>
          <w:sz w:val="22"/>
          <w:szCs w:val="22"/>
        </w:rPr>
        <w:t xml:space="preserve">Blokker, R., </w:t>
      </w:r>
      <w:proofErr w:type="gramStart"/>
      <w:r w:rsidRPr="00F34151">
        <w:rPr>
          <w:rFonts w:ascii="Calibri" w:eastAsia="Calibri" w:hAnsi="Calibri" w:cs="Calibri"/>
          <w:bCs/>
          <w:sz w:val="22"/>
          <w:szCs w:val="22"/>
        </w:rPr>
        <w:t>Akkermans ,</w:t>
      </w:r>
      <w:proofErr w:type="gramEnd"/>
      <w:r w:rsidRPr="00F34151">
        <w:rPr>
          <w:rFonts w:ascii="Calibri" w:eastAsia="Calibri" w:hAnsi="Calibri" w:cs="Calibri"/>
          <w:bCs/>
          <w:sz w:val="22"/>
          <w:szCs w:val="22"/>
        </w:rPr>
        <w:t xml:space="preserve"> J., Marciniak, J., Jansen, P. G. W., &amp; </w:t>
      </w:r>
      <w:proofErr w:type="spellStart"/>
      <w:r w:rsidRPr="00F34151">
        <w:rPr>
          <w:rFonts w:ascii="Calibri" w:eastAsia="Calibri" w:hAnsi="Calibri" w:cs="Calibri"/>
          <w:bCs/>
          <w:sz w:val="22"/>
          <w:szCs w:val="22"/>
        </w:rPr>
        <w:t>Khapova</w:t>
      </w:r>
      <w:proofErr w:type="spellEnd"/>
      <w:r w:rsidRPr="00F34151">
        <w:rPr>
          <w:rFonts w:ascii="Calibri" w:eastAsia="Calibri" w:hAnsi="Calibri" w:cs="Calibri"/>
          <w:bCs/>
          <w:sz w:val="22"/>
          <w:szCs w:val="22"/>
        </w:rPr>
        <w:t>, S. N. (2023). Organizing school-to-work transition research from a sustainable career perspective: A review and research agenda. </w:t>
      </w:r>
      <w:r w:rsidRPr="00F34151">
        <w:rPr>
          <w:rFonts w:ascii="Calibri" w:eastAsia="Calibri" w:hAnsi="Calibri" w:cs="Calibri"/>
          <w:bCs/>
          <w:i/>
          <w:iCs/>
          <w:sz w:val="22"/>
          <w:szCs w:val="22"/>
        </w:rPr>
        <w:t>Work, Aging and Retirement</w:t>
      </w:r>
      <w:r w:rsidRPr="00F34151">
        <w:rPr>
          <w:rFonts w:ascii="Calibri" w:eastAsia="Calibri" w:hAnsi="Calibri" w:cs="Calibri"/>
          <w:bCs/>
          <w:sz w:val="22"/>
          <w:szCs w:val="22"/>
        </w:rPr>
        <w:t>, </w:t>
      </w:r>
      <w:r w:rsidRPr="00F34151">
        <w:rPr>
          <w:rFonts w:ascii="Calibri" w:eastAsia="Calibri" w:hAnsi="Calibri" w:cs="Calibri"/>
          <w:bCs/>
          <w:i/>
          <w:iCs/>
          <w:sz w:val="22"/>
          <w:szCs w:val="22"/>
        </w:rPr>
        <w:t>9</w:t>
      </w:r>
      <w:r w:rsidRPr="00F34151">
        <w:rPr>
          <w:rFonts w:ascii="Calibri" w:eastAsia="Calibri" w:hAnsi="Calibri" w:cs="Calibri"/>
          <w:bCs/>
          <w:sz w:val="22"/>
          <w:szCs w:val="22"/>
        </w:rPr>
        <w:t>(3), 239</w:t>
      </w:r>
      <w:r w:rsidR="007978AC" w:rsidRPr="00F34151">
        <w:rPr>
          <w:rFonts w:ascii="Calibri" w:eastAsia="Calibri" w:hAnsi="Calibri" w:cs="Calibri"/>
          <w:bCs/>
          <w:sz w:val="22"/>
          <w:szCs w:val="22"/>
        </w:rPr>
        <w:t>-</w:t>
      </w:r>
      <w:r w:rsidRPr="00F34151">
        <w:rPr>
          <w:rFonts w:ascii="Calibri" w:eastAsia="Calibri" w:hAnsi="Calibri" w:cs="Calibri"/>
          <w:bCs/>
          <w:sz w:val="22"/>
          <w:szCs w:val="22"/>
        </w:rPr>
        <w:t xml:space="preserve">261. </w:t>
      </w:r>
      <w:hyperlink r:id="rId17" w:history="1">
        <w:r w:rsidRPr="00F34151">
          <w:rPr>
            <w:rStyle w:val="Lienhypertexte"/>
            <w:rFonts w:ascii="Calibri" w:eastAsia="Calibri" w:hAnsi="Calibri" w:cs="Calibri"/>
            <w:bCs/>
            <w:sz w:val="22"/>
            <w:szCs w:val="22"/>
          </w:rPr>
          <w:t>https://doi.org/10.1093/workar/waad012</w:t>
        </w:r>
      </w:hyperlink>
    </w:p>
    <w:p w14:paraId="297B363B" w14:textId="77777777" w:rsidR="007978AC" w:rsidRPr="00EA5B78" w:rsidRDefault="0097051A" w:rsidP="00F34151">
      <w:pPr>
        <w:spacing w:after="0" w:line="240" w:lineRule="auto"/>
        <w:ind w:left="567" w:hanging="567"/>
        <w:jc w:val="both"/>
        <w:rPr>
          <w:rFonts w:ascii="Calibri" w:eastAsia="Calibri" w:hAnsi="Calibri" w:cs="Calibri"/>
          <w:bCs/>
          <w:sz w:val="22"/>
          <w:szCs w:val="22"/>
        </w:rPr>
      </w:pPr>
      <w:r w:rsidRPr="00F34151">
        <w:rPr>
          <w:rFonts w:ascii="Calibri" w:hAnsi="Calibri" w:cs="Calibri"/>
          <w:sz w:val="22"/>
          <w:szCs w:val="22"/>
        </w:rPr>
        <w:t xml:space="preserve">Blustein, D. L., Kenny, M. E., Di Fabio, A., &amp; Guichard, J. (2019). Expanding the impact of the psychology of working: Engaging psychology in the struggle for decent work and human rights. </w:t>
      </w:r>
      <w:r w:rsidRPr="00F34151">
        <w:rPr>
          <w:rFonts w:ascii="Calibri" w:hAnsi="Calibri" w:cs="Calibri"/>
          <w:i/>
          <w:iCs/>
          <w:sz w:val="22"/>
          <w:szCs w:val="22"/>
        </w:rPr>
        <w:t>Journal of Career Assessment</w:t>
      </w:r>
      <w:r w:rsidRPr="00F34151">
        <w:rPr>
          <w:rFonts w:ascii="Calibri" w:hAnsi="Calibri" w:cs="Calibri"/>
          <w:sz w:val="22"/>
          <w:szCs w:val="22"/>
        </w:rPr>
        <w:t xml:space="preserve">, </w:t>
      </w:r>
      <w:r w:rsidRPr="00F34151">
        <w:rPr>
          <w:rFonts w:ascii="Calibri" w:hAnsi="Calibri" w:cs="Calibri"/>
          <w:i/>
          <w:iCs/>
          <w:sz w:val="22"/>
          <w:szCs w:val="22"/>
        </w:rPr>
        <w:t>27</w:t>
      </w:r>
      <w:r w:rsidRPr="00F34151">
        <w:rPr>
          <w:rFonts w:ascii="Calibri" w:hAnsi="Calibri" w:cs="Calibri"/>
          <w:sz w:val="22"/>
          <w:szCs w:val="22"/>
        </w:rPr>
        <w:t xml:space="preserve">(1), 3-28. </w:t>
      </w:r>
      <w:hyperlink r:id="rId18" w:tgtFrame="_new" w:history="1">
        <w:r w:rsidRPr="00F34151">
          <w:rPr>
            <w:rStyle w:val="Lienhypertexte"/>
            <w:rFonts w:ascii="Calibri" w:hAnsi="Calibri" w:cs="Calibri"/>
            <w:sz w:val="22"/>
            <w:szCs w:val="22"/>
          </w:rPr>
          <w:t>https://doi.org/10.1177/1069072718774002</w:t>
        </w:r>
      </w:hyperlink>
    </w:p>
    <w:p w14:paraId="57AE6071" w14:textId="77777777" w:rsidR="007978AC" w:rsidRPr="00EA5B78" w:rsidRDefault="0097051A" w:rsidP="00F34151">
      <w:pPr>
        <w:spacing w:after="0" w:line="240" w:lineRule="auto"/>
        <w:ind w:left="567" w:hanging="567"/>
        <w:jc w:val="both"/>
        <w:rPr>
          <w:rFonts w:ascii="Calibri" w:eastAsia="Calibri" w:hAnsi="Calibri" w:cs="Calibri"/>
          <w:bCs/>
          <w:sz w:val="22"/>
          <w:szCs w:val="22"/>
        </w:rPr>
      </w:pPr>
      <w:r w:rsidRPr="00F34151">
        <w:rPr>
          <w:rFonts w:ascii="Calibri" w:eastAsia="Calibri" w:hAnsi="Calibri" w:cs="Calibri"/>
          <w:color w:val="000000" w:themeColor="text1"/>
          <w:sz w:val="22"/>
          <w:szCs w:val="22"/>
        </w:rPr>
        <w:t xml:space="preserve">Bonde, J. P., </w:t>
      </w:r>
      <w:proofErr w:type="spellStart"/>
      <w:r w:rsidRPr="00F34151">
        <w:rPr>
          <w:rFonts w:ascii="Calibri" w:eastAsia="Calibri" w:hAnsi="Calibri" w:cs="Calibri"/>
          <w:color w:val="000000" w:themeColor="text1"/>
          <w:sz w:val="22"/>
          <w:szCs w:val="22"/>
        </w:rPr>
        <w:t>Gullander</w:t>
      </w:r>
      <w:proofErr w:type="spellEnd"/>
      <w:r w:rsidRPr="00F34151">
        <w:rPr>
          <w:rFonts w:ascii="Calibri" w:eastAsia="Calibri" w:hAnsi="Calibri" w:cs="Calibri"/>
          <w:color w:val="000000" w:themeColor="text1"/>
          <w:sz w:val="22"/>
          <w:szCs w:val="22"/>
        </w:rPr>
        <w:t xml:space="preserve">, M., Hansen, Å. M., Grynderup, M., Persson, R., Hogh, A., Willert, M. V., Kaerlev, L., </w:t>
      </w:r>
      <w:proofErr w:type="spellStart"/>
      <w:r w:rsidRPr="00F34151">
        <w:rPr>
          <w:rFonts w:ascii="Calibri" w:eastAsia="Calibri" w:hAnsi="Calibri" w:cs="Calibri"/>
          <w:color w:val="000000" w:themeColor="text1"/>
          <w:sz w:val="22"/>
          <w:szCs w:val="22"/>
        </w:rPr>
        <w:t>Rugulies</w:t>
      </w:r>
      <w:proofErr w:type="spellEnd"/>
      <w:r w:rsidRPr="00F34151">
        <w:rPr>
          <w:rFonts w:ascii="Calibri" w:eastAsia="Calibri" w:hAnsi="Calibri" w:cs="Calibri"/>
          <w:color w:val="000000" w:themeColor="text1"/>
          <w:sz w:val="22"/>
          <w:szCs w:val="22"/>
        </w:rPr>
        <w:t xml:space="preserve">, R., &amp; Kolstad, H. A. (2016). Health correlates of workplace bullying: A 3-wave prospective follow-up study. </w:t>
      </w:r>
      <w:r w:rsidRPr="00F34151">
        <w:rPr>
          <w:rFonts w:ascii="Calibri" w:eastAsia="Calibri" w:hAnsi="Calibri" w:cs="Calibri"/>
          <w:i/>
          <w:iCs/>
          <w:color w:val="000000" w:themeColor="text1"/>
          <w:sz w:val="22"/>
          <w:szCs w:val="22"/>
        </w:rPr>
        <w:t>Scandinavian Journal of Work, Environment &amp; Health</w:t>
      </w:r>
      <w:r w:rsidRPr="00F34151">
        <w:rPr>
          <w:rFonts w:ascii="Calibri" w:eastAsia="Calibri" w:hAnsi="Calibri" w:cs="Calibri"/>
          <w:color w:val="000000" w:themeColor="text1"/>
          <w:sz w:val="22"/>
          <w:szCs w:val="22"/>
        </w:rPr>
        <w:t xml:space="preserve">, </w:t>
      </w:r>
      <w:r w:rsidRPr="00F34151">
        <w:rPr>
          <w:rFonts w:ascii="Calibri" w:eastAsia="Calibri" w:hAnsi="Calibri" w:cs="Calibri"/>
          <w:i/>
          <w:iCs/>
          <w:color w:val="000000" w:themeColor="text1"/>
          <w:sz w:val="22"/>
          <w:szCs w:val="22"/>
        </w:rPr>
        <w:t>42</w:t>
      </w:r>
      <w:r w:rsidRPr="00F34151">
        <w:rPr>
          <w:rFonts w:ascii="Calibri" w:eastAsia="Calibri" w:hAnsi="Calibri" w:cs="Calibri"/>
          <w:color w:val="000000" w:themeColor="text1"/>
          <w:sz w:val="22"/>
          <w:szCs w:val="22"/>
        </w:rPr>
        <w:t>(1), 17</w:t>
      </w:r>
      <w:r w:rsidR="007978AC" w:rsidRPr="00F34151">
        <w:rPr>
          <w:rFonts w:ascii="Calibri" w:eastAsia="Calibri" w:hAnsi="Calibri" w:cs="Calibri"/>
          <w:color w:val="000000" w:themeColor="text1"/>
          <w:sz w:val="22"/>
          <w:szCs w:val="22"/>
        </w:rPr>
        <w:t>-</w:t>
      </w:r>
      <w:r w:rsidRPr="00F34151">
        <w:rPr>
          <w:rFonts w:ascii="Calibri" w:eastAsia="Calibri" w:hAnsi="Calibri" w:cs="Calibri"/>
          <w:color w:val="000000" w:themeColor="text1"/>
          <w:sz w:val="22"/>
          <w:szCs w:val="22"/>
        </w:rPr>
        <w:t xml:space="preserve">25. </w:t>
      </w:r>
      <w:hyperlink r:id="rId19" w:history="1">
        <w:r w:rsidRPr="00F34151">
          <w:rPr>
            <w:rStyle w:val="Lienhypertexte"/>
            <w:rFonts w:ascii="Calibri" w:eastAsia="Calibri" w:hAnsi="Calibri" w:cs="Calibri"/>
            <w:sz w:val="22"/>
            <w:szCs w:val="22"/>
          </w:rPr>
          <w:t>https://doi.org/10.5271/sjweh.3539</w:t>
        </w:r>
      </w:hyperlink>
    </w:p>
    <w:p w14:paraId="5070ECD1" w14:textId="77777777" w:rsidR="007978AC" w:rsidRPr="00F34151"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 xml:space="preserve">Bourdon, S., &amp; Bélisle, R. (2016). Jeunes sans emploi et sans diplôme : Aspirations scolaires et besoins de soutien. </w:t>
      </w:r>
      <w:r w:rsidRPr="00EA5B78">
        <w:rPr>
          <w:rFonts w:ascii="Calibri" w:hAnsi="Calibri" w:cs="Calibri"/>
          <w:i/>
          <w:iCs/>
          <w:sz w:val="22"/>
          <w:szCs w:val="22"/>
          <w:lang w:val="fr-CA"/>
        </w:rPr>
        <w:t>Bulletin d’information de l’Observatoire Jeunes et société</w:t>
      </w:r>
      <w:r w:rsidRPr="00EA5B78">
        <w:rPr>
          <w:rFonts w:ascii="Calibri" w:hAnsi="Calibri" w:cs="Calibri"/>
          <w:sz w:val="22"/>
          <w:szCs w:val="22"/>
          <w:lang w:val="fr-CA"/>
        </w:rPr>
        <w:t xml:space="preserve">, </w:t>
      </w:r>
      <w:r w:rsidRPr="00EA5B78">
        <w:rPr>
          <w:rFonts w:ascii="Calibri" w:hAnsi="Calibri" w:cs="Calibri"/>
          <w:i/>
          <w:iCs/>
          <w:sz w:val="22"/>
          <w:szCs w:val="22"/>
          <w:lang w:val="fr-CA"/>
        </w:rPr>
        <w:t>13</w:t>
      </w:r>
      <w:r w:rsidRPr="00EA5B78">
        <w:rPr>
          <w:rFonts w:ascii="Calibri" w:hAnsi="Calibri" w:cs="Calibri"/>
          <w:sz w:val="22"/>
          <w:szCs w:val="22"/>
          <w:lang w:val="fr-CA"/>
        </w:rPr>
        <w:t>(2), 4</w:t>
      </w:r>
      <w:r w:rsidR="007978AC" w:rsidRPr="00EA5B78">
        <w:rPr>
          <w:rFonts w:ascii="Calibri" w:hAnsi="Calibri" w:cs="Calibri"/>
          <w:sz w:val="22"/>
          <w:szCs w:val="22"/>
          <w:lang w:val="fr-CA"/>
        </w:rPr>
        <w:t>-</w:t>
      </w:r>
      <w:r w:rsidRPr="00EA5B78">
        <w:rPr>
          <w:rFonts w:ascii="Calibri" w:hAnsi="Calibri" w:cs="Calibri"/>
          <w:sz w:val="22"/>
          <w:szCs w:val="22"/>
          <w:lang w:val="fr-CA"/>
        </w:rPr>
        <w:t>5.</w:t>
      </w:r>
    </w:p>
    <w:p w14:paraId="0E08AEFD" w14:textId="77777777" w:rsidR="007978AC" w:rsidRPr="00EA5B78" w:rsidRDefault="0097051A" w:rsidP="00F34151">
      <w:pPr>
        <w:spacing w:after="0" w:line="240" w:lineRule="auto"/>
        <w:ind w:left="567" w:hanging="567"/>
        <w:jc w:val="both"/>
        <w:rPr>
          <w:rFonts w:ascii="Calibri" w:hAnsi="Calibri" w:cs="Calibri"/>
          <w:sz w:val="22"/>
          <w:szCs w:val="22"/>
          <w:lang w:val="fr-CA"/>
        </w:rPr>
      </w:pPr>
      <w:r w:rsidRPr="00EA5B78">
        <w:rPr>
          <w:rFonts w:ascii="Calibri" w:hAnsi="Calibri" w:cs="Calibri"/>
          <w:sz w:val="22"/>
          <w:szCs w:val="22"/>
          <w:lang w:val="fr-CA"/>
        </w:rPr>
        <w:t xml:space="preserve">Bourdon, S., Bélisle, R., Garon, S., Michaud, G., van Caloen, B., Gosselin, M., &amp; Yergeau, É. (2008). </w:t>
      </w:r>
      <w:r w:rsidRPr="00EA5B78">
        <w:rPr>
          <w:rFonts w:ascii="Calibri" w:hAnsi="Calibri" w:cs="Calibri"/>
          <w:i/>
          <w:iCs/>
          <w:sz w:val="22"/>
          <w:szCs w:val="22"/>
          <w:lang w:val="fr-CA"/>
        </w:rPr>
        <w:t>Note méthodologique pour une enquête longitudinale sur les transitions et l’apprentissage de jeunes adultes en situation de précarité</w:t>
      </w:r>
      <w:r w:rsidRPr="00EA5B78">
        <w:rPr>
          <w:rFonts w:ascii="Calibri" w:hAnsi="Calibri" w:cs="Calibri"/>
          <w:sz w:val="22"/>
          <w:szCs w:val="22"/>
          <w:lang w:val="fr-CA"/>
        </w:rPr>
        <w:t>. Centre d’études et de recherches sur les transitions et l’apprentissage (CERTA).</w:t>
      </w:r>
    </w:p>
    <w:p w14:paraId="4DC164EF" w14:textId="77777777" w:rsidR="007E4064" w:rsidRPr="00F34151" w:rsidRDefault="0097051A" w:rsidP="00F34151">
      <w:pPr>
        <w:spacing w:after="0" w:line="240" w:lineRule="auto"/>
        <w:ind w:left="567" w:hanging="567"/>
        <w:jc w:val="both"/>
        <w:rPr>
          <w:rFonts w:ascii="Calibri" w:hAnsi="Calibri" w:cs="Calibri"/>
          <w:sz w:val="22"/>
          <w:szCs w:val="22"/>
        </w:rPr>
      </w:pPr>
      <w:r w:rsidRPr="00EA5B78">
        <w:rPr>
          <w:rFonts w:ascii="Calibri" w:eastAsia="Calibri" w:hAnsi="Calibri" w:cs="Calibri"/>
          <w:color w:val="212121"/>
          <w:sz w:val="22"/>
          <w:szCs w:val="22"/>
          <w:lang w:val="fr-CA"/>
        </w:rPr>
        <w:t xml:space="preserve">Carazo, S., Pelletier, M., Talbot, D., Jauvin, N., De Serres, G., &amp; Vézina, M. (2022). </w:t>
      </w:r>
      <w:r w:rsidRPr="00F34151">
        <w:rPr>
          <w:rFonts w:ascii="Calibri" w:eastAsia="Calibri" w:hAnsi="Calibri" w:cs="Calibri"/>
          <w:color w:val="212121"/>
          <w:sz w:val="22"/>
          <w:szCs w:val="22"/>
        </w:rPr>
        <w:t xml:space="preserve">Psychological Distress of Healthcare Workers in Québec (Canada) During the Second and the Third Pandemic Waves. </w:t>
      </w:r>
      <w:r w:rsidRPr="00F34151">
        <w:rPr>
          <w:rFonts w:ascii="Calibri" w:eastAsia="Calibri" w:hAnsi="Calibri" w:cs="Calibri"/>
          <w:i/>
          <w:iCs/>
          <w:color w:val="212121"/>
          <w:sz w:val="22"/>
          <w:szCs w:val="22"/>
        </w:rPr>
        <w:t>Journal of Occupational &amp; Environmental Medicine</w:t>
      </w:r>
      <w:r w:rsidRPr="00F34151">
        <w:rPr>
          <w:rFonts w:ascii="Calibri" w:eastAsia="Calibri" w:hAnsi="Calibri" w:cs="Calibri"/>
          <w:color w:val="212121"/>
          <w:sz w:val="22"/>
          <w:szCs w:val="22"/>
        </w:rPr>
        <w:t xml:space="preserve">, </w:t>
      </w:r>
      <w:r w:rsidRPr="00F34151">
        <w:rPr>
          <w:rFonts w:ascii="Calibri" w:eastAsia="Calibri" w:hAnsi="Calibri" w:cs="Calibri"/>
          <w:i/>
          <w:iCs/>
          <w:color w:val="212121"/>
          <w:sz w:val="22"/>
          <w:szCs w:val="22"/>
        </w:rPr>
        <w:t>64</w:t>
      </w:r>
      <w:r w:rsidRPr="00F34151">
        <w:rPr>
          <w:rFonts w:ascii="Calibri" w:eastAsia="Calibri" w:hAnsi="Calibri" w:cs="Calibri"/>
          <w:color w:val="212121"/>
          <w:sz w:val="22"/>
          <w:szCs w:val="22"/>
        </w:rPr>
        <w:t>(6), 495</w:t>
      </w:r>
      <w:r w:rsidR="007978AC" w:rsidRPr="00F34151">
        <w:rPr>
          <w:rFonts w:ascii="Calibri" w:eastAsia="Calibri" w:hAnsi="Calibri" w:cs="Calibri"/>
          <w:color w:val="212121"/>
          <w:sz w:val="22"/>
          <w:szCs w:val="22"/>
        </w:rPr>
        <w:t>-</w:t>
      </w:r>
      <w:r w:rsidRPr="00F34151">
        <w:rPr>
          <w:rFonts w:ascii="Calibri" w:eastAsia="Calibri" w:hAnsi="Calibri" w:cs="Calibri"/>
          <w:color w:val="212121"/>
          <w:sz w:val="22"/>
          <w:szCs w:val="22"/>
        </w:rPr>
        <w:t xml:space="preserve">503. </w:t>
      </w:r>
      <w:hyperlink r:id="rId20" w:history="1">
        <w:r w:rsidRPr="00F34151">
          <w:rPr>
            <w:rStyle w:val="Lienhypertexte"/>
            <w:rFonts w:ascii="Calibri" w:eastAsia="Calibri" w:hAnsi="Calibri" w:cs="Calibri"/>
            <w:sz w:val="22"/>
            <w:szCs w:val="22"/>
          </w:rPr>
          <w:t>https://doi.org/10.1097/JOM.0000000000002487</w:t>
        </w:r>
      </w:hyperlink>
    </w:p>
    <w:p w14:paraId="31CCBAA5" w14:textId="77777777" w:rsidR="007E4064" w:rsidRPr="00F34151" w:rsidRDefault="0097051A" w:rsidP="00F34151">
      <w:pPr>
        <w:spacing w:after="0" w:line="240" w:lineRule="auto"/>
        <w:ind w:left="567" w:hanging="567"/>
        <w:jc w:val="both"/>
        <w:rPr>
          <w:rFonts w:ascii="Calibri" w:eastAsia="Calibri" w:hAnsi="Calibri" w:cs="Calibri"/>
          <w:bCs/>
          <w:sz w:val="22"/>
          <w:szCs w:val="22"/>
          <w:lang w:val="fr-CA"/>
        </w:rPr>
      </w:pPr>
      <w:proofErr w:type="spellStart"/>
      <w:r w:rsidRPr="00F34151">
        <w:rPr>
          <w:rFonts w:ascii="Calibri" w:hAnsi="Calibri" w:cs="Calibri"/>
          <w:sz w:val="22"/>
          <w:szCs w:val="22"/>
        </w:rPr>
        <w:t>Carcillo</w:t>
      </w:r>
      <w:proofErr w:type="spellEnd"/>
      <w:r w:rsidRPr="00F34151">
        <w:rPr>
          <w:rFonts w:ascii="Calibri" w:hAnsi="Calibri" w:cs="Calibri"/>
          <w:sz w:val="22"/>
          <w:szCs w:val="22"/>
        </w:rPr>
        <w:t xml:space="preserve">, S., Fernández, R., </w:t>
      </w:r>
      <w:proofErr w:type="spellStart"/>
      <w:r w:rsidRPr="00F34151">
        <w:rPr>
          <w:rFonts w:ascii="Calibri" w:hAnsi="Calibri" w:cs="Calibri"/>
          <w:sz w:val="22"/>
          <w:szCs w:val="22"/>
        </w:rPr>
        <w:t>Königs</w:t>
      </w:r>
      <w:proofErr w:type="spellEnd"/>
      <w:r w:rsidRPr="00F34151">
        <w:rPr>
          <w:rFonts w:ascii="Calibri" w:hAnsi="Calibri" w:cs="Calibri"/>
          <w:sz w:val="22"/>
          <w:szCs w:val="22"/>
        </w:rPr>
        <w:t xml:space="preserve">, S., &amp; Minea, A. (2015). </w:t>
      </w:r>
      <w:r w:rsidRPr="00F34151">
        <w:rPr>
          <w:rFonts w:ascii="Calibri" w:hAnsi="Calibri" w:cs="Calibri"/>
          <w:i/>
          <w:iCs/>
          <w:sz w:val="22"/>
          <w:szCs w:val="22"/>
        </w:rPr>
        <w:t>NEET youth in the aftermath of the crisis: Challenges and policies</w:t>
      </w:r>
      <w:r w:rsidRPr="00F34151">
        <w:rPr>
          <w:rFonts w:ascii="Calibri" w:hAnsi="Calibri" w:cs="Calibri"/>
          <w:sz w:val="22"/>
          <w:szCs w:val="22"/>
        </w:rPr>
        <w:t xml:space="preserve"> (OECD Social, Employment and Migration Working Papers No. 164). </w:t>
      </w:r>
      <w:r w:rsidRPr="00EA5B78">
        <w:rPr>
          <w:rFonts w:ascii="Calibri" w:hAnsi="Calibri" w:cs="Calibri"/>
          <w:sz w:val="22"/>
          <w:szCs w:val="22"/>
          <w:lang w:val="fr-CA"/>
        </w:rPr>
        <w:t xml:space="preserve">OECD </w:t>
      </w:r>
      <w:proofErr w:type="spellStart"/>
      <w:r w:rsidRPr="00EA5B78">
        <w:rPr>
          <w:rFonts w:ascii="Calibri" w:hAnsi="Calibri" w:cs="Calibri"/>
          <w:sz w:val="22"/>
          <w:szCs w:val="22"/>
          <w:lang w:val="fr-CA"/>
        </w:rPr>
        <w:t>Publishing</w:t>
      </w:r>
      <w:proofErr w:type="spellEnd"/>
      <w:r w:rsidRPr="00EA5B78">
        <w:rPr>
          <w:rFonts w:ascii="Calibri" w:hAnsi="Calibri" w:cs="Calibri"/>
          <w:sz w:val="22"/>
          <w:szCs w:val="22"/>
          <w:lang w:val="fr-CA"/>
        </w:rPr>
        <w:t xml:space="preserve">. </w:t>
      </w:r>
      <w:hyperlink r:id="rId21" w:history="1">
        <w:r w:rsidRPr="00EA5B78">
          <w:rPr>
            <w:rStyle w:val="Lienhypertexte"/>
            <w:rFonts w:ascii="Calibri" w:hAnsi="Calibri" w:cs="Calibri"/>
            <w:sz w:val="22"/>
            <w:szCs w:val="22"/>
            <w:lang w:val="fr-CA"/>
          </w:rPr>
          <w:t>https://doi.org/10.1787/5js6363503f6-en</w:t>
        </w:r>
      </w:hyperlink>
      <w:r w:rsidRPr="00EA5B78">
        <w:rPr>
          <w:rFonts w:ascii="Calibri" w:hAnsi="Calibri" w:cs="Calibri"/>
          <w:sz w:val="22"/>
          <w:szCs w:val="22"/>
          <w:lang w:val="fr-CA"/>
        </w:rPr>
        <w:t xml:space="preserve"> </w:t>
      </w:r>
    </w:p>
    <w:p w14:paraId="5D85FC35" w14:textId="77777777" w:rsidR="007E4064" w:rsidRPr="00F34151" w:rsidRDefault="0097051A" w:rsidP="00F34151">
      <w:pPr>
        <w:spacing w:after="0" w:line="240" w:lineRule="auto"/>
        <w:ind w:left="567" w:hanging="567"/>
        <w:jc w:val="both"/>
        <w:rPr>
          <w:rFonts w:ascii="Calibri" w:eastAsia="Calibri" w:hAnsi="Calibri" w:cs="Calibri"/>
          <w:bCs/>
          <w:sz w:val="22"/>
          <w:szCs w:val="22"/>
          <w:lang w:val="fr-CA"/>
        </w:rPr>
      </w:pPr>
      <w:proofErr w:type="spellStart"/>
      <w:r w:rsidRPr="00EA5B78">
        <w:rPr>
          <w:rFonts w:ascii="Calibri" w:hAnsi="Calibri" w:cs="Calibri"/>
          <w:sz w:val="22"/>
          <w:szCs w:val="22"/>
          <w:lang w:val="fr-CA"/>
        </w:rPr>
        <w:t>Chauffaut</w:t>
      </w:r>
      <w:proofErr w:type="spellEnd"/>
      <w:r w:rsidRPr="00EA5B78">
        <w:rPr>
          <w:rFonts w:ascii="Calibri" w:hAnsi="Calibri" w:cs="Calibri"/>
          <w:sz w:val="22"/>
          <w:szCs w:val="22"/>
          <w:lang w:val="fr-CA"/>
        </w:rPr>
        <w:t xml:space="preserve">, D., David, É., Guilloux, S., &amp; Olm, C. (2004). Les dispositifs d’insertion face aux problèmes de santé. </w:t>
      </w:r>
      <w:r w:rsidRPr="00F34151">
        <w:rPr>
          <w:rFonts w:ascii="Calibri" w:hAnsi="Calibri" w:cs="Calibri"/>
          <w:sz w:val="22"/>
          <w:szCs w:val="22"/>
          <w:lang w:val="fr-CA"/>
        </w:rPr>
        <w:t>Centre de recherche pour l’étude et l’observation des conditions de vie.</w:t>
      </w:r>
    </w:p>
    <w:p w14:paraId="41393B10" w14:textId="30F7D247" w:rsidR="007E4064" w:rsidRPr="00F34151" w:rsidRDefault="0097051A" w:rsidP="00F34151">
      <w:pPr>
        <w:spacing w:after="0" w:line="240" w:lineRule="auto"/>
        <w:ind w:left="567" w:hanging="567"/>
        <w:jc w:val="both"/>
        <w:rPr>
          <w:rFonts w:ascii="Calibri" w:hAnsi="Calibri" w:cs="Calibri"/>
          <w:sz w:val="22"/>
          <w:szCs w:val="22"/>
        </w:rPr>
      </w:pPr>
      <w:r w:rsidRPr="00F34151">
        <w:rPr>
          <w:rFonts w:ascii="Calibri" w:hAnsi="Calibri" w:cs="Calibri"/>
          <w:sz w:val="22"/>
          <w:szCs w:val="22"/>
        </w:rPr>
        <w:t xml:space="preserve">Chevalier, T. (2023). Can the welfare state reduce youth poverty? The determinants of material deprivation and subjective poverty among young people in Europe. </w:t>
      </w:r>
      <w:r w:rsidRPr="00F34151">
        <w:rPr>
          <w:rFonts w:ascii="Calibri" w:hAnsi="Calibri" w:cs="Calibri"/>
          <w:i/>
          <w:iCs/>
          <w:sz w:val="22"/>
          <w:szCs w:val="22"/>
        </w:rPr>
        <w:t>Journal of European Social Policy</w:t>
      </w:r>
      <w:r w:rsidRPr="00F34151">
        <w:rPr>
          <w:rFonts w:ascii="Calibri" w:hAnsi="Calibri" w:cs="Calibri"/>
          <w:sz w:val="22"/>
          <w:szCs w:val="22"/>
        </w:rPr>
        <w:t xml:space="preserve">, </w:t>
      </w:r>
      <w:r w:rsidRPr="00F34151">
        <w:rPr>
          <w:rFonts w:ascii="Calibri" w:hAnsi="Calibri" w:cs="Calibri"/>
          <w:i/>
          <w:iCs/>
          <w:sz w:val="22"/>
          <w:szCs w:val="22"/>
        </w:rPr>
        <w:t>33</w:t>
      </w:r>
      <w:r w:rsidRPr="00F34151">
        <w:rPr>
          <w:rFonts w:ascii="Calibri" w:hAnsi="Calibri" w:cs="Calibri"/>
          <w:sz w:val="22"/>
          <w:szCs w:val="22"/>
        </w:rPr>
        <w:t>(3), 310</w:t>
      </w:r>
      <w:r w:rsidR="007E4064" w:rsidRPr="00F34151">
        <w:rPr>
          <w:rFonts w:ascii="Calibri" w:hAnsi="Calibri" w:cs="Calibri"/>
          <w:sz w:val="22"/>
          <w:szCs w:val="22"/>
        </w:rPr>
        <w:t>-</w:t>
      </w:r>
      <w:r w:rsidRPr="00F34151">
        <w:rPr>
          <w:rFonts w:ascii="Calibri" w:hAnsi="Calibri" w:cs="Calibri"/>
          <w:sz w:val="22"/>
          <w:szCs w:val="22"/>
        </w:rPr>
        <w:t>325.</w:t>
      </w:r>
    </w:p>
    <w:p w14:paraId="689ECC18" w14:textId="77777777" w:rsidR="00672386" w:rsidRPr="00F34151" w:rsidRDefault="0097051A" w:rsidP="00F34151">
      <w:pPr>
        <w:spacing w:after="0" w:line="240" w:lineRule="auto"/>
        <w:ind w:left="567" w:hanging="567"/>
        <w:jc w:val="both"/>
        <w:rPr>
          <w:rFonts w:ascii="Calibri" w:eastAsia="Calibri" w:hAnsi="Calibri" w:cs="Calibri"/>
          <w:bCs/>
          <w:sz w:val="22"/>
          <w:szCs w:val="22"/>
          <w:lang w:val="fr-CA"/>
        </w:rPr>
      </w:pPr>
      <w:r w:rsidRPr="00F34151">
        <w:rPr>
          <w:rFonts w:ascii="Calibri" w:hAnsi="Calibri" w:cs="Calibri"/>
          <w:sz w:val="22"/>
          <w:szCs w:val="22"/>
        </w:rPr>
        <w:t xml:space="preserve">Coetzee, M., &amp; Van Dyk, J. (2018). Workplace Bullying and Turnover Intention: Exploring Work Engagement as a Potential Mediator. </w:t>
      </w:r>
      <w:proofErr w:type="spellStart"/>
      <w:r w:rsidRPr="00EA5B78">
        <w:rPr>
          <w:rFonts w:ascii="Calibri" w:hAnsi="Calibri" w:cs="Calibri"/>
          <w:i/>
          <w:iCs/>
          <w:sz w:val="22"/>
          <w:szCs w:val="22"/>
          <w:lang w:val="fr-CA"/>
        </w:rPr>
        <w:t>Psychological</w:t>
      </w:r>
      <w:proofErr w:type="spellEnd"/>
      <w:r w:rsidRPr="00EA5B78">
        <w:rPr>
          <w:rFonts w:ascii="Calibri" w:hAnsi="Calibri" w:cs="Calibri"/>
          <w:i/>
          <w:iCs/>
          <w:sz w:val="22"/>
          <w:szCs w:val="22"/>
          <w:lang w:val="fr-CA"/>
        </w:rPr>
        <w:t xml:space="preserve"> Reports</w:t>
      </w:r>
      <w:r w:rsidRPr="00EA5B78">
        <w:rPr>
          <w:rFonts w:ascii="Calibri" w:hAnsi="Calibri" w:cs="Calibri"/>
          <w:sz w:val="22"/>
          <w:szCs w:val="22"/>
          <w:lang w:val="fr-CA"/>
        </w:rPr>
        <w:t xml:space="preserve">, </w:t>
      </w:r>
      <w:r w:rsidRPr="00EA5B78">
        <w:rPr>
          <w:rFonts w:ascii="Calibri" w:hAnsi="Calibri" w:cs="Calibri"/>
          <w:i/>
          <w:iCs/>
          <w:sz w:val="22"/>
          <w:szCs w:val="22"/>
          <w:lang w:val="fr-CA"/>
        </w:rPr>
        <w:t>121</w:t>
      </w:r>
      <w:r w:rsidRPr="00EA5B78">
        <w:rPr>
          <w:rFonts w:ascii="Calibri" w:hAnsi="Calibri" w:cs="Calibri"/>
          <w:sz w:val="22"/>
          <w:szCs w:val="22"/>
          <w:lang w:val="fr-CA"/>
        </w:rPr>
        <w:t>(2), 375</w:t>
      </w:r>
      <w:r w:rsidR="00672386" w:rsidRPr="00EA5B78">
        <w:rPr>
          <w:rFonts w:ascii="Calibri" w:hAnsi="Calibri" w:cs="Calibri"/>
          <w:sz w:val="22"/>
          <w:szCs w:val="22"/>
          <w:lang w:val="fr-CA"/>
        </w:rPr>
        <w:t>-</w:t>
      </w:r>
      <w:r w:rsidRPr="00EA5B78">
        <w:rPr>
          <w:rFonts w:ascii="Calibri" w:hAnsi="Calibri" w:cs="Calibri"/>
          <w:sz w:val="22"/>
          <w:szCs w:val="22"/>
          <w:lang w:val="fr-CA"/>
        </w:rPr>
        <w:t xml:space="preserve">392. </w:t>
      </w:r>
      <w:hyperlink r:id="rId22" w:history="1">
        <w:r w:rsidRPr="00EA5B78">
          <w:rPr>
            <w:rStyle w:val="Lienhypertexte"/>
            <w:rFonts w:ascii="Calibri" w:hAnsi="Calibri" w:cs="Calibri"/>
            <w:sz w:val="22"/>
            <w:szCs w:val="22"/>
            <w:lang w:val="fr-CA"/>
          </w:rPr>
          <w:t>https://doi.org/10.1177/0033294117725073</w:t>
        </w:r>
      </w:hyperlink>
    </w:p>
    <w:p w14:paraId="3F4EAA9F" w14:textId="77777777" w:rsidR="00672386" w:rsidRPr="00F34151"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 xml:space="preserve">Côté, D., Dubé, J., &amp; </w:t>
      </w:r>
      <w:proofErr w:type="spellStart"/>
      <w:r w:rsidRPr="00EA5B78">
        <w:rPr>
          <w:rFonts w:ascii="Calibri" w:hAnsi="Calibri" w:cs="Calibri"/>
          <w:sz w:val="22"/>
          <w:szCs w:val="22"/>
          <w:lang w:val="fr-CA"/>
        </w:rPr>
        <w:t>Frozzini</w:t>
      </w:r>
      <w:proofErr w:type="spellEnd"/>
      <w:r w:rsidRPr="00EA5B78">
        <w:rPr>
          <w:rFonts w:ascii="Calibri" w:hAnsi="Calibri" w:cs="Calibri"/>
          <w:sz w:val="22"/>
          <w:szCs w:val="22"/>
          <w:lang w:val="fr-CA"/>
        </w:rPr>
        <w:t xml:space="preserve">, J. (2020). </w:t>
      </w:r>
      <w:r w:rsidRPr="00EA5B78">
        <w:rPr>
          <w:rFonts w:ascii="Calibri" w:hAnsi="Calibri" w:cs="Calibri"/>
          <w:i/>
          <w:iCs/>
          <w:sz w:val="22"/>
          <w:szCs w:val="22"/>
          <w:lang w:val="fr-CA"/>
        </w:rPr>
        <w:t>Précarité du travail et inégalités sociales de santé : quelles leçons à tirer de la pandémie de COVID-19.</w:t>
      </w:r>
      <w:r w:rsidRPr="00EA5B78">
        <w:rPr>
          <w:rFonts w:ascii="Calibri" w:hAnsi="Calibri" w:cs="Calibri"/>
          <w:sz w:val="22"/>
          <w:szCs w:val="22"/>
          <w:lang w:val="fr-CA"/>
        </w:rPr>
        <w:t xml:space="preserve"> Laboratoire de recherche en relations interculturelles.</w:t>
      </w:r>
    </w:p>
    <w:p w14:paraId="1C2F8593" w14:textId="77777777" w:rsidR="00672386" w:rsidRPr="00A845CE" w:rsidRDefault="0097051A" w:rsidP="00F34151">
      <w:pPr>
        <w:spacing w:after="0" w:line="240" w:lineRule="auto"/>
        <w:ind w:left="567" w:hanging="567"/>
        <w:jc w:val="both"/>
        <w:rPr>
          <w:rFonts w:ascii="Calibri" w:eastAsia="Calibri" w:hAnsi="Calibri" w:cs="Calibri"/>
          <w:bCs/>
          <w:sz w:val="22"/>
          <w:szCs w:val="22"/>
        </w:rPr>
      </w:pPr>
      <w:r w:rsidRPr="00EA5B78">
        <w:rPr>
          <w:rFonts w:ascii="Calibri" w:eastAsia="Times New Roman" w:hAnsi="Calibri" w:cs="Calibri"/>
          <w:color w:val="000000" w:themeColor="text1"/>
          <w:spacing w:val="-8"/>
          <w:sz w:val="22"/>
          <w:szCs w:val="22"/>
          <w:lang w:val="fr-CA"/>
        </w:rPr>
        <w:t xml:space="preserve">Davidson, J., &amp; Arim, R. (2019). </w:t>
      </w:r>
      <w:r w:rsidRPr="00F34151">
        <w:rPr>
          <w:rFonts w:ascii="Calibri" w:eastAsia="Times New Roman" w:hAnsi="Calibri" w:cs="Calibri"/>
          <w:i/>
          <w:iCs/>
          <w:color w:val="000000" w:themeColor="text1"/>
          <w:spacing w:val="-8"/>
          <w:sz w:val="22"/>
          <w:szCs w:val="22"/>
        </w:rPr>
        <w:t>Analytical Studies Branch Research Paper Series. A Profile of Youth Not in Employment, Education or Training (NEET) in Canada, 2015 to 2017</w:t>
      </w:r>
      <w:r w:rsidRPr="00F34151">
        <w:rPr>
          <w:rFonts w:ascii="Calibri" w:eastAsia="Times New Roman" w:hAnsi="Calibri" w:cs="Calibri"/>
          <w:color w:val="000000" w:themeColor="text1"/>
          <w:spacing w:val="-8"/>
          <w:sz w:val="22"/>
          <w:szCs w:val="22"/>
        </w:rPr>
        <w:t xml:space="preserve">. </w:t>
      </w:r>
      <w:proofErr w:type="spellStart"/>
      <w:r w:rsidRPr="00A845CE">
        <w:rPr>
          <w:rFonts w:ascii="Calibri" w:eastAsia="Times New Roman" w:hAnsi="Calibri" w:cs="Calibri"/>
          <w:color w:val="000000" w:themeColor="text1"/>
          <w:spacing w:val="-8"/>
          <w:sz w:val="22"/>
          <w:szCs w:val="22"/>
        </w:rPr>
        <w:t>Statistique</w:t>
      </w:r>
      <w:proofErr w:type="spellEnd"/>
      <w:r w:rsidRPr="00A845CE">
        <w:rPr>
          <w:rFonts w:ascii="Calibri" w:eastAsia="Times New Roman" w:hAnsi="Calibri" w:cs="Calibri"/>
          <w:color w:val="000000" w:themeColor="text1"/>
          <w:spacing w:val="-8"/>
          <w:sz w:val="22"/>
          <w:szCs w:val="22"/>
        </w:rPr>
        <w:t xml:space="preserve"> Canada.</w:t>
      </w:r>
    </w:p>
    <w:p w14:paraId="1B1FFF9B" w14:textId="77777777" w:rsidR="00672386" w:rsidRPr="00A845CE" w:rsidRDefault="0097051A" w:rsidP="00F34151">
      <w:pPr>
        <w:spacing w:after="0" w:line="240" w:lineRule="auto"/>
        <w:ind w:left="567" w:hanging="567"/>
        <w:jc w:val="both"/>
        <w:rPr>
          <w:rFonts w:ascii="Calibri" w:eastAsia="Calibri" w:hAnsi="Calibri" w:cs="Calibri"/>
          <w:bCs/>
          <w:sz w:val="22"/>
          <w:szCs w:val="22"/>
        </w:rPr>
      </w:pPr>
      <w:r w:rsidRPr="00A845CE">
        <w:rPr>
          <w:rFonts w:ascii="Calibri" w:hAnsi="Calibri" w:cs="Calibri"/>
          <w:sz w:val="22"/>
          <w:szCs w:val="22"/>
        </w:rPr>
        <w:lastRenderedPageBreak/>
        <w:t xml:space="preserve">De Vos, A., Van der Heijden, B. I. J. M., &amp; Akkermans, J. (2021). </w:t>
      </w:r>
      <w:r w:rsidRPr="00F34151">
        <w:rPr>
          <w:rFonts w:ascii="Calibri" w:hAnsi="Calibri" w:cs="Calibri"/>
          <w:i/>
          <w:iCs/>
          <w:sz w:val="22"/>
          <w:szCs w:val="22"/>
        </w:rPr>
        <w:t>Sustainable careers: Towards a conceptual model</w:t>
      </w:r>
      <w:r w:rsidRPr="00F34151">
        <w:rPr>
          <w:rFonts w:ascii="Calibri" w:hAnsi="Calibri" w:cs="Calibri"/>
          <w:sz w:val="22"/>
          <w:szCs w:val="22"/>
        </w:rPr>
        <w:t xml:space="preserve">. </w:t>
      </w:r>
      <w:r w:rsidRPr="00F34151">
        <w:rPr>
          <w:rFonts w:ascii="Calibri" w:hAnsi="Calibri" w:cs="Calibri"/>
          <w:i/>
          <w:iCs/>
          <w:sz w:val="22"/>
          <w:szCs w:val="22"/>
        </w:rPr>
        <w:t>Journal of Vocational Behavior</w:t>
      </w:r>
      <w:r w:rsidRPr="00F34151">
        <w:rPr>
          <w:rFonts w:ascii="Calibri" w:hAnsi="Calibri" w:cs="Calibri"/>
          <w:sz w:val="22"/>
          <w:szCs w:val="22"/>
        </w:rPr>
        <w:t xml:space="preserve">, </w:t>
      </w:r>
      <w:r w:rsidRPr="00F34151">
        <w:rPr>
          <w:rFonts w:ascii="Calibri" w:hAnsi="Calibri" w:cs="Calibri"/>
          <w:i/>
          <w:iCs/>
          <w:sz w:val="22"/>
          <w:szCs w:val="22"/>
        </w:rPr>
        <w:t>117</w:t>
      </w:r>
      <w:r w:rsidRPr="00F34151">
        <w:rPr>
          <w:rFonts w:ascii="Calibri" w:hAnsi="Calibri" w:cs="Calibri"/>
          <w:sz w:val="22"/>
          <w:szCs w:val="22"/>
        </w:rPr>
        <w:t xml:space="preserve">, 103196. </w:t>
      </w:r>
      <w:hyperlink r:id="rId23" w:tgtFrame="_new" w:history="1">
        <w:r w:rsidRPr="00A845CE">
          <w:rPr>
            <w:rStyle w:val="Lienhypertexte"/>
            <w:rFonts w:ascii="Calibri" w:hAnsi="Calibri" w:cs="Calibri"/>
            <w:sz w:val="22"/>
            <w:szCs w:val="22"/>
          </w:rPr>
          <w:t>https://doi.org/10.1016/j.jvb.2018.06.011</w:t>
        </w:r>
      </w:hyperlink>
    </w:p>
    <w:p w14:paraId="74D67E8C" w14:textId="77777777" w:rsidR="00672386" w:rsidRPr="00EA5B78" w:rsidRDefault="0097051A" w:rsidP="00F34151">
      <w:pPr>
        <w:spacing w:after="0" w:line="240" w:lineRule="auto"/>
        <w:ind w:left="567" w:hanging="567"/>
        <w:jc w:val="both"/>
        <w:rPr>
          <w:rFonts w:ascii="Calibri" w:eastAsia="Calibri" w:hAnsi="Calibri" w:cs="Calibri"/>
          <w:bCs/>
          <w:sz w:val="22"/>
          <w:szCs w:val="22"/>
        </w:rPr>
      </w:pPr>
      <w:r w:rsidRPr="00A845CE">
        <w:rPr>
          <w:rFonts w:ascii="Calibri" w:hAnsi="Calibri" w:cs="Calibri"/>
          <w:sz w:val="22"/>
          <w:szCs w:val="22"/>
        </w:rPr>
        <w:t xml:space="preserve">Delory-Momberger, C. (2007). </w:t>
      </w:r>
      <w:proofErr w:type="spellStart"/>
      <w:r w:rsidRPr="00EA5B78">
        <w:rPr>
          <w:rFonts w:ascii="Calibri" w:hAnsi="Calibri" w:cs="Calibri"/>
          <w:sz w:val="22"/>
          <w:szCs w:val="22"/>
          <w:lang w:val="fr-CA"/>
        </w:rPr>
        <w:t>Biographisation</w:t>
      </w:r>
      <w:proofErr w:type="spellEnd"/>
      <w:r w:rsidRPr="00EA5B78">
        <w:rPr>
          <w:rFonts w:ascii="Calibri" w:hAnsi="Calibri" w:cs="Calibri"/>
          <w:sz w:val="22"/>
          <w:szCs w:val="22"/>
          <w:lang w:val="fr-CA"/>
        </w:rPr>
        <w:t xml:space="preserve"> des parcours : Entre projet de soi et cadrage institutionnel. </w:t>
      </w:r>
      <w:proofErr w:type="spellStart"/>
      <w:r w:rsidRPr="00F34151">
        <w:rPr>
          <w:rFonts w:ascii="Calibri" w:hAnsi="Calibri" w:cs="Calibri"/>
          <w:i/>
          <w:iCs/>
          <w:sz w:val="22"/>
          <w:szCs w:val="22"/>
        </w:rPr>
        <w:t>L’orientation</w:t>
      </w:r>
      <w:proofErr w:type="spellEnd"/>
      <w:r w:rsidRPr="00F34151">
        <w:rPr>
          <w:rFonts w:ascii="Calibri" w:hAnsi="Calibri" w:cs="Calibri"/>
          <w:i/>
          <w:iCs/>
          <w:sz w:val="22"/>
          <w:szCs w:val="22"/>
        </w:rPr>
        <w:t xml:space="preserve"> </w:t>
      </w:r>
      <w:proofErr w:type="spellStart"/>
      <w:r w:rsidRPr="00F34151">
        <w:rPr>
          <w:rFonts w:ascii="Calibri" w:hAnsi="Calibri" w:cs="Calibri"/>
          <w:i/>
          <w:iCs/>
          <w:sz w:val="22"/>
          <w:szCs w:val="22"/>
        </w:rPr>
        <w:t>scolaire</w:t>
      </w:r>
      <w:proofErr w:type="spellEnd"/>
      <w:r w:rsidRPr="00F34151">
        <w:rPr>
          <w:rFonts w:ascii="Calibri" w:hAnsi="Calibri" w:cs="Calibri"/>
          <w:i/>
          <w:iCs/>
          <w:sz w:val="22"/>
          <w:szCs w:val="22"/>
        </w:rPr>
        <w:t xml:space="preserve"> et </w:t>
      </w:r>
      <w:proofErr w:type="spellStart"/>
      <w:r w:rsidRPr="00F34151">
        <w:rPr>
          <w:rFonts w:ascii="Calibri" w:hAnsi="Calibri" w:cs="Calibri"/>
          <w:i/>
          <w:iCs/>
          <w:sz w:val="22"/>
          <w:szCs w:val="22"/>
        </w:rPr>
        <w:t>professionnelle</w:t>
      </w:r>
      <w:proofErr w:type="spellEnd"/>
      <w:r w:rsidRPr="00F34151">
        <w:rPr>
          <w:rFonts w:ascii="Calibri" w:hAnsi="Calibri" w:cs="Calibri"/>
          <w:sz w:val="22"/>
          <w:szCs w:val="22"/>
        </w:rPr>
        <w:t xml:space="preserve">, </w:t>
      </w:r>
      <w:r w:rsidRPr="00F34151">
        <w:rPr>
          <w:rFonts w:ascii="Calibri" w:hAnsi="Calibri" w:cs="Calibri"/>
          <w:i/>
          <w:iCs/>
          <w:sz w:val="22"/>
          <w:szCs w:val="22"/>
        </w:rPr>
        <w:t>36</w:t>
      </w:r>
      <w:r w:rsidRPr="00F34151">
        <w:rPr>
          <w:rFonts w:ascii="Calibri" w:hAnsi="Calibri" w:cs="Calibri"/>
          <w:sz w:val="22"/>
          <w:szCs w:val="22"/>
        </w:rPr>
        <w:t>(1), 9</w:t>
      </w:r>
      <w:r w:rsidR="00672386" w:rsidRPr="00F34151">
        <w:rPr>
          <w:rFonts w:ascii="Calibri" w:hAnsi="Calibri" w:cs="Calibri"/>
          <w:sz w:val="22"/>
          <w:szCs w:val="22"/>
        </w:rPr>
        <w:t>-</w:t>
      </w:r>
      <w:r w:rsidRPr="00F34151">
        <w:rPr>
          <w:rFonts w:ascii="Calibri" w:hAnsi="Calibri" w:cs="Calibri"/>
          <w:sz w:val="22"/>
          <w:szCs w:val="22"/>
        </w:rPr>
        <w:t>17.</w:t>
      </w:r>
    </w:p>
    <w:p w14:paraId="379CB4F1" w14:textId="77777777" w:rsidR="00672386" w:rsidRPr="00EA5B78" w:rsidRDefault="0097051A" w:rsidP="00F34151">
      <w:pPr>
        <w:spacing w:after="0" w:line="240" w:lineRule="auto"/>
        <w:ind w:left="567" w:hanging="567"/>
        <w:jc w:val="both"/>
        <w:rPr>
          <w:rFonts w:ascii="Calibri" w:eastAsia="Calibri" w:hAnsi="Calibri" w:cs="Calibri"/>
          <w:bCs/>
          <w:sz w:val="22"/>
          <w:szCs w:val="22"/>
        </w:rPr>
      </w:pPr>
      <w:r w:rsidRPr="00F34151">
        <w:rPr>
          <w:rFonts w:ascii="Calibri" w:hAnsi="Calibri" w:cs="Calibri"/>
          <w:sz w:val="22"/>
          <w:szCs w:val="22"/>
        </w:rPr>
        <w:t xml:space="preserve">Elder, G. E. (1995). The life course paradigm: Social change and individual development. In P. Moen, G. H. Elder, Jr., &amp; K. </w:t>
      </w:r>
      <w:proofErr w:type="spellStart"/>
      <w:r w:rsidRPr="00F34151">
        <w:rPr>
          <w:rFonts w:ascii="Calibri" w:hAnsi="Calibri" w:cs="Calibri"/>
          <w:sz w:val="22"/>
          <w:szCs w:val="22"/>
        </w:rPr>
        <w:t>Lüscher</w:t>
      </w:r>
      <w:proofErr w:type="spellEnd"/>
      <w:r w:rsidRPr="00F34151">
        <w:rPr>
          <w:rFonts w:ascii="Calibri" w:hAnsi="Calibri" w:cs="Calibri"/>
          <w:sz w:val="22"/>
          <w:szCs w:val="22"/>
        </w:rPr>
        <w:t xml:space="preserve"> (Eds.), </w:t>
      </w:r>
      <w:r w:rsidRPr="00F34151">
        <w:rPr>
          <w:rFonts w:ascii="Calibri" w:hAnsi="Calibri" w:cs="Calibri"/>
          <w:i/>
          <w:iCs/>
          <w:sz w:val="22"/>
          <w:szCs w:val="22"/>
        </w:rPr>
        <w:t>Examining lives in context: Perspectives on the ecology of human development</w:t>
      </w:r>
      <w:r w:rsidRPr="00F34151">
        <w:rPr>
          <w:rFonts w:ascii="Calibri" w:hAnsi="Calibri" w:cs="Calibri"/>
          <w:sz w:val="22"/>
          <w:szCs w:val="22"/>
        </w:rPr>
        <w:t xml:space="preserve"> (pp. 101–139). American Psychological Association.</w:t>
      </w:r>
    </w:p>
    <w:p w14:paraId="690953F5" w14:textId="77777777" w:rsidR="00672386" w:rsidRPr="00EA5B78" w:rsidRDefault="0097051A" w:rsidP="00F34151">
      <w:pPr>
        <w:spacing w:after="0" w:line="240" w:lineRule="auto"/>
        <w:ind w:left="567" w:hanging="567"/>
        <w:jc w:val="both"/>
        <w:rPr>
          <w:rFonts w:ascii="Calibri" w:eastAsia="Calibri" w:hAnsi="Calibri" w:cs="Calibri"/>
          <w:bCs/>
          <w:sz w:val="22"/>
          <w:szCs w:val="22"/>
        </w:rPr>
      </w:pPr>
      <w:r w:rsidRPr="00F34151">
        <w:rPr>
          <w:rFonts w:ascii="Calibri" w:hAnsi="Calibri" w:cs="Calibri"/>
          <w:sz w:val="22"/>
          <w:szCs w:val="22"/>
        </w:rPr>
        <w:t xml:space="preserve">Elder, G. H., &amp; Giele, J. Z. (Eds.). (2009). </w:t>
      </w:r>
      <w:r w:rsidRPr="00F34151">
        <w:rPr>
          <w:rFonts w:ascii="Calibri" w:hAnsi="Calibri" w:cs="Calibri"/>
          <w:i/>
          <w:iCs/>
          <w:sz w:val="22"/>
          <w:szCs w:val="22"/>
        </w:rPr>
        <w:t>The craft of life course research</w:t>
      </w:r>
      <w:r w:rsidRPr="00F34151">
        <w:rPr>
          <w:rFonts w:ascii="Calibri" w:hAnsi="Calibri" w:cs="Calibri"/>
          <w:sz w:val="22"/>
          <w:szCs w:val="22"/>
        </w:rPr>
        <w:t>. Guilford Press.</w:t>
      </w:r>
    </w:p>
    <w:p w14:paraId="193DFB91" w14:textId="77777777" w:rsidR="00F34151" w:rsidRPr="00F34151" w:rsidRDefault="0097051A" w:rsidP="00F34151">
      <w:pPr>
        <w:spacing w:after="0" w:line="240" w:lineRule="auto"/>
        <w:ind w:left="567" w:hanging="567"/>
        <w:jc w:val="both"/>
        <w:rPr>
          <w:rFonts w:ascii="Calibri" w:eastAsia="Calibri" w:hAnsi="Calibri" w:cs="Calibri"/>
          <w:bCs/>
          <w:sz w:val="22"/>
          <w:szCs w:val="22"/>
          <w:lang w:val="fr-CA"/>
        </w:rPr>
      </w:pPr>
      <w:r w:rsidRPr="00F34151">
        <w:rPr>
          <w:rFonts w:ascii="Calibri" w:hAnsi="Calibri" w:cs="Calibri"/>
          <w:sz w:val="22"/>
          <w:szCs w:val="22"/>
        </w:rPr>
        <w:t xml:space="preserve">Elder, G. H., Kirkpatrick Johnson, M., &amp; Crosnoe, R. (2004). The emergence and development of life course theory. In J. T. Mortimer &amp; M. J. Shanahan (Eds.), </w:t>
      </w:r>
      <w:r w:rsidRPr="00F34151">
        <w:rPr>
          <w:rFonts w:ascii="Calibri" w:hAnsi="Calibri" w:cs="Calibri"/>
          <w:i/>
          <w:iCs/>
          <w:sz w:val="22"/>
          <w:szCs w:val="22"/>
        </w:rPr>
        <w:t>Handbook of the life course</w:t>
      </w:r>
      <w:r w:rsidRPr="00F34151">
        <w:rPr>
          <w:rFonts w:ascii="Calibri" w:hAnsi="Calibri" w:cs="Calibri"/>
          <w:sz w:val="22"/>
          <w:szCs w:val="22"/>
        </w:rPr>
        <w:t xml:space="preserve"> (pp. 3–19). </w:t>
      </w:r>
      <w:r w:rsidRPr="00EA5B78">
        <w:rPr>
          <w:rFonts w:ascii="Calibri" w:hAnsi="Calibri" w:cs="Calibri"/>
          <w:sz w:val="22"/>
          <w:szCs w:val="22"/>
          <w:lang w:val="fr-CA"/>
        </w:rPr>
        <w:t>Springer.</w:t>
      </w:r>
    </w:p>
    <w:p w14:paraId="4741DC0B" w14:textId="77777777" w:rsidR="00F34151" w:rsidRPr="00F34151"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Gaudet, S. (2001). La responsabilité dans les débuts de l’âge adulte. Lien social et Politiques, 46, 71-83.</w:t>
      </w:r>
    </w:p>
    <w:p w14:paraId="50DD9610" w14:textId="77777777" w:rsidR="00F34151" w:rsidRPr="00EA5B78" w:rsidRDefault="0097051A" w:rsidP="00F34151">
      <w:pPr>
        <w:spacing w:after="0" w:line="240" w:lineRule="auto"/>
        <w:ind w:left="567" w:hanging="567"/>
        <w:jc w:val="both"/>
        <w:rPr>
          <w:rFonts w:ascii="Calibri" w:hAnsi="Calibri" w:cs="Calibri"/>
          <w:sz w:val="22"/>
          <w:szCs w:val="22"/>
          <w:lang w:val="fr-CA"/>
        </w:rPr>
      </w:pPr>
      <w:r w:rsidRPr="00EA5B78">
        <w:rPr>
          <w:rFonts w:ascii="Calibri" w:hAnsi="Calibri" w:cs="Calibri"/>
          <w:sz w:val="22"/>
          <w:szCs w:val="22"/>
          <w:lang w:val="fr-CA"/>
        </w:rPr>
        <w:t xml:space="preserve">Gauthier, M. (2016). Sont-ils des NEEF ? Réflexion sur les catégorisations. </w:t>
      </w:r>
      <w:r w:rsidRPr="00EA5B78">
        <w:rPr>
          <w:rFonts w:ascii="Calibri" w:hAnsi="Calibri" w:cs="Calibri"/>
          <w:i/>
          <w:iCs/>
          <w:sz w:val="22"/>
          <w:szCs w:val="22"/>
          <w:lang w:val="fr-CA"/>
        </w:rPr>
        <w:t>Bulletin d’information de l’Observatoire Jeunes et société</w:t>
      </w:r>
      <w:r w:rsidRPr="00EA5B78">
        <w:rPr>
          <w:rFonts w:ascii="Calibri" w:hAnsi="Calibri" w:cs="Calibri"/>
          <w:sz w:val="22"/>
          <w:szCs w:val="22"/>
          <w:lang w:val="fr-CA"/>
        </w:rPr>
        <w:t xml:space="preserve">, </w:t>
      </w:r>
      <w:r w:rsidRPr="00EA5B78">
        <w:rPr>
          <w:rFonts w:ascii="Calibri" w:hAnsi="Calibri" w:cs="Calibri"/>
          <w:i/>
          <w:iCs/>
          <w:sz w:val="22"/>
          <w:szCs w:val="22"/>
          <w:lang w:val="fr-CA"/>
        </w:rPr>
        <w:t>13</w:t>
      </w:r>
      <w:r w:rsidRPr="00EA5B78">
        <w:rPr>
          <w:rFonts w:ascii="Calibri" w:hAnsi="Calibri" w:cs="Calibri"/>
          <w:sz w:val="22"/>
          <w:szCs w:val="22"/>
          <w:lang w:val="fr-CA"/>
        </w:rPr>
        <w:t>(2), 6–7.</w:t>
      </w:r>
    </w:p>
    <w:p w14:paraId="1BBA2500" w14:textId="77777777" w:rsidR="00F34151" w:rsidRPr="00EA5B78" w:rsidRDefault="0097051A" w:rsidP="00F34151">
      <w:pPr>
        <w:spacing w:after="0" w:line="240" w:lineRule="auto"/>
        <w:ind w:left="567" w:hanging="567"/>
        <w:jc w:val="both"/>
        <w:rPr>
          <w:rFonts w:ascii="Calibri" w:eastAsia="Calibri" w:hAnsi="Calibri" w:cs="Calibri"/>
          <w:bCs/>
          <w:sz w:val="22"/>
          <w:szCs w:val="22"/>
        </w:rPr>
      </w:pPr>
      <w:proofErr w:type="spellStart"/>
      <w:r w:rsidRPr="00A845CE">
        <w:rPr>
          <w:rFonts w:ascii="Calibri" w:hAnsi="Calibri" w:cs="Calibri"/>
          <w:sz w:val="22"/>
          <w:szCs w:val="22"/>
          <w:lang w:val="fr-CA"/>
        </w:rPr>
        <w:t>Glambek</w:t>
      </w:r>
      <w:proofErr w:type="spellEnd"/>
      <w:r w:rsidRPr="00A845CE">
        <w:rPr>
          <w:rFonts w:ascii="Calibri" w:hAnsi="Calibri" w:cs="Calibri"/>
          <w:sz w:val="22"/>
          <w:szCs w:val="22"/>
          <w:lang w:val="fr-CA"/>
        </w:rPr>
        <w:t xml:space="preserve">, M., Skogstad, A., &amp; Einarsen, S. (2015). </w:t>
      </w:r>
      <w:r w:rsidRPr="00F34151">
        <w:rPr>
          <w:rFonts w:ascii="Calibri" w:hAnsi="Calibri" w:cs="Calibri"/>
          <w:sz w:val="22"/>
          <w:szCs w:val="22"/>
        </w:rPr>
        <w:t xml:space="preserve">Take it or leave: A five-year prospective study of workplace bullying and indicators of expulsion in working life. </w:t>
      </w:r>
      <w:r w:rsidRPr="00F34151">
        <w:rPr>
          <w:rFonts w:ascii="Calibri" w:hAnsi="Calibri" w:cs="Calibri"/>
          <w:i/>
          <w:iCs/>
          <w:sz w:val="22"/>
          <w:szCs w:val="22"/>
        </w:rPr>
        <w:t>INDUSTRIAL HEALTH</w:t>
      </w:r>
      <w:r w:rsidRPr="00F34151">
        <w:rPr>
          <w:rFonts w:ascii="Calibri" w:hAnsi="Calibri" w:cs="Calibri"/>
          <w:sz w:val="22"/>
          <w:szCs w:val="22"/>
        </w:rPr>
        <w:t xml:space="preserve">, </w:t>
      </w:r>
      <w:r w:rsidRPr="00F34151">
        <w:rPr>
          <w:rFonts w:ascii="Calibri" w:hAnsi="Calibri" w:cs="Calibri"/>
          <w:i/>
          <w:iCs/>
          <w:sz w:val="22"/>
          <w:szCs w:val="22"/>
        </w:rPr>
        <w:t>53</w:t>
      </w:r>
      <w:r w:rsidRPr="00F34151">
        <w:rPr>
          <w:rFonts w:ascii="Calibri" w:hAnsi="Calibri" w:cs="Calibri"/>
          <w:sz w:val="22"/>
          <w:szCs w:val="22"/>
        </w:rPr>
        <w:t xml:space="preserve">(2), 160–170. </w:t>
      </w:r>
      <w:hyperlink r:id="rId24" w:history="1">
        <w:r w:rsidRPr="00F34151">
          <w:rPr>
            <w:rStyle w:val="Lienhypertexte"/>
            <w:rFonts w:ascii="Calibri" w:hAnsi="Calibri" w:cs="Calibri"/>
            <w:sz w:val="22"/>
            <w:szCs w:val="22"/>
          </w:rPr>
          <w:t>https://doi.org/10.2486/indhealth.2014-0195</w:t>
        </w:r>
      </w:hyperlink>
    </w:p>
    <w:p w14:paraId="101E2492" w14:textId="77777777" w:rsidR="00F34151" w:rsidRPr="00F34151" w:rsidRDefault="0097051A" w:rsidP="00F34151">
      <w:pPr>
        <w:spacing w:after="0" w:line="240" w:lineRule="auto"/>
        <w:ind w:left="567" w:hanging="567"/>
        <w:jc w:val="both"/>
        <w:rPr>
          <w:rFonts w:ascii="Calibri" w:eastAsia="Calibri" w:hAnsi="Calibri" w:cs="Calibri"/>
          <w:bCs/>
          <w:sz w:val="22"/>
          <w:szCs w:val="22"/>
          <w:lang w:val="fr-CA"/>
        </w:rPr>
      </w:pPr>
      <w:r w:rsidRPr="00F34151">
        <w:rPr>
          <w:rFonts w:ascii="Calibri" w:hAnsi="Calibri" w:cs="Calibri"/>
          <w:sz w:val="22"/>
          <w:szCs w:val="22"/>
        </w:rPr>
        <w:t xml:space="preserve">Goyette, M., Chénier, G., Royer, M.-N., &amp; Noël, V. (2007). </w:t>
      </w:r>
      <w:r w:rsidRPr="00EA5B78">
        <w:rPr>
          <w:rFonts w:ascii="Calibri" w:hAnsi="Calibri" w:cs="Calibri"/>
          <w:sz w:val="22"/>
          <w:szCs w:val="22"/>
          <w:lang w:val="fr-CA"/>
        </w:rPr>
        <w:t xml:space="preserve">Le soutien au passage à la vie adulte des jeunes recevant des services des centres jeunesse. </w:t>
      </w:r>
      <w:r w:rsidRPr="00EA5B78">
        <w:rPr>
          <w:rFonts w:ascii="Calibri" w:hAnsi="Calibri" w:cs="Calibri"/>
          <w:i/>
          <w:iCs/>
          <w:sz w:val="22"/>
          <w:szCs w:val="22"/>
          <w:lang w:val="fr-CA"/>
        </w:rPr>
        <w:t>Éducation et francophonie</w:t>
      </w:r>
      <w:r w:rsidRPr="00EA5B78">
        <w:rPr>
          <w:rFonts w:ascii="Calibri" w:hAnsi="Calibri" w:cs="Calibri"/>
          <w:sz w:val="22"/>
          <w:szCs w:val="22"/>
          <w:lang w:val="fr-CA"/>
        </w:rPr>
        <w:t xml:space="preserve">, </w:t>
      </w:r>
      <w:r w:rsidRPr="00EA5B78">
        <w:rPr>
          <w:rFonts w:ascii="Calibri" w:hAnsi="Calibri" w:cs="Calibri"/>
          <w:i/>
          <w:iCs/>
          <w:sz w:val="22"/>
          <w:szCs w:val="22"/>
          <w:lang w:val="fr-CA"/>
        </w:rPr>
        <w:t>35</w:t>
      </w:r>
      <w:r w:rsidRPr="00EA5B78">
        <w:rPr>
          <w:rFonts w:ascii="Calibri" w:hAnsi="Calibri" w:cs="Calibri"/>
          <w:sz w:val="22"/>
          <w:szCs w:val="22"/>
          <w:lang w:val="fr-CA"/>
        </w:rPr>
        <w:t>(1), 95-119.</w:t>
      </w:r>
    </w:p>
    <w:p w14:paraId="745D140B" w14:textId="187F8AC5" w:rsidR="00F34151" w:rsidRPr="00F34151"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eastAsia="Calibri" w:hAnsi="Calibri" w:cs="Calibri"/>
          <w:bCs/>
          <w:sz w:val="22"/>
          <w:szCs w:val="22"/>
          <w:lang w:val="fr-CA"/>
        </w:rPr>
        <w:t>Grell, P. (2004). Mouvement et sentiment de l’existence chez les jeunes précaires. </w:t>
      </w:r>
      <w:r w:rsidRPr="00EA5B78">
        <w:rPr>
          <w:rFonts w:ascii="Calibri" w:eastAsia="Calibri" w:hAnsi="Calibri" w:cs="Calibri"/>
          <w:bCs/>
          <w:i/>
          <w:iCs/>
          <w:sz w:val="22"/>
          <w:szCs w:val="22"/>
          <w:lang w:val="fr-CA"/>
        </w:rPr>
        <w:t>Cahiers Internationaux de Sociologie</w:t>
      </w:r>
      <w:r w:rsidRPr="00EA5B78">
        <w:rPr>
          <w:rFonts w:ascii="Calibri" w:eastAsia="Calibri" w:hAnsi="Calibri" w:cs="Calibri"/>
          <w:bCs/>
          <w:sz w:val="22"/>
          <w:szCs w:val="22"/>
          <w:lang w:val="fr-CA"/>
        </w:rPr>
        <w:t>, </w:t>
      </w:r>
      <w:r w:rsidRPr="00EA5B78">
        <w:rPr>
          <w:rFonts w:ascii="Calibri" w:eastAsia="Calibri" w:hAnsi="Calibri" w:cs="Calibri"/>
          <w:bCs/>
          <w:i/>
          <w:iCs/>
          <w:sz w:val="22"/>
          <w:szCs w:val="22"/>
          <w:lang w:val="fr-CA"/>
        </w:rPr>
        <w:t>117</w:t>
      </w:r>
      <w:r w:rsidRPr="00EA5B78">
        <w:rPr>
          <w:rFonts w:ascii="Calibri" w:eastAsia="Calibri" w:hAnsi="Calibri" w:cs="Calibri"/>
          <w:bCs/>
          <w:sz w:val="22"/>
          <w:szCs w:val="22"/>
          <w:lang w:val="fr-CA"/>
        </w:rPr>
        <w:t>, 239</w:t>
      </w:r>
      <w:r w:rsidR="00F34151" w:rsidRPr="00EA5B78">
        <w:rPr>
          <w:rFonts w:ascii="Calibri" w:eastAsia="Calibri" w:hAnsi="Calibri" w:cs="Calibri"/>
          <w:bCs/>
          <w:sz w:val="22"/>
          <w:szCs w:val="22"/>
          <w:lang w:val="fr-CA"/>
        </w:rPr>
        <w:t>-</w:t>
      </w:r>
      <w:r w:rsidRPr="00EA5B78">
        <w:rPr>
          <w:rFonts w:ascii="Calibri" w:eastAsia="Calibri" w:hAnsi="Calibri" w:cs="Calibri"/>
          <w:bCs/>
          <w:sz w:val="22"/>
          <w:szCs w:val="22"/>
          <w:lang w:val="fr-CA"/>
        </w:rPr>
        <w:t>259.</w:t>
      </w:r>
    </w:p>
    <w:p w14:paraId="6A2D44B9" w14:textId="0547F2EC" w:rsidR="00F34151" w:rsidRPr="00EA5B78" w:rsidRDefault="0097051A" w:rsidP="00F34151">
      <w:pPr>
        <w:spacing w:after="0" w:line="240" w:lineRule="auto"/>
        <w:ind w:left="567" w:hanging="567"/>
        <w:jc w:val="both"/>
        <w:rPr>
          <w:rFonts w:ascii="Calibri" w:hAnsi="Calibri" w:cs="Calibri"/>
          <w:sz w:val="22"/>
          <w:szCs w:val="22"/>
          <w:lang w:val="fr-CA"/>
        </w:rPr>
      </w:pPr>
      <w:r w:rsidRPr="00EA5B78">
        <w:rPr>
          <w:rFonts w:ascii="Calibri" w:hAnsi="Calibri" w:cs="Calibri"/>
          <w:sz w:val="22"/>
          <w:szCs w:val="22"/>
          <w:lang w:val="fr-CA"/>
        </w:rPr>
        <w:t xml:space="preserve">Guatieri, Q. (2022). Les jeunes ni en emploi, ni aux études, ni en formation : Pression sociale, mal-être et résistance. </w:t>
      </w:r>
      <w:r w:rsidRPr="00EA5B78">
        <w:rPr>
          <w:rFonts w:ascii="Calibri" w:hAnsi="Calibri" w:cs="Calibri"/>
          <w:i/>
          <w:iCs/>
          <w:sz w:val="22"/>
          <w:szCs w:val="22"/>
          <w:lang w:val="fr-CA"/>
        </w:rPr>
        <w:t>Nouveaux Cahiers du socialisme</w:t>
      </w:r>
      <w:r w:rsidRPr="00EA5B78">
        <w:rPr>
          <w:rFonts w:ascii="Calibri" w:hAnsi="Calibri" w:cs="Calibri"/>
          <w:sz w:val="22"/>
          <w:szCs w:val="22"/>
          <w:lang w:val="fr-CA"/>
        </w:rPr>
        <w:t xml:space="preserve">, </w:t>
      </w:r>
      <w:r w:rsidRPr="00EA5B78">
        <w:rPr>
          <w:rFonts w:ascii="Calibri" w:hAnsi="Calibri" w:cs="Calibri"/>
          <w:i/>
          <w:iCs/>
          <w:sz w:val="22"/>
          <w:szCs w:val="22"/>
          <w:lang w:val="fr-CA"/>
        </w:rPr>
        <w:t>(30)</w:t>
      </w:r>
      <w:r w:rsidRPr="00EA5B78">
        <w:rPr>
          <w:rFonts w:ascii="Calibri" w:hAnsi="Calibri" w:cs="Calibri"/>
          <w:sz w:val="22"/>
          <w:szCs w:val="22"/>
          <w:lang w:val="fr-CA"/>
        </w:rPr>
        <w:t>, 26</w:t>
      </w:r>
      <w:r w:rsidR="00F34151" w:rsidRPr="00EA5B78">
        <w:rPr>
          <w:rFonts w:ascii="Calibri" w:hAnsi="Calibri" w:cs="Calibri"/>
          <w:sz w:val="22"/>
          <w:szCs w:val="22"/>
          <w:lang w:val="fr-CA"/>
        </w:rPr>
        <w:t>-</w:t>
      </w:r>
      <w:r w:rsidRPr="00EA5B78">
        <w:rPr>
          <w:rFonts w:ascii="Calibri" w:hAnsi="Calibri" w:cs="Calibri"/>
          <w:sz w:val="22"/>
          <w:szCs w:val="22"/>
          <w:lang w:val="fr-CA"/>
        </w:rPr>
        <w:t>33.</w:t>
      </w:r>
    </w:p>
    <w:p w14:paraId="42EDB2CE" w14:textId="77777777" w:rsidR="00F34151" w:rsidRPr="00A845CE" w:rsidRDefault="0097051A" w:rsidP="00F34151">
      <w:pPr>
        <w:spacing w:after="0" w:line="240" w:lineRule="auto"/>
        <w:ind w:left="567" w:hanging="567"/>
        <w:jc w:val="both"/>
        <w:rPr>
          <w:rFonts w:ascii="Calibri" w:hAnsi="Calibri" w:cs="Calibri"/>
          <w:sz w:val="22"/>
          <w:szCs w:val="22"/>
          <w:lang w:val="it-IT"/>
        </w:rPr>
      </w:pPr>
      <w:proofErr w:type="spellStart"/>
      <w:r w:rsidRPr="00EA5B78">
        <w:rPr>
          <w:rFonts w:ascii="Calibri" w:hAnsi="Calibri" w:cs="Calibri"/>
          <w:sz w:val="22"/>
          <w:szCs w:val="22"/>
          <w:lang w:val="fr-CA"/>
        </w:rPr>
        <w:t>Gullander</w:t>
      </w:r>
      <w:proofErr w:type="spellEnd"/>
      <w:r w:rsidRPr="00EA5B78">
        <w:rPr>
          <w:rFonts w:ascii="Calibri" w:hAnsi="Calibri" w:cs="Calibri"/>
          <w:sz w:val="22"/>
          <w:szCs w:val="22"/>
          <w:lang w:val="fr-CA"/>
        </w:rPr>
        <w:t xml:space="preserve">, M., Hogh, A., Hansen, Å. M., Persson, R., </w:t>
      </w:r>
      <w:proofErr w:type="spellStart"/>
      <w:r w:rsidRPr="00EA5B78">
        <w:rPr>
          <w:rFonts w:ascii="Calibri" w:hAnsi="Calibri" w:cs="Calibri"/>
          <w:sz w:val="22"/>
          <w:szCs w:val="22"/>
          <w:lang w:val="fr-CA"/>
        </w:rPr>
        <w:t>Rugulies</w:t>
      </w:r>
      <w:proofErr w:type="spellEnd"/>
      <w:r w:rsidRPr="00EA5B78">
        <w:rPr>
          <w:rFonts w:ascii="Calibri" w:hAnsi="Calibri" w:cs="Calibri"/>
          <w:sz w:val="22"/>
          <w:szCs w:val="22"/>
          <w:lang w:val="fr-CA"/>
        </w:rPr>
        <w:t xml:space="preserve">, R., Kolstad, H. A., Thomsen, J. F., Willert, M. V., Grynderup, M., Mors, O., &amp; Bonde, J. P. (2014). </w:t>
      </w:r>
      <w:r w:rsidRPr="00F34151">
        <w:rPr>
          <w:rFonts w:ascii="Calibri" w:hAnsi="Calibri" w:cs="Calibri"/>
          <w:sz w:val="22"/>
          <w:szCs w:val="22"/>
        </w:rPr>
        <w:t xml:space="preserve">Exposure to Workplace Bullying and Risk of Depression. </w:t>
      </w:r>
      <w:r w:rsidRPr="00F34151">
        <w:rPr>
          <w:rFonts w:ascii="Calibri" w:hAnsi="Calibri" w:cs="Calibri"/>
          <w:i/>
          <w:iCs/>
          <w:sz w:val="22"/>
          <w:szCs w:val="22"/>
        </w:rPr>
        <w:t>Journal of Occupational &amp; Environmental Medicine</w:t>
      </w:r>
      <w:r w:rsidRPr="00F34151">
        <w:rPr>
          <w:rFonts w:ascii="Calibri" w:hAnsi="Calibri" w:cs="Calibri"/>
          <w:sz w:val="22"/>
          <w:szCs w:val="22"/>
        </w:rPr>
        <w:t xml:space="preserve">, </w:t>
      </w:r>
      <w:r w:rsidRPr="00F34151">
        <w:rPr>
          <w:rFonts w:ascii="Calibri" w:hAnsi="Calibri" w:cs="Calibri"/>
          <w:i/>
          <w:iCs/>
          <w:sz w:val="22"/>
          <w:szCs w:val="22"/>
        </w:rPr>
        <w:t>56</w:t>
      </w:r>
      <w:r w:rsidRPr="00F34151">
        <w:rPr>
          <w:rFonts w:ascii="Calibri" w:hAnsi="Calibri" w:cs="Calibri"/>
          <w:sz w:val="22"/>
          <w:szCs w:val="22"/>
        </w:rPr>
        <w:t>(12), 1258</w:t>
      </w:r>
      <w:r w:rsidR="00F34151" w:rsidRPr="00F34151">
        <w:rPr>
          <w:rFonts w:ascii="Calibri" w:hAnsi="Calibri" w:cs="Calibri"/>
          <w:sz w:val="22"/>
          <w:szCs w:val="22"/>
        </w:rPr>
        <w:t>-</w:t>
      </w:r>
      <w:r w:rsidRPr="00F34151">
        <w:rPr>
          <w:rFonts w:ascii="Calibri" w:hAnsi="Calibri" w:cs="Calibri"/>
          <w:sz w:val="22"/>
          <w:szCs w:val="22"/>
        </w:rPr>
        <w:t xml:space="preserve">1265. </w:t>
      </w:r>
      <w:hyperlink r:id="rId25" w:history="1">
        <w:r w:rsidRPr="00A845CE">
          <w:rPr>
            <w:rStyle w:val="Lienhypertexte"/>
            <w:rFonts w:ascii="Calibri" w:hAnsi="Calibri" w:cs="Calibri"/>
            <w:sz w:val="22"/>
            <w:szCs w:val="22"/>
            <w:lang w:val="it-IT"/>
          </w:rPr>
          <w:t>https://doi.org/10.1097/JOM.0000000000000339</w:t>
        </w:r>
      </w:hyperlink>
    </w:p>
    <w:p w14:paraId="6D06DEE2" w14:textId="77777777" w:rsidR="00F34151" w:rsidRPr="00F34151" w:rsidRDefault="0097051A" w:rsidP="00F34151">
      <w:pPr>
        <w:spacing w:after="0" w:line="240" w:lineRule="auto"/>
        <w:ind w:left="567" w:hanging="567"/>
        <w:jc w:val="both"/>
        <w:rPr>
          <w:rFonts w:ascii="Calibri" w:hAnsi="Calibri" w:cs="Calibri"/>
          <w:sz w:val="22"/>
          <w:szCs w:val="22"/>
        </w:rPr>
      </w:pPr>
      <w:r w:rsidRPr="00A845CE">
        <w:rPr>
          <w:rFonts w:ascii="Calibri" w:hAnsi="Calibri" w:cs="Calibri"/>
          <w:sz w:val="22"/>
          <w:szCs w:val="22"/>
          <w:lang w:val="it-IT"/>
        </w:rPr>
        <w:t xml:space="preserve">Hauge, L. J., Skogstad, A., &amp; Einarsen, S. (2010). </w:t>
      </w:r>
      <w:r w:rsidRPr="00F34151">
        <w:rPr>
          <w:rFonts w:ascii="Calibri" w:hAnsi="Calibri" w:cs="Calibri"/>
          <w:sz w:val="22"/>
          <w:szCs w:val="22"/>
        </w:rPr>
        <w:t xml:space="preserve">The relative impact of workplace bullying as a social stressor at work. </w:t>
      </w:r>
      <w:r w:rsidRPr="00F34151">
        <w:rPr>
          <w:rFonts w:ascii="Calibri" w:hAnsi="Calibri" w:cs="Calibri"/>
          <w:i/>
          <w:iCs/>
          <w:sz w:val="22"/>
          <w:szCs w:val="22"/>
        </w:rPr>
        <w:t>Scandinavian Journal of Psychology</w:t>
      </w:r>
      <w:r w:rsidRPr="00F34151">
        <w:rPr>
          <w:rFonts w:ascii="Calibri" w:hAnsi="Calibri" w:cs="Calibri"/>
          <w:sz w:val="22"/>
          <w:szCs w:val="22"/>
        </w:rPr>
        <w:t xml:space="preserve">. </w:t>
      </w:r>
      <w:hyperlink r:id="rId26" w:history="1">
        <w:r w:rsidRPr="00F34151">
          <w:rPr>
            <w:rStyle w:val="Lienhypertexte"/>
            <w:rFonts w:ascii="Calibri" w:hAnsi="Calibri" w:cs="Calibri"/>
            <w:sz w:val="22"/>
            <w:szCs w:val="22"/>
          </w:rPr>
          <w:t>https://doi.org/10.1111/j.1467-9450.2010.00813.x</w:t>
        </w:r>
      </w:hyperlink>
    </w:p>
    <w:p w14:paraId="0B57574C" w14:textId="77777777" w:rsidR="00F34151" w:rsidRPr="00F34151" w:rsidRDefault="0097051A" w:rsidP="00F34151">
      <w:pPr>
        <w:spacing w:after="0" w:line="240" w:lineRule="auto"/>
        <w:ind w:left="567" w:hanging="567"/>
        <w:jc w:val="both"/>
        <w:rPr>
          <w:rFonts w:ascii="Calibri" w:hAnsi="Calibri" w:cs="Calibri"/>
          <w:sz w:val="22"/>
          <w:szCs w:val="22"/>
        </w:rPr>
      </w:pPr>
      <w:r w:rsidRPr="00F34151">
        <w:rPr>
          <w:rFonts w:ascii="Calibri" w:hAnsi="Calibri" w:cs="Calibri"/>
          <w:sz w:val="22"/>
          <w:szCs w:val="22"/>
        </w:rPr>
        <w:t xml:space="preserve">Hodgins, M., </w:t>
      </w:r>
      <w:proofErr w:type="spellStart"/>
      <w:r w:rsidRPr="00F34151">
        <w:rPr>
          <w:rFonts w:ascii="Calibri" w:hAnsi="Calibri" w:cs="Calibri"/>
          <w:sz w:val="22"/>
          <w:szCs w:val="22"/>
        </w:rPr>
        <w:t>MacCurtain</w:t>
      </w:r>
      <w:proofErr w:type="spellEnd"/>
      <w:r w:rsidRPr="00F34151">
        <w:rPr>
          <w:rFonts w:ascii="Calibri" w:hAnsi="Calibri" w:cs="Calibri"/>
          <w:sz w:val="22"/>
          <w:szCs w:val="22"/>
        </w:rPr>
        <w:t xml:space="preserve">, S., &amp; Mannix-McNamara, P. (2020). Power and inaction: Why organizations fail to address workplace bullying. </w:t>
      </w:r>
      <w:r w:rsidRPr="00F34151">
        <w:rPr>
          <w:rFonts w:ascii="Calibri" w:hAnsi="Calibri" w:cs="Calibri"/>
          <w:i/>
          <w:iCs/>
          <w:sz w:val="22"/>
          <w:szCs w:val="22"/>
        </w:rPr>
        <w:t>International Journal of Workplace Health Management</w:t>
      </w:r>
      <w:r w:rsidRPr="00F34151">
        <w:rPr>
          <w:rFonts w:ascii="Calibri" w:hAnsi="Calibri" w:cs="Calibri"/>
          <w:sz w:val="22"/>
          <w:szCs w:val="22"/>
        </w:rPr>
        <w:t xml:space="preserve">, </w:t>
      </w:r>
      <w:r w:rsidRPr="00F34151">
        <w:rPr>
          <w:rFonts w:ascii="Calibri" w:hAnsi="Calibri" w:cs="Calibri"/>
          <w:i/>
          <w:iCs/>
          <w:sz w:val="22"/>
          <w:szCs w:val="22"/>
        </w:rPr>
        <w:t>13</w:t>
      </w:r>
      <w:r w:rsidRPr="00F34151">
        <w:rPr>
          <w:rFonts w:ascii="Calibri" w:hAnsi="Calibri" w:cs="Calibri"/>
          <w:sz w:val="22"/>
          <w:szCs w:val="22"/>
        </w:rPr>
        <w:t xml:space="preserve">(3), 265–290. </w:t>
      </w:r>
      <w:hyperlink r:id="rId27" w:history="1">
        <w:r w:rsidRPr="00F34151">
          <w:rPr>
            <w:rStyle w:val="Lienhypertexte"/>
            <w:rFonts w:ascii="Calibri" w:hAnsi="Calibri" w:cs="Calibri"/>
            <w:sz w:val="22"/>
            <w:szCs w:val="22"/>
          </w:rPr>
          <w:t>https://doi.org/10.1108/IJWHM-10-2019-0125</w:t>
        </w:r>
      </w:hyperlink>
    </w:p>
    <w:p w14:paraId="0F41F19F" w14:textId="77777777" w:rsidR="00F34151" w:rsidRPr="00A845CE" w:rsidRDefault="0097051A" w:rsidP="00F34151">
      <w:pPr>
        <w:spacing w:after="0" w:line="240" w:lineRule="auto"/>
        <w:ind w:left="567" w:hanging="567"/>
        <w:jc w:val="both"/>
        <w:rPr>
          <w:rFonts w:ascii="Calibri" w:eastAsia="Calibri" w:hAnsi="Calibri" w:cs="Calibri"/>
          <w:bCs/>
          <w:sz w:val="22"/>
          <w:szCs w:val="22"/>
          <w:lang w:val="fi-FI"/>
        </w:rPr>
      </w:pPr>
      <w:r w:rsidRPr="00F34151">
        <w:rPr>
          <w:rFonts w:ascii="Calibri" w:eastAsia="Calibri" w:hAnsi="Calibri" w:cs="Calibri"/>
          <w:bCs/>
          <w:sz w:val="22"/>
          <w:szCs w:val="22"/>
        </w:rPr>
        <w:t>Hooley, T., Sultana, R. G., &amp; Thomsen, R. (2017). </w:t>
      </w:r>
      <w:r w:rsidRPr="00F34151">
        <w:rPr>
          <w:rFonts w:ascii="Calibri" w:eastAsia="Calibri" w:hAnsi="Calibri" w:cs="Calibri"/>
          <w:bCs/>
          <w:i/>
          <w:iCs/>
          <w:sz w:val="22"/>
          <w:szCs w:val="22"/>
        </w:rPr>
        <w:t>Career Guidance for Social Justice: Contesting Neoliberalism</w:t>
      </w:r>
      <w:r w:rsidRPr="00F34151">
        <w:rPr>
          <w:rFonts w:ascii="Calibri" w:eastAsia="Calibri" w:hAnsi="Calibri" w:cs="Calibri"/>
          <w:bCs/>
          <w:sz w:val="22"/>
          <w:szCs w:val="22"/>
        </w:rPr>
        <w:t xml:space="preserve">. </w:t>
      </w:r>
      <w:r w:rsidRPr="00A845CE">
        <w:rPr>
          <w:rFonts w:ascii="Calibri" w:eastAsia="Calibri" w:hAnsi="Calibri" w:cs="Calibri"/>
          <w:bCs/>
          <w:sz w:val="22"/>
          <w:szCs w:val="22"/>
          <w:lang w:val="fi-FI"/>
        </w:rPr>
        <w:t xml:space="preserve">Routledge. </w:t>
      </w:r>
    </w:p>
    <w:p w14:paraId="3457C9B7" w14:textId="756DC596" w:rsidR="0097051A" w:rsidRPr="00EA5B78" w:rsidRDefault="0097051A" w:rsidP="00F34151">
      <w:pPr>
        <w:spacing w:after="0" w:line="240" w:lineRule="auto"/>
        <w:ind w:left="567" w:hanging="567"/>
        <w:jc w:val="both"/>
        <w:rPr>
          <w:rFonts w:ascii="Calibri" w:eastAsia="Calibri" w:hAnsi="Calibri" w:cs="Calibri"/>
          <w:bCs/>
          <w:sz w:val="22"/>
          <w:szCs w:val="22"/>
        </w:rPr>
      </w:pPr>
      <w:r w:rsidRPr="00A845CE">
        <w:rPr>
          <w:rFonts w:ascii="Calibri" w:hAnsi="Calibri" w:cs="Calibri"/>
          <w:sz w:val="22"/>
          <w:szCs w:val="22"/>
          <w:lang w:val="fi-FI"/>
        </w:rPr>
        <w:t xml:space="preserve">Kivimäki, M., Virtanen, M., Vartia, M., Elovainio, M., Vahtera, J., &amp; Keltikangas-Järvinen, L. (2003). </w:t>
      </w:r>
      <w:r w:rsidRPr="00F34151">
        <w:rPr>
          <w:rFonts w:ascii="Calibri" w:hAnsi="Calibri" w:cs="Calibri"/>
          <w:sz w:val="22"/>
          <w:szCs w:val="22"/>
        </w:rPr>
        <w:t xml:space="preserve">Workplace bullying and the risk of cardiovascular disease and depression. </w:t>
      </w:r>
      <w:r w:rsidRPr="00F34151">
        <w:rPr>
          <w:rFonts w:ascii="Calibri" w:hAnsi="Calibri" w:cs="Calibri"/>
          <w:i/>
          <w:iCs/>
          <w:sz w:val="22"/>
          <w:szCs w:val="22"/>
        </w:rPr>
        <w:t>Occupational and Environmental Medicine</w:t>
      </w:r>
      <w:r w:rsidRPr="00F34151">
        <w:rPr>
          <w:rFonts w:ascii="Calibri" w:hAnsi="Calibri" w:cs="Calibri"/>
          <w:sz w:val="22"/>
          <w:szCs w:val="22"/>
        </w:rPr>
        <w:t xml:space="preserve">, </w:t>
      </w:r>
      <w:r w:rsidRPr="00F34151">
        <w:rPr>
          <w:rFonts w:ascii="Calibri" w:hAnsi="Calibri" w:cs="Calibri"/>
          <w:i/>
          <w:iCs/>
          <w:sz w:val="22"/>
          <w:szCs w:val="22"/>
        </w:rPr>
        <w:t>60</w:t>
      </w:r>
      <w:r w:rsidRPr="00F34151">
        <w:rPr>
          <w:rFonts w:ascii="Calibri" w:hAnsi="Calibri" w:cs="Calibri"/>
          <w:sz w:val="22"/>
          <w:szCs w:val="22"/>
        </w:rPr>
        <w:t xml:space="preserve">(10), 779–783. </w:t>
      </w:r>
      <w:hyperlink r:id="rId28" w:history="1">
        <w:r w:rsidRPr="00F34151">
          <w:rPr>
            <w:rStyle w:val="Lienhypertexte"/>
            <w:rFonts w:ascii="Calibri" w:hAnsi="Calibri" w:cs="Calibri"/>
            <w:sz w:val="22"/>
            <w:szCs w:val="22"/>
          </w:rPr>
          <w:t>https://doi.org/10.1136/oem.60.10.779</w:t>
        </w:r>
      </w:hyperlink>
    </w:p>
    <w:p w14:paraId="4667487E" w14:textId="77777777" w:rsidR="00B74D89" w:rsidRPr="00EA5B78" w:rsidRDefault="0097051A" w:rsidP="00F34151">
      <w:pPr>
        <w:tabs>
          <w:tab w:val="left" w:pos="709"/>
        </w:tabs>
        <w:spacing w:after="0" w:line="240" w:lineRule="auto"/>
        <w:ind w:left="567" w:hanging="567"/>
        <w:jc w:val="both"/>
        <w:rPr>
          <w:rFonts w:ascii="Calibri" w:hAnsi="Calibri" w:cs="Calibri"/>
          <w:sz w:val="22"/>
          <w:szCs w:val="22"/>
          <w:lang w:val="fr-CA"/>
        </w:rPr>
      </w:pPr>
      <w:r w:rsidRPr="00F34151">
        <w:rPr>
          <w:rFonts w:ascii="Calibri" w:hAnsi="Calibri" w:cs="Calibri"/>
          <w:sz w:val="22"/>
          <w:szCs w:val="22"/>
        </w:rPr>
        <w:t xml:space="preserve">Longo, M. E. (2018). </w:t>
      </w:r>
      <w:r w:rsidRPr="00EA5B78">
        <w:rPr>
          <w:rFonts w:ascii="Calibri" w:hAnsi="Calibri" w:cs="Calibri"/>
          <w:sz w:val="22"/>
          <w:szCs w:val="22"/>
          <w:lang w:val="fr-CA"/>
        </w:rPr>
        <w:t xml:space="preserve">Rapports des jeunes au travail, pratiques d'emploi et diplômes : l'amalgame de parcours différenciés. </w:t>
      </w:r>
      <w:r w:rsidRPr="00EA5B78">
        <w:rPr>
          <w:rFonts w:ascii="Calibri" w:hAnsi="Calibri" w:cs="Calibri"/>
          <w:i/>
          <w:iCs/>
          <w:sz w:val="22"/>
          <w:szCs w:val="22"/>
          <w:lang w:val="fr-CA"/>
        </w:rPr>
        <w:t>Agora Débats jeunesses</w:t>
      </w:r>
      <w:r w:rsidRPr="00EA5B78">
        <w:rPr>
          <w:rFonts w:ascii="Calibri" w:hAnsi="Calibri" w:cs="Calibri"/>
          <w:sz w:val="22"/>
          <w:szCs w:val="22"/>
          <w:lang w:val="fr-CA"/>
        </w:rPr>
        <w:t xml:space="preserve">, </w:t>
      </w:r>
      <w:r w:rsidRPr="00EA5B78">
        <w:rPr>
          <w:rFonts w:ascii="Calibri" w:hAnsi="Calibri" w:cs="Calibri"/>
          <w:i/>
          <w:iCs/>
          <w:sz w:val="22"/>
          <w:szCs w:val="22"/>
          <w:lang w:val="fr-CA"/>
        </w:rPr>
        <w:t>79</w:t>
      </w:r>
      <w:r w:rsidRPr="00EA5B78">
        <w:rPr>
          <w:rFonts w:ascii="Calibri" w:hAnsi="Calibri" w:cs="Calibri"/>
          <w:sz w:val="22"/>
          <w:szCs w:val="22"/>
          <w:lang w:val="fr-CA"/>
        </w:rPr>
        <w:t xml:space="preserve">(2), 67-85. </w:t>
      </w:r>
      <w:hyperlink r:id="rId29" w:history="1">
        <w:r w:rsidRPr="00EA5B78">
          <w:rPr>
            <w:rStyle w:val="Lienhypertexte"/>
            <w:rFonts w:ascii="Calibri" w:hAnsi="Calibri" w:cs="Calibri"/>
            <w:sz w:val="22"/>
            <w:szCs w:val="22"/>
            <w:lang w:val="fr-CA"/>
          </w:rPr>
          <w:t>https://doi.org/10.3917/agora.079.0067</w:t>
        </w:r>
      </w:hyperlink>
    </w:p>
    <w:p w14:paraId="3F84D0EA" w14:textId="77777777" w:rsidR="00B74D89" w:rsidRPr="00EA5B78" w:rsidRDefault="0097051A" w:rsidP="00F34151">
      <w:pPr>
        <w:tabs>
          <w:tab w:val="left" w:pos="709"/>
        </w:tabs>
        <w:spacing w:after="0" w:line="240" w:lineRule="auto"/>
        <w:ind w:left="567" w:hanging="567"/>
        <w:jc w:val="both"/>
        <w:rPr>
          <w:rFonts w:ascii="Calibri" w:hAnsi="Calibri" w:cs="Calibri"/>
          <w:sz w:val="22"/>
          <w:szCs w:val="22"/>
          <w:lang w:val="fr-CA"/>
        </w:rPr>
      </w:pPr>
      <w:r w:rsidRPr="00EA5B78">
        <w:rPr>
          <w:rFonts w:ascii="Calibri" w:hAnsi="Calibri" w:cs="Calibri"/>
          <w:sz w:val="22"/>
          <w:szCs w:val="22"/>
          <w:lang w:val="fr-CA"/>
        </w:rPr>
        <w:t xml:space="preserve">Longo, M. E., &amp; Gallant, N. (2019). </w:t>
      </w:r>
      <w:r w:rsidRPr="00EA5B78">
        <w:rPr>
          <w:rFonts w:ascii="Calibri" w:hAnsi="Calibri" w:cs="Calibri"/>
          <w:i/>
          <w:iCs/>
          <w:sz w:val="22"/>
          <w:szCs w:val="22"/>
          <w:lang w:val="fr-CA"/>
        </w:rPr>
        <w:t>Rapport sur une catégorie controversée : Les jeunes ni en emploi, ni aux études, ni en formation (NEEF)</w:t>
      </w:r>
      <w:r w:rsidRPr="00EA5B78">
        <w:rPr>
          <w:rFonts w:ascii="Calibri" w:hAnsi="Calibri" w:cs="Calibri"/>
          <w:sz w:val="22"/>
          <w:szCs w:val="22"/>
          <w:lang w:val="fr-CA"/>
        </w:rPr>
        <w:t>. INRS.</w:t>
      </w:r>
    </w:p>
    <w:p w14:paraId="00A805F4" w14:textId="75FE8016" w:rsidR="0097051A" w:rsidRPr="00A845CE" w:rsidRDefault="0097051A" w:rsidP="00F34151">
      <w:pPr>
        <w:tabs>
          <w:tab w:val="left" w:pos="709"/>
        </w:tabs>
        <w:spacing w:after="0" w:line="240" w:lineRule="auto"/>
        <w:ind w:left="567" w:hanging="567"/>
        <w:jc w:val="both"/>
        <w:rPr>
          <w:rFonts w:ascii="Calibri" w:hAnsi="Calibri" w:cs="Calibri"/>
          <w:sz w:val="22"/>
          <w:szCs w:val="22"/>
          <w:lang w:val="pt-BR"/>
        </w:rPr>
      </w:pPr>
      <w:r w:rsidRPr="00EA5B78">
        <w:rPr>
          <w:rFonts w:ascii="Calibri" w:hAnsi="Calibri" w:cs="Calibri"/>
          <w:sz w:val="22"/>
          <w:szCs w:val="22"/>
          <w:lang w:val="fr-CA"/>
        </w:rPr>
        <w:t xml:space="preserve">Longo, M. E., Gallant, N., &amp; al. (2020). </w:t>
      </w:r>
      <w:r w:rsidRPr="00EA5B78">
        <w:rPr>
          <w:rFonts w:ascii="Calibri" w:hAnsi="Calibri" w:cs="Calibri"/>
          <w:i/>
          <w:iCs/>
          <w:sz w:val="22"/>
          <w:szCs w:val="22"/>
          <w:lang w:val="fr-CA"/>
        </w:rPr>
        <w:t>Portrait statistique des jeunes de 17 à 34 ans ni en emploi, ni aux études, ni en formation (NEEF) au Québec : Dix stéréotypes à déconstruire</w:t>
      </w:r>
      <w:r w:rsidRPr="00EA5B78">
        <w:rPr>
          <w:rFonts w:ascii="Calibri" w:hAnsi="Calibri" w:cs="Calibri"/>
          <w:sz w:val="22"/>
          <w:szCs w:val="22"/>
          <w:lang w:val="fr-CA"/>
        </w:rPr>
        <w:t xml:space="preserve">. </w:t>
      </w:r>
      <w:r w:rsidRPr="00A845CE">
        <w:rPr>
          <w:rFonts w:ascii="Calibri" w:hAnsi="Calibri" w:cs="Calibri"/>
          <w:sz w:val="22"/>
          <w:szCs w:val="22"/>
          <w:lang w:val="pt-BR"/>
        </w:rPr>
        <w:t>INRS.</w:t>
      </w:r>
    </w:p>
    <w:p w14:paraId="48F9248D" w14:textId="77777777" w:rsidR="0097051A" w:rsidRPr="00EA5B78" w:rsidRDefault="0097051A" w:rsidP="00F34151">
      <w:pPr>
        <w:tabs>
          <w:tab w:val="left" w:pos="709"/>
        </w:tabs>
        <w:spacing w:after="0" w:line="240" w:lineRule="auto"/>
        <w:ind w:left="567" w:hanging="567"/>
        <w:jc w:val="both"/>
        <w:rPr>
          <w:rFonts w:ascii="Calibri" w:hAnsi="Calibri" w:cs="Calibri"/>
          <w:sz w:val="22"/>
          <w:szCs w:val="22"/>
          <w:lang w:val="fr-CA"/>
        </w:rPr>
      </w:pPr>
      <w:r w:rsidRPr="00A845CE">
        <w:rPr>
          <w:rFonts w:ascii="Calibri" w:hAnsi="Calibri" w:cs="Calibri"/>
          <w:sz w:val="22"/>
          <w:szCs w:val="22"/>
          <w:lang w:val="pt-BR"/>
        </w:rPr>
        <w:t xml:space="preserve">Longo, M.-E., Lechaume, A., Supeno, E., &amp; Noël, M. (2024). Los y las jóvenes que ni estudian ni trabajan en Quebec (Canadá): un caso paradigmático para comprender las transformaciones estructurales del mercado de laboral. </w:t>
      </w:r>
      <w:proofErr w:type="spellStart"/>
      <w:r w:rsidRPr="00EA5B78">
        <w:rPr>
          <w:rFonts w:ascii="Calibri" w:hAnsi="Calibri" w:cs="Calibri"/>
          <w:i/>
          <w:iCs/>
          <w:sz w:val="22"/>
          <w:szCs w:val="22"/>
          <w:lang w:val="fr-CA"/>
        </w:rPr>
        <w:t>Cuestiones</w:t>
      </w:r>
      <w:proofErr w:type="spellEnd"/>
      <w:r w:rsidRPr="00EA5B78">
        <w:rPr>
          <w:rFonts w:ascii="Calibri" w:hAnsi="Calibri" w:cs="Calibri"/>
          <w:i/>
          <w:iCs/>
          <w:sz w:val="22"/>
          <w:szCs w:val="22"/>
          <w:lang w:val="fr-CA"/>
        </w:rPr>
        <w:t xml:space="preserve"> de </w:t>
      </w:r>
      <w:proofErr w:type="spellStart"/>
      <w:r w:rsidRPr="00EA5B78">
        <w:rPr>
          <w:rFonts w:ascii="Calibri" w:hAnsi="Calibri" w:cs="Calibri"/>
          <w:i/>
          <w:iCs/>
          <w:sz w:val="22"/>
          <w:szCs w:val="22"/>
          <w:lang w:val="fr-CA"/>
        </w:rPr>
        <w:t>sociologia</w:t>
      </w:r>
      <w:proofErr w:type="spellEnd"/>
      <w:r w:rsidRPr="00EA5B78">
        <w:rPr>
          <w:rFonts w:ascii="Calibri" w:hAnsi="Calibri" w:cs="Calibri"/>
          <w:i/>
          <w:iCs/>
          <w:sz w:val="22"/>
          <w:szCs w:val="22"/>
          <w:lang w:val="fr-CA"/>
        </w:rPr>
        <w:t>, 30</w:t>
      </w:r>
      <w:r w:rsidRPr="00EA5B78">
        <w:rPr>
          <w:rFonts w:ascii="Calibri" w:hAnsi="Calibri" w:cs="Calibri"/>
          <w:sz w:val="22"/>
          <w:szCs w:val="22"/>
          <w:lang w:val="fr-CA"/>
        </w:rPr>
        <w:t xml:space="preserve">(174), 1-22. </w:t>
      </w:r>
    </w:p>
    <w:p w14:paraId="18FC16EF" w14:textId="77777777" w:rsidR="0097051A" w:rsidRPr="00EA5B78" w:rsidRDefault="0097051A" w:rsidP="00F34151">
      <w:pPr>
        <w:spacing w:after="0" w:line="240" w:lineRule="auto"/>
        <w:jc w:val="both"/>
        <w:rPr>
          <w:rFonts w:ascii="Calibri" w:hAnsi="Calibri" w:cs="Calibri"/>
          <w:sz w:val="22"/>
          <w:szCs w:val="22"/>
          <w:lang w:val="fr-CA"/>
        </w:rPr>
      </w:pPr>
      <w:proofErr w:type="spellStart"/>
      <w:r w:rsidRPr="00EA5B78">
        <w:rPr>
          <w:rFonts w:ascii="Calibri" w:hAnsi="Calibri" w:cs="Calibri"/>
          <w:sz w:val="22"/>
          <w:szCs w:val="22"/>
          <w:lang w:val="fr-CA"/>
        </w:rPr>
        <w:t>Martuccelli</w:t>
      </w:r>
      <w:proofErr w:type="spellEnd"/>
      <w:r w:rsidRPr="00EA5B78">
        <w:rPr>
          <w:rFonts w:ascii="Calibri" w:hAnsi="Calibri" w:cs="Calibri"/>
          <w:sz w:val="22"/>
          <w:szCs w:val="22"/>
          <w:lang w:val="fr-CA"/>
        </w:rPr>
        <w:t xml:space="preserve">, D. (2005). </w:t>
      </w:r>
      <w:r w:rsidRPr="00EA5B78">
        <w:rPr>
          <w:rFonts w:ascii="Calibri" w:hAnsi="Calibri" w:cs="Calibri"/>
          <w:i/>
          <w:iCs/>
          <w:sz w:val="22"/>
          <w:szCs w:val="22"/>
          <w:lang w:val="fr-CA"/>
        </w:rPr>
        <w:t>Les trois voies de l’individu sociologique</w:t>
      </w:r>
      <w:r w:rsidRPr="00EA5B78">
        <w:rPr>
          <w:rFonts w:ascii="Calibri" w:hAnsi="Calibri" w:cs="Calibri"/>
          <w:sz w:val="22"/>
          <w:szCs w:val="22"/>
          <w:lang w:val="fr-CA"/>
        </w:rPr>
        <w:t xml:space="preserve">. Association </w:t>
      </w:r>
      <w:proofErr w:type="spellStart"/>
      <w:r w:rsidRPr="00EA5B78">
        <w:rPr>
          <w:rFonts w:ascii="Calibri" w:hAnsi="Calibri" w:cs="Calibri"/>
          <w:sz w:val="22"/>
          <w:szCs w:val="22"/>
          <w:lang w:val="fr-CA"/>
        </w:rPr>
        <w:t>EspacesTemps</w:t>
      </w:r>
      <w:proofErr w:type="spellEnd"/>
      <w:r w:rsidRPr="00EA5B78">
        <w:rPr>
          <w:rFonts w:ascii="Calibri" w:hAnsi="Calibri" w:cs="Calibri"/>
          <w:sz w:val="22"/>
          <w:szCs w:val="22"/>
          <w:lang w:val="fr-CA"/>
        </w:rPr>
        <w:t xml:space="preserve">. </w:t>
      </w:r>
      <w:hyperlink r:id="rId30" w:history="1">
        <w:r w:rsidRPr="00EA5B78">
          <w:rPr>
            <w:rStyle w:val="Lienhypertexte"/>
            <w:rFonts w:ascii="Calibri" w:hAnsi="Calibri" w:cs="Calibri"/>
            <w:sz w:val="22"/>
            <w:szCs w:val="22"/>
            <w:lang w:val="fr-CA"/>
          </w:rPr>
          <w:t>https://www.espacestemps.net/en/articles/trois-voies-individu-sociologique/</w:t>
        </w:r>
      </w:hyperlink>
      <w:r w:rsidRPr="00EA5B78">
        <w:rPr>
          <w:rFonts w:ascii="Calibri" w:hAnsi="Calibri" w:cs="Calibri"/>
          <w:sz w:val="22"/>
          <w:szCs w:val="22"/>
          <w:lang w:val="fr-CA"/>
        </w:rPr>
        <w:t xml:space="preserve"> </w:t>
      </w:r>
    </w:p>
    <w:p w14:paraId="1A08885F" w14:textId="77777777" w:rsidR="0097051A" w:rsidRPr="00F34151" w:rsidRDefault="0097051A" w:rsidP="00F34151">
      <w:pPr>
        <w:spacing w:after="0" w:line="240" w:lineRule="auto"/>
        <w:ind w:left="567" w:hanging="567"/>
        <w:jc w:val="both"/>
        <w:rPr>
          <w:rFonts w:ascii="Calibri" w:eastAsia="Calibri" w:hAnsi="Calibri" w:cs="Calibri"/>
          <w:bCs/>
          <w:sz w:val="22"/>
          <w:szCs w:val="22"/>
        </w:rPr>
      </w:pPr>
      <w:r w:rsidRPr="00A845CE">
        <w:rPr>
          <w:rFonts w:ascii="Calibri" w:eastAsia="Calibri" w:hAnsi="Calibri" w:cs="Calibri"/>
          <w:bCs/>
          <w:sz w:val="22"/>
          <w:szCs w:val="22"/>
        </w:rPr>
        <w:t xml:space="preserve">Masdonati, J., </w:t>
      </w:r>
      <w:proofErr w:type="spellStart"/>
      <w:r w:rsidRPr="00A845CE">
        <w:rPr>
          <w:rFonts w:ascii="Calibri" w:eastAsia="Calibri" w:hAnsi="Calibri" w:cs="Calibri"/>
          <w:bCs/>
          <w:sz w:val="22"/>
          <w:szCs w:val="22"/>
        </w:rPr>
        <w:t>Frésard</w:t>
      </w:r>
      <w:proofErr w:type="spellEnd"/>
      <w:r w:rsidRPr="00A845CE">
        <w:rPr>
          <w:rFonts w:ascii="Calibri" w:eastAsia="Calibri" w:hAnsi="Calibri" w:cs="Calibri"/>
          <w:bCs/>
          <w:sz w:val="22"/>
          <w:szCs w:val="22"/>
        </w:rPr>
        <w:t xml:space="preserve">, C. É., &amp; Parmentier, M. (2022). </w:t>
      </w:r>
      <w:r w:rsidRPr="00F34151">
        <w:rPr>
          <w:rFonts w:ascii="Calibri" w:eastAsia="Calibri" w:hAnsi="Calibri" w:cs="Calibri"/>
          <w:bCs/>
          <w:sz w:val="22"/>
          <w:szCs w:val="22"/>
        </w:rPr>
        <w:t>Involuntary career changes: A lonesome social experience. </w:t>
      </w:r>
      <w:r w:rsidRPr="00F34151">
        <w:rPr>
          <w:rFonts w:ascii="Calibri" w:eastAsia="Calibri" w:hAnsi="Calibri" w:cs="Calibri"/>
          <w:bCs/>
          <w:i/>
          <w:iCs/>
          <w:sz w:val="22"/>
          <w:szCs w:val="22"/>
        </w:rPr>
        <w:t>Frontiers in Psychology</w:t>
      </w:r>
      <w:r w:rsidRPr="00F34151">
        <w:rPr>
          <w:rFonts w:ascii="Calibri" w:eastAsia="Calibri" w:hAnsi="Calibri" w:cs="Calibri"/>
          <w:bCs/>
          <w:sz w:val="22"/>
          <w:szCs w:val="22"/>
        </w:rPr>
        <w:t>, </w:t>
      </w:r>
      <w:r w:rsidRPr="00F34151">
        <w:rPr>
          <w:rFonts w:ascii="Calibri" w:eastAsia="Calibri" w:hAnsi="Calibri" w:cs="Calibri"/>
          <w:bCs/>
          <w:i/>
          <w:iCs/>
          <w:sz w:val="22"/>
          <w:szCs w:val="22"/>
        </w:rPr>
        <w:t>13</w:t>
      </w:r>
      <w:r w:rsidRPr="00F34151">
        <w:rPr>
          <w:rFonts w:ascii="Calibri" w:eastAsia="Calibri" w:hAnsi="Calibri" w:cs="Calibri"/>
          <w:bCs/>
          <w:sz w:val="22"/>
          <w:szCs w:val="22"/>
        </w:rPr>
        <w:t xml:space="preserve">, 899051. </w:t>
      </w:r>
      <w:hyperlink r:id="rId31" w:history="1">
        <w:r w:rsidRPr="00F34151">
          <w:rPr>
            <w:rStyle w:val="Lienhypertexte"/>
            <w:rFonts w:ascii="Calibri" w:eastAsia="Calibri" w:hAnsi="Calibri" w:cs="Calibri"/>
            <w:bCs/>
            <w:sz w:val="22"/>
            <w:szCs w:val="22"/>
          </w:rPr>
          <w:t>https://doi.org/10.3389/fpsyg.2022.899051</w:t>
        </w:r>
      </w:hyperlink>
    </w:p>
    <w:p w14:paraId="54646B2B" w14:textId="77777777" w:rsidR="0097051A" w:rsidRPr="00F34151" w:rsidRDefault="0097051A" w:rsidP="00F34151">
      <w:pPr>
        <w:spacing w:after="0" w:line="240" w:lineRule="auto"/>
        <w:ind w:left="567" w:hanging="567"/>
        <w:jc w:val="both"/>
        <w:rPr>
          <w:rFonts w:ascii="Calibri" w:eastAsia="Calibri" w:hAnsi="Calibri" w:cs="Calibri"/>
          <w:bCs/>
          <w:sz w:val="22"/>
          <w:szCs w:val="22"/>
        </w:rPr>
      </w:pPr>
      <w:proofErr w:type="spellStart"/>
      <w:r w:rsidRPr="00F34151">
        <w:rPr>
          <w:rFonts w:ascii="Calibri" w:eastAsia="Calibri" w:hAnsi="Calibri" w:cs="Calibri"/>
          <w:bCs/>
          <w:sz w:val="22"/>
          <w:szCs w:val="22"/>
        </w:rPr>
        <w:t>Mussagulova</w:t>
      </w:r>
      <w:proofErr w:type="spellEnd"/>
      <w:r w:rsidRPr="00F34151">
        <w:rPr>
          <w:rFonts w:ascii="Calibri" w:eastAsia="Calibri" w:hAnsi="Calibri" w:cs="Calibri"/>
          <w:bCs/>
          <w:sz w:val="22"/>
          <w:szCs w:val="22"/>
        </w:rPr>
        <w:t>, A., Chng, S., Goh, Z. A. G., Tang, C. J., &amp; Jayasekara, D. N. (2023). When is a career transition successful? A systematic literature review and outlook (1980-2022). </w:t>
      </w:r>
      <w:r w:rsidRPr="00F34151">
        <w:rPr>
          <w:rFonts w:ascii="Calibri" w:eastAsia="Calibri" w:hAnsi="Calibri" w:cs="Calibri"/>
          <w:bCs/>
          <w:i/>
          <w:iCs/>
          <w:sz w:val="22"/>
          <w:szCs w:val="22"/>
        </w:rPr>
        <w:t>Frontiers in Psychology</w:t>
      </w:r>
      <w:r w:rsidRPr="00F34151">
        <w:rPr>
          <w:rFonts w:ascii="Calibri" w:eastAsia="Calibri" w:hAnsi="Calibri" w:cs="Calibri"/>
          <w:bCs/>
          <w:sz w:val="22"/>
          <w:szCs w:val="22"/>
        </w:rPr>
        <w:t>, </w:t>
      </w:r>
      <w:r w:rsidRPr="00F34151">
        <w:rPr>
          <w:rFonts w:ascii="Calibri" w:eastAsia="Calibri" w:hAnsi="Calibri" w:cs="Calibri"/>
          <w:bCs/>
          <w:i/>
          <w:iCs/>
          <w:sz w:val="22"/>
          <w:szCs w:val="22"/>
        </w:rPr>
        <w:t>14</w:t>
      </w:r>
      <w:r w:rsidRPr="00F34151">
        <w:rPr>
          <w:rFonts w:ascii="Calibri" w:eastAsia="Calibri" w:hAnsi="Calibri" w:cs="Calibri"/>
          <w:bCs/>
          <w:sz w:val="22"/>
          <w:szCs w:val="22"/>
        </w:rPr>
        <w:t xml:space="preserve">, 1141202. </w:t>
      </w:r>
      <w:hyperlink r:id="rId32" w:history="1">
        <w:r w:rsidRPr="00F34151">
          <w:rPr>
            <w:rStyle w:val="Lienhypertexte"/>
            <w:rFonts w:ascii="Calibri" w:eastAsia="Calibri" w:hAnsi="Calibri" w:cs="Calibri"/>
            <w:bCs/>
            <w:sz w:val="22"/>
            <w:szCs w:val="22"/>
          </w:rPr>
          <w:t>https://doi.org/10.3389/fpsyg.2023.1141202</w:t>
        </w:r>
      </w:hyperlink>
    </w:p>
    <w:p w14:paraId="2B70357A" w14:textId="77777777" w:rsidR="0097051A" w:rsidRPr="00F34151" w:rsidRDefault="0097051A" w:rsidP="00F34151">
      <w:pPr>
        <w:spacing w:after="0" w:line="240" w:lineRule="auto"/>
        <w:ind w:left="567" w:hanging="567"/>
        <w:jc w:val="both"/>
        <w:rPr>
          <w:rFonts w:ascii="Calibri" w:eastAsia="Calibri" w:hAnsi="Calibri" w:cs="Calibri"/>
          <w:color w:val="212121"/>
          <w:sz w:val="22"/>
          <w:szCs w:val="22"/>
        </w:rPr>
      </w:pPr>
      <w:r w:rsidRPr="00F34151">
        <w:rPr>
          <w:rFonts w:ascii="Calibri" w:eastAsia="Calibri" w:hAnsi="Calibri" w:cs="Calibri"/>
          <w:color w:val="212121"/>
          <w:sz w:val="22"/>
          <w:szCs w:val="22"/>
        </w:rPr>
        <w:t xml:space="preserve">Nielsen, K., Yarker, J., Munir, F., &amp; </w:t>
      </w:r>
      <w:proofErr w:type="spellStart"/>
      <w:r w:rsidRPr="00F34151">
        <w:rPr>
          <w:rFonts w:ascii="Calibri" w:eastAsia="Calibri" w:hAnsi="Calibri" w:cs="Calibri"/>
          <w:color w:val="212121"/>
          <w:sz w:val="22"/>
          <w:szCs w:val="22"/>
        </w:rPr>
        <w:t>Bültmann</w:t>
      </w:r>
      <w:proofErr w:type="spellEnd"/>
      <w:r w:rsidRPr="00F34151">
        <w:rPr>
          <w:rFonts w:ascii="Calibri" w:eastAsia="Calibri" w:hAnsi="Calibri" w:cs="Calibri"/>
          <w:color w:val="212121"/>
          <w:sz w:val="22"/>
          <w:szCs w:val="22"/>
        </w:rPr>
        <w:t xml:space="preserve">, U. (2020). Chapter 33: IGLOO: A Framework for Return to Work Among Workers with Mental Health Problems. In Handbook of disability, work and health (Ute </w:t>
      </w:r>
      <w:proofErr w:type="spellStart"/>
      <w:r w:rsidRPr="00F34151">
        <w:rPr>
          <w:rFonts w:ascii="Calibri" w:eastAsia="Calibri" w:hAnsi="Calibri" w:cs="Calibri"/>
          <w:color w:val="212121"/>
          <w:sz w:val="22"/>
          <w:szCs w:val="22"/>
        </w:rPr>
        <w:t>Bültmann</w:t>
      </w:r>
      <w:proofErr w:type="spellEnd"/>
      <w:r w:rsidRPr="00F34151">
        <w:rPr>
          <w:rFonts w:ascii="Calibri" w:eastAsia="Calibri" w:hAnsi="Calibri" w:cs="Calibri"/>
          <w:color w:val="212121"/>
          <w:sz w:val="22"/>
          <w:szCs w:val="22"/>
        </w:rPr>
        <w:t xml:space="preserve"> &amp; Johannes Siegrist, pp. 615-632). Springer Nature Switzerland AG.</w:t>
      </w:r>
    </w:p>
    <w:p w14:paraId="0AC04F88" w14:textId="77777777" w:rsidR="0097051A" w:rsidRPr="00F34151" w:rsidRDefault="0097051A" w:rsidP="00F34151">
      <w:pPr>
        <w:spacing w:after="0" w:line="240" w:lineRule="auto"/>
        <w:ind w:left="567" w:hanging="567"/>
        <w:jc w:val="both"/>
        <w:rPr>
          <w:rFonts w:ascii="Calibri" w:eastAsia="Calibri" w:hAnsi="Calibri" w:cs="Calibri"/>
          <w:sz w:val="22"/>
          <w:szCs w:val="22"/>
        </w:rPr>
      </w:pPr>
      <w:r w:rsidRPr="00F34151">
        <w:rPr>
          <w:rFonts w:ascii="Calibri" w:eastAsia="Calibri" w:hAnsi="Calibri" w:cs="Calibri"/>
          <w:sz w:val="22"/>
          <w:szCs w:val="22"/>
        </w:rPr>
        <w:lastRenderedPageBreak/>
        <w:t xml:space="preserve">Nielsen, M. B., &amp; Einarsen, S. V. (2018). What we know, what we do not know, and what we should and could have known about workplace bullying: An overview of the literature and agenda for future research. Aggression and Violent Behavior, 42, 71–83. </w:t>
      </w:r>
      <w:hyperlink r:id="rId33" w:history="1">
        <w:r w:rsidRPr="00F34151">
          <w:rPr>
            <w:rStyle w:val="Lienhypertexte"/>
            <w:rFonts w:ascii="Calibri" w:eastAsia="Calibri" w:hAnsi="Calibri" w:cs="Calibri"/>
            <w:sz w:val="22"/>
            <w:szCs w:val="22"/>
          </w:rPr>
          <w:t>https://doi.org/10.1016/j.avb.2018.06.007</w:t>
        </w:r>
      </w:hyperlink>
    </w:p>
    <w:p w14:paraId="0EB7CF74" w14:textId="77777777" w:rsidR="0097051A" w:rsidRPr="00F34151" w:rsidRDefault="0097051A" w:rsidP="00F34151">
      <w:pPr>
        <w:spacing w:after="0" w:line="240" w:lineRule="auto"/>
        <w:ind w:left="567" w:hanging="567"/>
        <w:jc w:val="both"/>
        <w:rPr>
          <w:rFonts w:ascii="Calibri" w:eastAsia="Calibri" w:hAnsi="Calibri" w:cs="Calibri"/>
          <w:color w:val="000000" w:themeColor="text1"/>
          <w:sz w:val="22"/>
          <w:szCs w:val="22"/>
        </w:rPr>
      </w:pPr>
      <w:r w:rsidRPr="00F34151">
        <w:rPr>
          <w:rFonts w:ascii="Calibri" w:eastAsia="Calibri" w:hAnsi="Calibri" w:cs="Calibri"/>
          <w:color w:val="000000" w:themeColor="text1"/>
          <w:sz w:val="22"/>
          <w:szCs w:val="22"/>
        </w:rPr>
        <w:t xml:space="preserve">Nielsen, M. B., </w:t>
      </w:r>
      <w:proofErr w:type="spellStart"/>
      <w:r w:rsidRPr="00F34151">
        <w:rPr>
          <w:rFonts w:ascii="Calibri" w:eastAsia="Calibri" w:hAnsi="Calibri" w:cs="Calibri"/>
          <w:color w:val="000000" w:themeColor="text1"/>
          <w:sz w:val="22"/>
          <w:szCs w:val="22"/>
        </w:rPr>
        <w:t>Indregard</w:t>
      </w:r>
      <w:proofErr w:type="spellEnd"/>
      <w:r w:rsidRPr="00F34151">
        <w:rPr>
          <w:rFonts w:ascii="Calibri" w:eastAsia="Calibri" w:hAnsi="Calibri" w:cs="Calibri"/>
          <w:color w:val="000000" w:themeColor="text1"/>
          <w:sz w:val="22"/>
          <w:szCs w:val="22"/>
        </w:rPr>
        <w:t>, A. M., &amp; Øverland, S. (2016). Workplace bullying and sickness absence: a systematic review and meta-analysis of the research literature. </w:t>
      </w:r>
      <w:r w:rsidRPr="00F34151">
        <w:rPr>
          <w:rFonts w:ascii="Calibri" w:eastAsia="Calibri" w:hAnsi="Calibri" w:cs="Calibri"/>
          <w:i/>
          <w:iCs/>
          <w:color w:val="000000" w:themeColor="text1"/>
          <w:sz w:val="22"/>
          <w:szCs w:val="22"/>
        </w:rPr>
        <w:t>Scandinavian journal of work, environment &amp; health</w:t>
      </w:r>
      <w:r w:rsidRPr="00F34151">
        <w:rPr>
          <w:rFonts w:ascii="Calibri" w:eastAsia="Calibri" w:hAnsi="Calibri" w:cs="Calibri"/>
          <w:color w:val="000000" w:themeColor="text1"/>
          <w:sz w:val="22"/>
          <w:szCs w:val="22"/>
        </w:rPr>
        <w:t>, </w:t>
      </w:r>
      <w:r w:rsidRPr="00F34151">
        <w:rPr>
          <w:rFonts w:ascii="Calibri" w:eastAsia="Calibri" w:hAnsi="Calibri" w:cs="Calibri"/>
          <w:i/>
          <w:iCs/>
          <w:color w:val="000000" w:themeColor="text1"/>
          <w:sz w:val="22"/>
          <w:szCs w:val="22"/>
        </w:rPr>
        <w:t>42</w:t>
      </w:r>
      <w:r w:rsidRPr="00F34151">
        <w:rPr>
          <w:rFonts w:ascii="Calibri" w:eastAsia="Calibri" w:hAnsi="Calibri" w:cs="Calibri"/>
          <w:color w:val="000000" w:themeColor="text1"/>
          <w:sz w:val="22"/>
          <w:szCs w:val="22"/>
        </w:rPr>
        <w:t xml:space="preserve">(5), 359–370. </w:t>
      </w:r>
      <w:hyperlink r:id="rId34" w:history="1">
        <w:r w:rsidRPr="00F34151">
          <w:rPr>
            <w:rStyle w:val="Lienhypertexte"/>
            <w:rFonts w:ascii="Calibri" w:eastAsia="Calibri" w:hAnsi="Calibri" w:cs="Calibri"/>
            <w:sz w:val="22"/>
            <w:szCs w:val="22"/>
          </w:rPr>
          <w:t>https://doi.org/10.5271/sjweh.3579</w:t>
        </w:r>
      </w:hyperlink>
    </w:p>
    <w:p w14:paraId="3C9E4DB6" w14:textId="77777777" w:rsidR="0097051A" w:rsidRPr="00F34151" w:rsidRDefault="0097051A" w:rsidP="00F34151">
      <w:pPr>
        <w:spacing w:after="0" w:line="240" w:lineRule="auto"/>
        <w:ind w:left="567" w:hanging="567"/>
        <w:jc w:val="both"/>
        <w:rPr>
          <w:rFonts w:ascii="Calibri" w:eastAsia="Calibri" w:hAnsi="Calibri" w:cs="Calibri"/>
          <w:color w:val="212121"/>
          <w:sz w:val="22"/>
          <w:szCs w:val="22"/>
        </w:rPr>
      </w:pPr>
      <w:r w:rsidRPr="00A845CE">
        <w:rPr>
          <w:rFonts w:ascii="Calibri" w:eastAsia="Calibri" w:hAnsi="Calibri" w:cs="Calibri"/>
          <w:color w:val="212121"/>
          <w:sz w:val="22"/>
          <w:szCs w:val="22"/>
          <w:lang w:val="fi-FI"/>
        </w:rPr>
        <w:t xml:space="preserve">Nielsen, M. B., Nielsen, G. H., Notelaers, G., &amp; Einarsen, S. (2015). </w:t>
      </w:r>
      <w:r w:rsidRPr="00F34151">
        <w:rPr>
          <w:rFonts w:ascii="Calibri" w:eastAsia="Calibri" w:hAnsi="Calibri" w:cs="Calibri"/>
          <w:color w:val="212121"/>
          <w:sz w:val="22"/>
          <w:szCs w:val="22"/>
        </w:rPr>
        <w:t xml:space="preserve">Workplace Bullying and Suicidal Ideation: A 3-Wave Longitudinal Norwegian Study. </w:t>
      </w:r>
      <w:r w:rsidRPr="00F34151">
        <w:rPr>
          <w:rFonts w:ascii="Calibri" w:eastAsia="Calibri" w:hAnsi="Calibri" w:cs="Calibri"/>
          <w:i/>
          <w:iCs/>
          <w:color w:val="212121"/>
          <w:sz w:val="22"/>
          <w:szCs w:val="22"/>
        </w:rPr>
        <w:t>American Journal of Public Health</w:t>
      </w:r>
      <w:r w:rsidRPr="00F34151">
        <w:rPr>
          <w:rFonts w:ascii="Calibri" w:eastAsia="Calibri" w:hAnsi="Calibri" w:cs="Calibri"/>
          <w:color w:val="212121"/>
          <w:sz w:val="22"/>
          <w:szCs w:val="22"/>
        </w:rPr>
        <w:t xml:space="preserve">, </w:t>
      </w:r>
      <w:r w:rsidRPr="00F34151">
        <w:rPr>
          <w:rFonts w:ascii="Calibri" w:eastAsia="Calibri" w:hAnsi="Calibri" w:cs="Calibri"/>
          <w:i/>
          <w:iCs/>
          <w:color w:val="212121"/>
          <w:sz w:val="22"/>
          <w:szCs w:val="22"/>
        </w:rPr>
        <w:t>105</w:t>
      </w:r>
      <w:r w:rsidRPr="00F34151">
        <w:rPr>
          <w:rFonts w:ascii="Calibri" w:eastAsia="Calibri" w:hAnsi="Calibri" w:cs="Calibri"/>
          <w:color w:val="212121"/>
          <w:sz w:val="22"/>
          <w:szCs w:val="22"/>
        </w:rPr>
        <w:t xml:space="preserve">(11), e23–e28. </w:t>
      </w:r>
      <w:hyperlink r:id="rId35" w:history="1">
        <w:r w:rsidRPr="00F34151">
          <w:rPr>
            <w:rStyle w:val="Lienhypertexte"/>
            <w:rFonts w:ascii="Calibri" w:eastAsia="Calibri" w:hAnsi="Calibri" w:cs="Calibri"/>
            <w:sz w:val="22"/>
            <w:szCs w:val="22"/>
          </w:rPr>
          <w:t>https://doi.org/10.2105/AJPH.2015.302855</w:t>
        </w:r>
      </w:hyperlink>
    </w:p>
    <w:p w14:paraId="00AE91B2" w14:textId="77777777" w:rsidR="00B74D89" w:rsidRPr="00F34151" w:rsidRDefault="0097051A" w:rsidP="00F34151">
      <w:pPr>
        <w:spacing w:after="0" w:line="240" w:lineRule="auto"/>
        <w:ind w:left="567" w:hanging="567"/>
        <w:jc w:val="both"/>
        <w:rPr>
          <w:rFonts w:ascii="Calibri" w:eastAsia="Calibri" w:hAnsi="Calibri" w:cs="Calibri"/>
          <w:color w:val="000000" w:themeColor="text1"/>
          <w:sz w:val="22"/>
          <w:szCs w:val="22"/>
        </w:rPr>
      </w:pPr>
      <w:r w:rsidRPr="00F34151">
        <w:rPr>
          <w:rFonts w:ascii="Calibri" w:eastAsia="Calibri" w:hAnsi="Calibri" w:cs="Calibri"/>
          <w:color w:val="000000" w:themeColor="text1"/>
          <w:sz w:val="22"/>
          <w:szCs w:val="22"/>
        </w:rPr>
        <w:t xml:space="preserve">Nigatu, Y. T., Liu, Y., Uppal, M., McKinney, S., Gillis, K., Rao, S., &amp; Wang, J. (2017). Prognostic factors for return to work of employees with common mental disorders: A meta-analysis of cohort studies. </w:t>
      </w:r>
      <w:r w:rsidRPr="00F34151">
        <w:rPr>
          <w:rFonts w:ascii="Calibri" w:eastAsia="Calibri" w:hAnsi="Calibri" w:cs="Calibri"/>
          <w:i/>
          <w:iCs/>
          <w:color w:val="000000" w:themeColor="text1"/>
          <w:sz w:val="22"/>
          <w:szCs w:val="22"/>
        </w:rPr>
        <w:t>Social Psychiatry and Psychiatric Epidemiology</w:t>
      </w:r>
      <w:r w:rsidRPr="00F34151">
        <w:rPr>
          <w:rFonts w:ascii="Calibri" w:eastAsia="Calibri" w:hAnsi="Calibri" w:cs="Calibri"/>
          <w:color w:val="000000" w:themeColor="text1"/>
          <w:sz w:val="22"/>
          <w:szCs w:val="22"/>
        </w:rPr>
        <w:t xml:space="preserve">, </w:t>
      </w:r>
      <w:r w:rsidRPr="00F34151">
        <w:rPr>
          <w:rFonts w:ascii="Calibri" w:eastAsia="Calibri" w:hAnsi="Calibri" w:cs="Calibri"/>
          <w:i/>
          <w:iCs/>
          <w:color w:val="000000" w:themeColor="text1"/>
          <w:sz w:val="22"/>
          <w:szCs w:val="22"/>
        </w:rPr>
        <w:t>52</w:t>
      </w:r>
      <w:r w:rsidRPr="00F34151">
        <w:rPr>
          <w:rFonts w:ascii="Calibri" w:eastAsia="Calibri" w:hAnsi="Calibri" w:cs="Calibri"/>
          <w:color w:val="000000" w:themeColor="text1"/>
          <w:sz w:val="22"/>
          <w:szCs w:val="22"/>
        </w:rPr>
        <w:t xml:space="preserve">(10), 1205–1215. </w:t>
      </w:r>
      <w:hyperlink r:id="rId36" w:history="1">
        <w:r w:rsidRPr="00F34151">
          <w:rPr>
            <w:rStyle w:val="Lienhypertexte"/>
            <w:rFonts w:ascii="Calibri" w:eastAsia="Calibri" w:hAnsi="Calibri" w:cs="Calibri"/>
            <w:sz w:val="22"/>
            <w:szCs w:val="22"/>
          </w:rPr>
          <w:t>https://doi.org/10.1007/s00127-017-1402-0</w:t>
        </w:r>
      </w:hyperlink>
    </w:p>
    <w:p w14:paraId="584E577E" w14:textId="2AF47EBB" w:rsidR="0097051A" w:rsidRPr="00F34151" w:rsidRDefault="0097051A" w:rsidP="00F34151">
      <w:pPr>
        <w:spacing w:after="0" w:line="240" w:lineRule="auto"/>
        <w:ind w:left="567" w:hanging="567"/>
        <w:jc w:val="both"/>
        <w:rPr>
          <w:rFonts w:ascii="Calibri" w:eastAsia="Calibri" w:hAnsi="Calibri" w:cs="Calibri"/>
          <w:color w:val="000000" w:themeColor="text1"/>
          <w:sz w:val="22"/>
          <w:szCs w:val="22"/>
        </w:rPr>
      </w:pPr>
      <w:r w:rsidRPr="00F34151">
        <w:rPr>
          <w:rFonts w:ascii="Calibri" w:hAnsi="Calibri" w:cs="Calibri"/>
          <w:sz w:val="22"/>
          <w:szCs w:val="22"/>
        </w:rPr>
        <w:t xml:space="preserve">Noh, H., &amp; Lee, B. J. (2017). Risk factors of NEET (Not in Employment, Education or Training) in South Korea: An empirical study using panel data. </w:t>
      </w:r>
      <w:r w:rsidRPr="00F34151">
        <w:rPr>
          <w:rFonts w:ascii="Calibri" w:hAnsi="Calibri" w:cs="Calibri"/>
          <w:i/>
          <w:iCs/>
          <w:sz w:val="22"/>
          <w:szCs w:val="22"/>
        </w:rPr>
        <w:t>Asia Pacific Journal of Social Work and Development</w:t>
      </w:r>
      <w:r w:rsidRPr="00F34151">
        <w:rPr>
          <w:rFonts w:ascii="Calibri" w:hAnsi="Calibri" w:cs="Calibri"/>
          <w:sz w:val="22"/>
          <w:szCs w:val="22"/>
        </w:rPr>
        <w:t xml:space="preserve">, </w:t>
      </w:r>
      <w:r w:rsidRPr="00F34151">
        <w:rPr>
          <w:rFonts w:ascii="Calibri" w:hAnsi="Calibri" w:cs="Calibri"/>
          <w:i/>
          <w:iCs/>
          <w:sz w:val="22"/>
          <w:szCs w:val="22"/>
        </w:rPr>
        <w:t>27</w:t>
      </w:r>
      <w:r w:rsidRPr="00F34151">
        <w:rPr>
          <w:rFonts w:ascii="Calibri" w:hAnsi="Calibri" w:cs="Calibri"/>
          <w:sz w:val="22"/>
          <w:szCs w:val="22"/>
        </w:rPr>
        <w:t>(1), 28–38.</w:t>
      </w:r>
    </w:p>
    <w:p w14:paraId="507F6479" w14:textId="77777777" w:rsidR="0097051A" w:rsidRPr="00A845CE" w:rsidRDefault="0097051A" w:rsidP="00F34151">
      <w:pPr>
        <w:spacing w:after="0" w:line="240" w:lineRule="auto"/>
        <w:ind w:left="567" w:hanging="567"/>
        <w:jc w:val="both"/>
        <w:rPr>
          <w:rFonts w:ascii="Calibri" w:eastAsia="Calibri" w:hAnsi="Calibri" w:cs="Calibri"/>
          <w:color w:val="212121"/>
          <w:sz w:val="22"/>
          <w:szCs w:val="22"/>
          <w:lang w:val="pt-BR"/>
        </w:rPr>
      </w:pPr>
      <w:proofErr w:type="spellStart"/>
      <w:r w:rsidRPr="00F34151">
        <w:rPr>
          <w:rFonts w:ascii="Calibri" w:eastAsia="Calibri" w:hAnsi="Calibri" w:cs="Calibri"/>
          <w:color w:val="212121"/>
          <w:sz w:val="22"/>
          <w:szCs w:val="22"/>
        </w:rPr>
        <w:t>Paillé</w:t>
      </w:r>
      <w:proofErr w:type="spellEnd"/>
      <w:r w:rsidRPr="00F34151">
        <w:rPr>
          <w:rFonts w:ascii="Calibri" w:eastAsia="Calibri" w:hAnsi="Calibri" w:cs="Calibri"/>
          <w:color w:val="212121"/>
          <w:sz w:val="22"/>
          <w:szCs w:val="22"/>
        </w:rPr>
        <w:t xml:space="preserve">, P., &amp; </w:t>
      </w:r>
      <w:proofErr w:type="spellStart"/>
      <w:r w:rsidRPr="00F34151">
        <w:rPr>
          <w:rFonts w:ascii="Calibri" w:eastAsia="Calibri" w:hAnsi="Calibri" w:cs="Calibri"/>
          <w:color w:val="212121"/>
          <w:sz w:val="22"/>
          <w:szCs w:val="22"/>
        </w:rPr>
        <w:t>Mucchielli</w:t>
      </w:r>
      <w:proofErr w:type="spellEnd"/>
      <w:r w:rsidRPr="00F34151">
        <w:rPr>
          <w:rFonts w:ascii="Calibri" w:eastAsia="Calibri" w:hAnsi="Calibri" w:cs="Calibri"/>
          <w:color w:val="212121"/>
          <w:sz w:val="22"/>
          <w:szCs w:val="22"/>
        </w:rPr>
        <w:t xml:space="preserve">, A. (2021). </w:t>
      </w:r>
      <w:r w:rsidRPr="00EA5B78">
        <w:rPr>
          <w:rFonts w:ascii="Calibri" w:eastAsia="Calibri" w:hAnsi="Calibri" w:cs="Calibri"/>
          <w:i/>
          <w:iCs/>
          <w:color w:val="212121"/>
          <w:sz w:val="22"/>
          <w:szCs w:val="22"/>
          <w:lang w:val="fr-CA"/>
        </w:rPr>
        <w:t>L’analyse qualitative en sciences humaines et sociales</w:t>
      </w:r>
      <w:r w:rsidRPr="00EA5B78">
        <w:rPr>
          <w:rFonts w:ascii="Calibri" w:eastAsia="Calibri" w:hAnsi="Calibri" w:cs="Calibri"/>
          <w:color w:val="212121"/>
          <w:sz w:val="22"/>
          <w:szCs w:val="22"/>
          <w:lang w:val="fr-CA"/>
        </w:rPr>
        <w:t xml:space="preserve"> (5e éd). </w:t>
      </w:r>
      <w:r w:rsidRPr="00A845CE">
        <w:rPr>
          <w:rFonts w:ascii="Calibri" w:eastAsia="Calibri" w:hAnsi="Calibri" w:cs="Calibri"/>
          <w:color w:val="212121"/>
          <w:sz w:val="22"/>
          <w:szCs w:val="22"/>
          <w:lang w:val="pt-BR"/>
        </w:rPr>
        <w:t>Armand Colin.</w:t>
      </w:r>
    </w:p>
    <w:p w14:paraId="423E5EC8" w14:textId="77777777" w:rsidR="0097051A" w:rsidRPr="00EA5B78" w:rsidRDefault="0097051A" w:rsidP="00F34151">
      <w:pPr>
        <w:tabs>
          <w:tab w:val="left" w:pos="709"/>
        </w:tabs>
        <w:spacing w:after="0" w:line="240" w:lineRule="auto"/>
        <w:ind w:left="567" w:hanging="567"/>
        <w:jc w:val="both"/>
        <w:rPr>
          <w:rFonts w:ascii="Calibri" w:hAnsi="Calibri" w:cs="Calibri"/>
          <w:sz w:val="22"/>
          <w:szCs w:val="22"/>
          <w:lang w:val="fr-CA"/>
        </w:rPr>
      </w:pPr>
      <w:r w:rsidRPr="00A845CE">
        <w:rPr>
          <w:rFonts w:ascii="Calibri" w:hAnsi="Calibri" w:cs="Calibri"/>
          <w:sz w:val="22"/>
          <w:szCs w:val="22"/>
          <w:lang w:val="pt-BR"/>
        </w:rPr>
        <w:t xml:space="preserve">Papadakis, N., Drakaki, M., Saridakis, S., &amp; Dafermos, V. (2021). </w:t>
      </w:r>
      <w:r w:rsidRPr="00F34151">
        <w:rPr>
          <w:rFonts w:ascii="Calibri" w:hAnsi="Calibri" w:cs="Calibri"/>
          <w:sz w:val="22"/>
          <w:szCs w:val="22"/>
        </w:rPr>
        <w:t xml:space="preserve">'The Degree of Despair': The Disjointed Labour Market, the Impact of the Pandemics, the Expansion of Precarious Work among Youth and Its Effects on Young People's Life Trajectories, Life Chances and Political Mentalities - Public Trust; The Case of Greece. </w:t>
      </w:r>
      <w:proofErr w:type="spellStart"/>
      <w:r w:rsidRPr="00EA5B78">
        <w:rPr>
          <w:rFonts w:ascii="Calibri" w:hAnsi="Calibri" w:cs="Calibri"/>
          <w:i/>
          <w:iCs/>
          <w:sz w:val="22"/>
          <w:szCs w:val="22"/>
          <w:lang w:val="fr-CA"/>
        </w:rPr>
        <w:t>European</w:t>
      </w:r>
      <w:proofErr w:type="spellEnd"/>
      <w:r w:rsidRPr="00EA5B78">
        <w:rPr>
          <w:rFonts w:ascii="Calibri" w:hAnsi="Calibri" w:cs="Calibri"/>
          <w:i/>
          <w:iCs/>
          <w:sz w:val="22"/>
          <w:szCs w:val="22"/>
          <w:lang w:val="fr-CA"/>
        </w:rPr>
        <w:t xml:space="preserve"> </w:t>
      </w:r>
      <w:proofErr w:type="spellStart"/>
      <w:r w:rsidRPr="00EA5B78">
        <w:rPr>
          <w:rFonts w:ascii="Calibri" w:hAnsi="Calibri" w:cs="Calibri"/>
          <w:i/>
          <w:iCs/>
          <w:sz w:val="22"/>
          <w:szCs w:val="22"/>
          <w:lang w:val="fr-CA"/>
        </w:rPr>
        <w:t>Quarterly</w:t>
      </w:r>
      <w:proofErr w:type="spellEnd"/>
      <w:r w:rsidRPr="00EA5B78">
        <w:rPr>
          <w:rFonts w:ascii="Calibri" w:hAnsi="Calibri" w:cs="Calibri"/>
          <w:i/>
          <w:iCs/>
          <w:sz w:val="22"/>
          <w:szCs w:val="22"/>
          <w:lang w:val="fr-CA"/>
        </w:rPr>
        <w:t xml:space="preserve"> of </w:t>
      </w:r>
      <w:proofErr w:type="spellStart"/>
      <w:r w:rsidRPr="00EA5B78">
        <w:rPr>
          <w:rFonts w:ascii="Calibri" w:hAnsi="Calibri" w:cs="Calibri"/>
          <w:i/>
          <w:iCs/>
          <w:sz w:val="22"/>
          <w:szCs w:val="22"/>
          <w:lang w:val="fr-CA"/>
        </w:rPr>
        <w:t>Political</w:t>
      </w:r>
      <w:proofErr w:type="spellEnd"/>
      <w:r w:rsidRPr="00EA5B78">
        <w:rPr>
          <w:rFonts w:ascii="Calibri" w:hAnsi="Calibri" w:cs="Calibri"/>
          <w:i/>
          <w:iCs/>
          <w:sz w:val="22"/>
          <w:szCs w:val="22"/>
          <w:lang w:val="fr-CA"/>
        </w:rPr>
        <w:t xml:space="preserve"> Attitudes and </w:t>
      </w:r>
      <w:proofErr w:type="spellStart"/>
      <w:r w:rsidRPr="00EA5B78">
        <w:rPr>
          <w:rFonts w:ascii="Calibri" w:hAnsi="Calibri" w:cs="Calibri"/>
          <w:i/>
          <w:iCs/>
          <w:sz w:val="22"/>
          <w:szCs w:val="22"/>
          <w:lang w:val="fr-CA"/>
        </w:rPr>
        <w:t>Mentalities</w:t>
      </w:r>
      <w:proofErr w:type="spellEnd"/>
      <w:r w:rsidRPr="00EA5B78">
        <w:rPr>
          <w:rFonts w:ascii="Calibri" w:hAnsi="Calibri" w:cs="Calibri"/>
          <w:i/>
          <w:iCs/>
          <w:sz w:val="22"/>
          <w:szCs w:val="22"/>
          <w:lang w:val="fr-CA"/>
        </w:rPr>
        <w:t>, 10</w:t>
      </w:r>
      <w:r w:rsidRPr="00EA5B78">
        <w:rPr>
          <w:rFonts w:ascii="Calibri" w:hAnsi="Calibri" w:cs="Calibri"/>
          <w:sz w:val="22"/>
          <w:szCs w:val="22"/>
          <w:lang w:val="fr-CA"/>
        </w:rPr>
        <w:t>(2), 26-54.</w:t>
      </w:r>
    </w:p>
    <w:p w14:paraId="6DC6FCEA" w14:textId="77777777" w:rsidR="0097051A" w:rsidRPr="00EA5B78" w:rsidRDefault="0097051A" w:rsidP="00F34151">
      <w:pPr>
        <w:spacing w:after="0" w:line="240" w:lineRule="auto"/>
        <w:ind w:left="567" w:hanging="567"/>
        <w:jc w:val="both"/>
        <w:rPr>
          <w:rFonts w:ascii="Calibri" w:eastAsia="Calibri" w:hAnsi="Calibri" w:cs="Calibri"/>
          <w:color w:val="212121"/>
          <w:sz w:val="22"/>
          <w:szCs w:val="22"/>
          <w:lang w:val="fr-CA"/>
        </w:rPr>
      </w:pPr>
      <w:r w:rsidRPr="00EA5B78">
        <w:rPr>
          <w:rFonts w:ascii="Calibri" w:eastAsia="Calibri" w:hAnsi="Calibri" w:cs="Calibri"/>
          <w:color w:val="212121"/>
          <w:sz w:val="22"/>
          <w:szCs w:val="22"/>
          <w:lang w:val="fr-CA"/>
        </w:rPr>
        <w:t xml:space="preserve">Pelletier, M. </w:t>
      </w:r>
      <w:r w:rsidRPr="00EA5B78">
        <w:rPr>
          <w:rFonts w:ascii="Calibri" w:hAnsi="Calibri" w:cs="Calibri"/>
          <w:sz w:val="22"/>
          <w:szCs w:val="22"/>
          <w:lang w:val="fr-CA"/>
        </w:rPr>
        <w:t>&amp;</w:t>
      </w:r>
      <w:r w:rsidRPr="00EA5B78">
        <w:rPr>
          <w:rFonts w:ascii="Calibri" w:eastAsia="Calibri" w:hAnsi="Calibri" w:cs="Calibri"/>
          <w:color w:val="212121"/>
          <w:sz w:val="22"/>
          <w:szCs w:val="22"/>
          <w:lang w:val="fr-CA"/>
        </w:rPr>
        <w:t xml:space="preserve"> Giguère, É. (2026). </w:t>
      </w:r>
      <w:proofErr w:type="spellStart"/>
      <w:r w:rsidRPr="00EA5B78">
        <w:rPr>
          <w:rFonts w:ascii="Calibri" w:eastAsia="Calibri" w:hAnsi="Calibri" w:cs="Calibri"/>
          <w:color w:val="212121"/>
          <w:sz w:val="22"/>
          <w:szCs w:val="22"/>
          <w:lang w:val="fr-CA"/>
        </w:rPr>
        <w:t>Chapter</w:t>
      </w:r>
      <w:proofErr w:type="spellEnd"/>
      <w:r w:rsidRPr="00EA5B78">
        <w:rPr>
          <w:rFonts w:ascii="Calibri" w:eastAsia="Calibri" w:hAnsi="Calibri" w:cs="Calibri"/>
          <w:color w:val="212121"/>
          <w:sz w:val="22"/>
          <w:szCs w:val="22"/>
          <w:lang w:val="fr-CA"/>
        </w:rPr>
        <w:t xml:space="preserve"> 29 :  Comment faciliter le retour au travail des personnes présentant des problèmes de santé mentale?  In </w:t>
      </w:r>
      <w:r w:rsidRPr="00EA5B78">
        <w:rPr>
          <w:rFonts w:ascii="Calibri" w:eastAsia="Calibri" w:hAnsi="Calibri" w:cs="Calibri"/>
          <w:i/>
          <w:iCs/>
          <w:color w:val="212121"/>
          <w:sz w:val="22"/>
          <w:szCs w:val="22"/>
          <w:lang w:val="fr-CA"/>
        </w:rPr>
        <w:t>Santé mentale au travail, organisation et transformations du Travail : regards critiques, pragmatiques et Interdisciplinaires ancrés au Québec</w:t>
      </w:r>
      <w:r w:rsidRPr="00EA5B78">
        <w:rPr>
          <w:rFonts w:ascii="Calibri" w:eastAsia="Calibri" w:hAnsi="Calibri" w:cs="Calibri"/>
          <w:color w:val="212121"/>
          <w:sz w:val="22"/>
          <w:szCs w:val="22"/>
          <w:lang w:val="fr-CA"/>
        </w:rPr>
        <w:t xml:space="preserve"> (Mélanie Dufour-Poirier &amp; Jean-Paul Dautel pp. 541-558), Presses de l’Université du Québec Canada.</w:t>
      </w:r>
    </w:p>
    <w:p w14:paraId="05E18A2F" w14:textId="77777777" w:rsidR="0097051A" w:rsidRPr="00F34151" w:rsidRDefault="0097051A" w:rsidP="00F34151">
      <w:pPr>
        <w:spacing w:after="0" w:line="240" w:lineRule="auto"/>
        <w:ind w:left="567" w:hanging="567"/>
        <w:jc w:val="both"/>
        <w:rPr>
          <w:rFonts w:ascii="Calibri" w:eastAsia="Calibri" w:hAnsi="Calibri" w:cs="Calibri"/>
          <w:color w:val="212121"/>
          <w:sz w:val="22"/>
          <w:szCs w:val="22"/>
        </w:rPr>
      </w:pPr>
      <w:r w:rsidRPr="00EA5B78">
        <w:rPr>
          <w:rFonts w:ascii="Calibri" w:eastAsia="Calibri" w:hAnsi="Calibri" w:cs="Calibri"/>
          <w:color w:val="212121"/>
          <w:sz w:val="22"/>
          <w:szCs w:val="22"/>
          <w:lang w:val="fr-CA"/>
        </w:rPr>
        <w:t xml:space="preserve">Pelletier, M., Carazo, S., Jauvin, N., Talbot, D., Serres, G., &amp; Vézina, M. (2021). </w:t>
      </w:r>
      <w:r w:rsidRPr="00EA5B78">
        <w:rPr>
          <w:rFonts w:ascii="Calibri" w:eastAsia="Calibri" w:hAnsi="Calibri" w:cs="Calibri"/>
          <w:i/>
          <w:iCs/>
          <w:color w:val="212121"/>
          <w:sz w:val="22"/>
          <w:szCs w:val="22"/>
          <w:lang w:val="fr-CA"/>
        </w:rPr>
        <w:t>Étude sur la détresse psychologique des travailleurs de la santé atteints de la COVID-19 au Québec durant la deuxième vague pandémique; Rapport de recherche; Institut national de santé publique du Québec</w:t>
      </w:r>
      <w:r w:rsidRPr="00EA5B78">
        <w:rPr>
          <w:rFonts w:ascii="Calibri" w:eastAsia="Calibri" w:hAnsi="Calibri" w:cs="Calibri"/>
          <w:color w:val="212121"/>
          <w:sz w:val="22"/>
          <w:szCs w:val="22"/>
          <w:lang w:val="fr-CA"/>
        </w:rPr>
        <w:t xml:space="preserve">. </w:t>
      </w:r>
      <w:hyperlink r:id="rId37" w:history="1">
        <w:r w:rsidRPr="00F34151">
          <w:rPr>
            <w:rStyle w:val="Lienhypertexte"/>
            <w:rFonts w:ascii="Calibri" w:eastAsia="Calibri" w:hAnsi="Calibri" w:cs="Calibri"/>
            <w:sz w:val="22"/>
            <w:szCs w:val="22"/>
          </w:rPr>
          <w:t>https://www.inspq.qc.ca/publications/3135-detresse-psychologique-travailleurs-sante-atteints-covid19.</w:t>
        </w:r>
      </w:hyperlink>
    </w:p>
    <w:p w14:paraId="387ED337" w14:textId="77777777" w:rsidR="0097051A" w:rsidRPr="00EA5B78" w:rsidRDefault="0097051A" w:rsidP="00F34151">
      <w:pPr>
        <w:spacing w:after="0" w:line="240" w:lineRule="auto"/>
        <w:ind w:left="567" w:hanging="567"/>
        <w:jc w:val="both"/>
        <w:rPr>
          <w:rFonts w:ascii="Calibri" w:hAnsi="Calibri" w:cs="Calibri"/>
          <w:sz w:val="22"/>
          <w:szCs w:val="22"/>
          <w:lang w:val="fr-CA"/>
        </w:rPr>
      </w:pPr>
      <w:r w:rsidRPr="00EA5B78">
        <w:rPr>
          <w:rFonts w:ascii="Calibri" w:hAnsi="Calibri" w:cs="Calibri"/>
          <w:sz w:val="22"/>
          <w:szCs w:val="22"/>
          <w:lang w:val="fr-CA"/>
        </w:rPr>
        <w:t xml:space="preserve">Perez-Roux, T., Martin, A. &amp; Perez, M.-O. (2023). Transitions institutionnelles, tensions identitaires et rapport au travail chez les formateurs en travail social. </w:t>
      </w:r>
      <w:r w:rsidRPr="00EA5B78">
        <w:rPr>
          <w:rFonts w:ascii="Calibri" w:hAnsi="Calibri" w:cs="Calibri"/>
          <w:i/>
          <w:iCs/>
          <w:sz w:val="22"/>
          <w:szCs w:val="22"/>
          <w:lang w:val="fr-CA"/>
        </w:rPr>
        <w:t>Phronesis</w:t>
      </w:r>
      <w:r w:rsidRPr="00EA5B78">
        <w:rPr>
          <w:rFonts w:ascii="Calibri" w:hAnsi="Calibri" w:cs="Calibri"/>
          <w:sz w:val="22"/>
          <w:szCs w:val="22"/>
          <w:lang w:val="fr-CA"/>
        </w:rPr>
        <w:t xml:space="preserve">, </w:t>
      </w:r>
      <w:r w:rsidRPr="00EA5B78">
        <w:rPr>
          <w:rFonts w:ascii="Calibri" w:hAnsi="Calibri" w:cs="Calibri"/>
          <w:i/>
          <w:iCs/>
          <w:sz w:val="22"/>
          <w:szCs w:val="22"/>
          <w:lang w:val="fr-CA"/>
        </w:rPr>
        <w:t>12</w:t>
      </w:r>
      <w:r w:rsidRPr="00EA5B78">
        <w:rPr>
          <w:rFonts w:ascii="Calibri" w:hAnsi="Calibri" w:cs="Calibri"/>
          <w:sz w:val="22"/>
          <w:szCs w:val="22"/>
          <w:lang w:val="fr-CA"/>
        </w:rPr>
        <w:t xml:space="preserve">(1), 45-63. </w:t>
      </w:r>
      <w:hyperlink r:id="rId38" w:history="1">
        <w:r w:rsidRPr="00EA5B78">
          <w:rPr>
            <w:rStyle w:val="Lienhypertexte"/>
            <w:rFonts w:ascii="Calibri" w:hAnsi="Calibri" w:cs="Calibri"/>
            <w:sz w:val="22"/>
            <w:szCs w:val="22"/>
            <w:lang w:val="fr-CA"/>
          </w:rPr>
          <w:t>https://doi.org/10.7202/1095148ar</w:t>
        </w:r>
      </w:hyperlink>
      <w:r w:rsidRPr="00EA5B78">
        <w:rPr>
          <w:rFonts w:ascii="Calibri" w:hAnsi="Calibri" w:cs="Calibri"/>
          <w:sz w:val="22"/>
          <w:szCs w:val="22"/>
          <w:lang w:val="fr-CA"/>
        </w:rPr>
        <w:t xml:space="preserve"> </w:t>
      </w:r>
    </w:p>
    <w:p w14:paraId="7479A9E9" w14:textId="77777777" w:rsidR="0097051A" w:rsidRPr="00F34151" w:rsidRDefault="0097051A" w:rsidP="00F34151">
      <w:pPr>
        <w:spacing w:after="0" w:line="240" w:lineRule="auto"/>
        <w:ind w:left="567" w:hanging="567"/>
        <w:jc w:val="both"/>
        <w:rPr>
          <w:rFonts w:ascii="Calibri" w:hAnsi="Calibri" w:cs="Calibri"/>
          <w:sz w:val="22"/>
          <w:szCs w:val="22"/>
        </w:rPr>
      </w:pPr>
      <w:r w:rsidRPr="00EA5B78">
        <w:rPr>
          <w:rFonts w:ascii="Calibri" w:hAnsi="Calibri" w:cs="Calibri"/>
          <w:sz w:val="22"/>
          <w:szCs w:val="22"/>
          <w:lang w:val="fr-CA"/>
        </w:rPr>
        <w:t xml:space="preserve">Plaza, D. (2007). Migration caribéenne et intégration au Canada : à la poursuite du rêve d’ascension sociale (1900-1998). Dans Centre de recherche Géographie, Développement, Environnement de la Caraïbe, </w:t>
      </w:r>
      <w:r w:rsidRPr="00EA5B78">
        <w:rPr>
          <w:rFonts w:ascii="Calibri" w:hAnsi="Calibri" w:cs="Calibri"/>
          <w:i/>
          <w:iCs/>
          <w:sz w:val="22"/>
          <w:szCs w:val="22"/>
          <w:lang w:val="fr-CA"/>
        </w:rPr>
        <w:t>Dynamiques migratoires de la Caraïbe</w:t>
      </w:r>
      <w:r w:rsidRPr="00EA5B78">
        <w:rPr>
          <w:rFonts w:ascii="Calibri" w:hAnsi="Calibri" w:cs="Calibri"/>
          <w:sz w:val="22"/>
          <w:szCs w:val="22"/>
          <w:lang w:val="fr-CA"/>
        </w:rPr>
        <w:t xml:space="preserve"> (p. 141-158). </w:t>
      </w:r>
      <w:r w:rsidRPr="00F34151">
        <w:rPr>
          <w:rFonts w:ascii="Calibri" w:hAnsi="Calibri" w:cs="Calibri"/>
          <w:sz w:val="22"/>
          <w:szCs w:val="22"/>
        </w:rPr>
        <w:t>Karthala.</w:t>
      </w:r>
    </w:p>
    <w:p w14:paraId="7A78540A" w14:textId="77777777" w:rsidR="0097051A" w:rsidRPr="00F34151" w:rsidRDefault="0097051A" w:rsidP="00F34151">
      <w:pPr>
        <w:pStyle w:val="EndNoteBibliography"/>
        <w:spacing w:after="0"/>
        <w:ind w:left="567" w:hanging="567"/>
        <w:jc w:val="both"/>
        <w:rPr>
          <w:rFonts w:eastAsia="Calibri"/>
          <w:noProof w:val="0"/>
          <w:color w:val="212121"/>
          <w:lang w:val="en-CA"/>
        </w:rPr>
      </w:pPr>
      <w:proofErr w:type="spellStart"/>
      <w:r w:rsidRPr="00F34151">
        <w:rPr>
          <w:rFonts w:eastAsia="Calibri"/>
          <w:noProof w:val="0"/>
          <w:color w:val="212121"/>
          <w:lang w:val="en-CA"/>
        </w:rPr>
        <w:t>Rugulies</w:t>
      </w:r>
      <w:proofErr w:type="spellEnd"/>
      <w:r w:rsidRPr="00F34151">
        <w:rPr>
          <w:rFonts w:eastAsia="Calibri"/>
          <w:noProof w:val="0"/>
          <w:color w:val="212121"/>
          <w:lang w:val="en-CA"/>
        </w:rPr>
        <w:t xml:space="preserve">, R., Aust, B., &amp; Madsen, I. E. (2017). Effort–reward imbalance at work and risk of depressive disorders. A systematic review and meta-analysis of prospective cohort studies. </w:t>
      </w:r>
      <w:r w:rsidRPr="00F34151">
        <w:rPr>
          <w:rFonts w:eastAsia="Calibri"/>
          <w:i/>
          <w:iCs/>
          <w:noProof w:val="0"/>
          <w:color w:val="212121"/>
          <w:lang w:val="en-CA"/>
        </w:rPr>
        <w:t>Scandinavian Journal of Work, Environment &amp; Health</w:t>
      </w:r>
      <w:r w:rsidRPr="00F34151">
        <w:rPr>
          <w:rFonts w:eastAsia="Calibri"/>
          <w:noProof w:val="0"/>
          <w:color w:val="212121"/>
          <w:lang w:val="en-CA"/>
        </w:rPr>
        <w:t xml:space="preserve">, </w:t>
      </w:r>
      <w:r w:rsidRPr="00F34151">
        <w:rPr>
          <w:rFonts w:eastAsia="Calibri"/>
          <w:i/>
          <w:iCs/>
          <w:noProof w:val="0"/>
          <w:color w:val="212121"/>
          <w:lang w:val="en-CA"/>
        </w:rPr>
        <w:t>43</w:t>
      </w:r>
      <w:r w:rsidRPr="00F34151">
        <w:rPr>
          <w:rFonts w:eastAsia="Calibri"/>
          <w:noProof w:val="0"/>
          <w:color w:val="212121"/>
          <w:lang w:val="en-CA"/>
        </w:rPr>
        <w:t xml:space="preserve">(4), 294–306. </w:t>
      </w:r>
      <w:hyperlink r:id="rId39" w:history="1">
        <w:r w:rsidRPr="00F34151">
          <w:rPr>
            <w:rStyle w:val="Lienhypertexte"/>
            <w:rFonts w:eastAsia="Calibri"/>
            <w:noProof w:val="0"/>
            <w:lang w:val="en-CA"/>
          </w:rPr>
          <w:t>https://doi.org/10.5271/sjweh.3632</w:t>
        </w:r>
      </w:hyperlink>
    </w:p>
    <w:p w14:paraId="753D0255" w14:textId="77777777" w:rsidR="0097051A" w:rsidRPr="00F34151" w:rsidRDefault="0097051A" w:rsidP="00F34151">
      <w:pPr>
        <w:spacing w:after="0" w:line="240" w:lineRule="auto"/>
        <w:ind w:left="567" w:hanging="567"/>
        <w:jc w:val="both"/>
        <w:rPr>
          <w:rFonts w:ascii="Calibri" w:hAnsi="Calibri" w:cs="Calibri"/>
          <w:sz w:val="22"/>
          <w:szCs w:val="22"/>
        </w:rPr>
      </w:pPr>
      <w:r w:rsidRPr="00F34151">
        <w:rPr>
          <w:rFonts w:ascii="Calibri" w:hAnsi="Calibri" w:cs="Calibri"/>
          <w:sz w:val="22"/>
          <w:szCs w:val="22"/>
        </w:rPr>
        <w:t xml:space="preserve">Savickas, M. L., Nota, L., Rossier, J., </w:t>
      </w:r>
      <w:proofErr w:type="spellStart"/>
      <w:r w:rsidRPr="00F34151">
        <w:rPr>
          <w:rFonts w:ascii="Calibri" w:hAnsi="Calibri" w:cs="Calibri"/>
          <w:sz w:val="22"/>
          <w:szCs w:val="22"/>
        </w:rPr>
        <w:t>Dauwalder</w:t>
      </w:r>
      <w:proofErr w:type="spellEnd"/>
      <w:r w:rsidRPr="00F34151">
        <w:rPr>
          <w:rFonts w:ascii="Calibri" w:hAnsi="Calibri" w:cs="Calibri"/>
          <w:sz w:val="22"/>
          <w:szCs w:val="22"/>
        </w:rPr>
        <w:t xml:space="preserve">, J.-P., Duarte, M. E., Guichard, J., </w:t>
      </w:r>
      <w:proofErr w:type="spellStart"/>
      <w:r w:rsidRPr="00F34151">
        <w:rPr>
          <w:rFonts w:ascii="Calibri" w:hAnsi="Calibri" w:cs="Calibri"/>
          <w:sz w:val="22"/>
          <w:szCs w:val="22"/>
        </w:rPr>
        <w:t>Soresi</w:t>
      </w:r>
      <w:proofErr w:type="spellEnd"/>
      <w:r w:rsidRPr="00F34151">
        <w:rPr>
          <w:rFonts w:ascii="Calibri" w:hAnsi="Calibri" w:cs="Calibri"/>
          <w:sz w:val="22"/>
          <w:szCs w:val="22"/>
        </w:rPr>
        <w:t xml:space="preserve">, S., Van Esbroeck, R., &amp; Van Vianen, A. E. M. (2009). Life designing: A paradigm for career construction in the 21st century. </w:t>
      </w:r>
      <w:r w:rsidRPr="00F34151">
        <w:rPr>
          <w:rFonts w:ascii="Calibri" w:hAnsi="Calibri" w:cs="Calibri"/>
          <w:i/>
          <w:iCs/>
          <w:sz w:val="22"/>
          <w:szCs w:val="22"/>
        </w:rPr>
        <w:t>Journal of Vocational Behavior</w:t>
      </w:r>
      <w:r w:rsidRPr="00F34151">
        <w:rPr>
          <w:rFonts w:ascii="Calibri" w:hAnsi="Calibri" w:cs="Calibri"/>
          <w:sz w:val="22"/>
          <w:szCs w:val="22"/>
        </w:rPr>
        <w:t xml:space="preserve">, </w:t>
      </w:r>
      <w:r w:rsidRPr="00F34151">
        <w:rPr>
          <w:rFonts w:ascii="Calibri" w:hAnsi="Calibri" w:cs="Calibri"/>
          <w:i/>
          <w:iCs/>
          <w:sz w:val="22"/>
          <w:szCs w:val="22"/>
        </w:rPr>
        <w:t>75</w:t>
      </w:r>
      <w:r w:rsidRPr="00F34151">
        <w:rPr>
          <w:rFonts w:ascii="Calibri" w:hAnsi="Calibri" w:cs="Calibri"/>
          <w:sz w:val="22"/>
          <w:szCs w:val="22"/>
        </w:rPr>
        <w:t xml:space="preserve">(3), 239-250. </w:t>
      </w:r>
      <w:hyperlink r:id="rId40" w:history="1">
        <w:r w:rsidRPr="00F34151">
          <w:rPr>
            <w:rStyle w:val="Lienhypertexte"/>
            <w:rFonts w:ascii="Calibri" w:hAnsi="Calibri" w:cs="Calibri"/>
            <w:sz w:val="22"/>
            <w:szCs w:val="22"/>
          </w:rPr>
          <w:t>https://doi.org/10.1016/j.jvb.2009.04.004</w:t>
        </w:r>
      </w:hyperlink>
      <w:r w:rsidRPr="00F34151">
        <w:rPr>
          <w:rFonts w:ascii="Calibri" w:hAnsi="Calibri" w:cs="Calibri"/>
          <w:sz w:val="22"/>
          <w:szCs w:val="22"/>
        </w:rPr>
        <w:t xml:space="preserve"> </w:t>
      </w:r>
    </w:p>
    <w:p w14:paraId="408F7D13" w14:textId="77777777" w:rsidR="0097051A" w:rsidRPr="00EA5B78" w:rsidRDefault="0097051A" w:rsidP="00F34151">
      <w:pPr>
        <w:spacing w:after="0" w:line="240" w:lineRule="auto"/>
        <w:ind w:left="567" w:hanging="567"/>
        <w:jc w:val="both"/>
        <w:rPr>
          <w:rFonts w:ascii="Calibri" w:eastAsia="Calibri" w:hAnsi="Calibri" w:cs="Calibri"/>
          <w:color w:val="212121"/>
          <w:sz w:val="22"/>
          <w:szCs w:val="22"/>
          <w:lang w:val="fr-CA"/>
        </w:rPr>
      </w:pPr>
      <w:r w:rsidRPr="00F34151">
        <w:rPr>
          <w:rFonts w:ascii="Calibri" w:eastAsia="Calibri" w:hAnsi="Calibri" w:cs="Calibri"/>
          <w:color w:val="212121"/>
          <w:sz w:val="22"/>
          <w:szCs w:val="22"/>
        </w:rPr>
        <w:t xml:space="preserve">St-Arnaud, L., &amp; Pelletier, M. (2013). </w:t>
      </w:r>
      <w:r w:rsidRPr="00EA5B78">
        <w:rPr>
          <w:rFonts w:ascii="Calibri" w:eastAsia="Calibri" w:hAnsi="Calibri" w:cs="Calibri"/>
          <w:i/>
          <w:iCs/>
          <w:color w:val="212121"/>
          <w:sz w:val="22"/>
          <w:szCs w:val="22"/>
          <w:lang w:val="fr-CA"/>
        </w:rPr>
        <w:t>Guide soutenir le retour au travail et favoriser le maintien en emploi—Faciliter le retour au travail d’un employé à la suite d’une absence liée à un problème de santé psychologique</w:t>
      </w:r>
      <w:r w:rsidRPr="00EA5B78">
        <w:rPr>
          <w:rFonts w:ascii="Calibri" w:eastAsia="Calibri" w:hAnsi="Calibri" w:cs="Calibri"/>
          <w:color w:val="212121"/>
          <w:sz w:val="22"/>
          <w:szCs w:val="22"/>
          <w:lang w:val="fr-CA"/>
        </w:rPr>
        <w:t>. Institut de recherche Robert-</w:t>
      </w:r>
      <w:proofErr w:type="spellStart"/>
      <w:r w:rsidRPr="00EA5B78">
        <w:rPr>
          <w:rFonts w:ascii="Calibri" w:eastAsia="Calibri" w:hAnsi="Calibri" w:cs="Calibri"/>
          <w:color w:val="212121"/>
          <w:sz w:val="22"/>
          <w:szCs w:val="22"/>
          <w:lang w:val="fr-CA"/>
        </w:rPr>
        <w:t>Sauvéen</w:t>
      </w:r>
      <w:proofErr w:type="spellEnd"/>
      <w:r w:rsidRPr="00EA5B78">
        <w:rPr>
          <w:rFonts w:ascii="Calibri" w:eastAsia="Calibri" w:hAnsi="Calibri" w:cs="Calibri"/>
          <w:color w:val="212121"/>
          <w:sz w:val="22"/>
          <w:szCs w:val="22"/>
          <w:lang w:val="fr-CA"/>
        </w:rPr>
        <w:t xml:space="preserve"> </w:t>
      </w:r>
      <w:proofErr w:type="spellStart"/>
      <w:r w:rsidRPr="00EA5B78">
        <w:rPr>
          <w:rFonts w:ascii="Calibri" w:eastAsia="Calibri" w:hAnsi="Calibri" w:cs="Calibri"/>
          <w:color w:val="212121"/>
          <w:sz w:val="22"/>
          <w:szCs w:val="22"/>
          <w:lang w:val="fr-CA"/>
        </w:rPr>
        <w:t>santéetsécurité</w:t>
      </w:r>
      <w:proofErr w:type="spellEnd"/>
      <w:r w:rsidRPr="00EA5B78">
        <w:rPr>
          <w:rFonts w:ascii="Calibri" w:eastAsia="Calibri" w:hAnsi="Calibri" w:cs="Calibri"/>
          <w:color w:val="212121"/>
          <w:sz w:val="22"/>
          <w:szCs w:val="22"/>
          <w:lang w:val="fr-CA"/>
        </w:rPr>
        <w:t xml:space="preserve"> du travail. </w:t>
      </w:r>
      <w:hyperlink r:id="rId41" w:history="1">
        <w:r w:rsidRPr="00EA5B78">
          <w:rPr>
            <w:rStyle w:val="Lienhypertexte"/>
            <w:rFonts w:ascii="Calibri" w:eastAsia="Calibri" w:hAnsi="Calibri" w:cs="Calibri"/>
            <w:sz w:val="22"/>
            <w:szCs w:val="22"/>
            <w:lang w:val="fr-CA"/>
          </w:rPr>
          <w:t>https://www.irsst.qc.ca/publications-et-outils/publication/i/100715/n/guide-soutenir-le-retour-au-travail-et-favoriser-le-maintien-en-emploi-liee-a-un-probleme-de-sante-psychologique-rg-758</w:t>
        </w:r>
      </w:hyperlink>
    </w:p>
    <w:p w14:paraId="5ECB150D" w14:textId="77777777" w:rsidR="00B74D89" w:rsidRPr="00F34151" w:rsidRDefault="0097051A" w:rsidP="00F34151">
      <w:pPr>
        <w:spacing w:after="0" w:line="240" w:lineRule="auto"/>
        <w:ind w:left="567" w:hanging="567"/>
        <w:jc w:val="both"/>
        <w:rPr>
          <w:rFonts w:ascii="Calibri" w:eastAsia="Calibri" w:hAnsi="Calibri" w:cs="Calibri"/>
          <w:bCs/>
          <w:sz w:val="22"/>
          <w:szCs w:val="22"/>
        </w:rPr>
      </w:pPr>
      <w:r w:rsidRPr="00F34151">
        <w:rPr>
          <w:rFonts w:ascii="Calibri" w:eastAsia="Calibri" w:hAnsi="Calibri" w:cs="Calibri"/>
          <w:bCs/>
          <w:sz w:val="22"/>
          <w:szCs w:val="22"/>
        </w:rPr>
        <w:t>Sullivan, S. E., &amp; Al Ariss, A. (2021). Making sense of different perspectives on career transitions: A review and agenda for future research. </w:t>
      </w:r>
      <w:r w:rsidRPr="00F34151">
        <w:rPr>
          <w:rFonts w:ascii="Calibri" w:eastAsia="Calibri" w:hAnsi="Calibri" w:cs="Calibri"/>
          <w:bCs/>
          <w:i/>
          <w:iCs/>
          <w:sz w:val="22"/>
          <w:szCs w:val="22"/>
        </w:rPr>
        <w:t>Human Resource Management Review</w:t>
      </w:r>
      <w:r w:rsidRPr="00F34151">
        <w:rPr>
          <w:rFonts w:ascii="Calibri" w:eastAsia="Calibri" w:hAnsi="Calibri" w:cs="Calibri"/>
          <w:bCs/>
          <w:sz w:val="22"/>
          <w:szCs w:val="22"/>
        </w:rPr>
        <w:t>, </w:t>
      </w:r>
      <w:r w:rsidRPr="00F34151">
        <w:rPr>
          <w:rFonts w:ascii="Calibri" w:eastAsia="Calibri" w:hAnsi="Calibri" w:cs="Calibri"/>
          <w:bCs/>
          <w:i/>
          <w:iCs/>
          <w:sz w:val="22"/>
          <w:szCs w:val="22"/>
        </w:rPr>
        <w:t>31</w:t>
      </w:r>
      <w:r w:rsidRPr="00F34151">
        <w:rPr>
          <w:rFonts w:ascii="Calibri" w:eastAsia="Calibri" w:hAnsi="Calibri" w:cs="Calibri"/>
          <w:bCs/>
          <w:sz w:val="22"/>
          <w:szCs w:val="22"/>
        </w:rPr>
        <w:t xml:space="preserve">(1). </w:t>
      </w:r>
      <w:hyperlink r:id="rId42" w:history="1">
        <w:r w:rsidRPr="00F34151">
          <w:rPr>
            <w:rStyle w:val="Lienhypertexte"/>
            <w:rFonts w:ascii="Calibri" w:eastAsia="Calibri" w:hAnsi="Calibri" w:cs="Calibri"/>
            <w:bCs/>
            <w:sz w:val="22"/>
            <w:szCs w:val="22"/>
          </w:rPr>
          <w:t>https://doi.org/10.1016/j.hrmr.2019.100727</w:t>
        </w:r>
      </w:hyperlink>
    </w:p>
    <w:p w14:paraId="2912847D" w14:textId="67D483A4" w:rsidR="0097051A" w:rsidRPr="00EA5B78" w:rsidRDefault="0097051A" w:rsidP="00F34151">
      <w:pPr>
        <w:spacing w:after="0" w:line="240" w:lineRule="auto"/>
        <w:ind w:left="567" w:hanging="567"/>
        <w:jc w:val="both"/>
        <w:rPr>
          <w:rFonts w:ascii="Calibri" w:eastAsia="Calibri" w:hAnsi="Calibri" w:cs="Calibri"/>
          <w:bCs/>
          <w:sz w:val="22"/>
          <w:szCs w:val="22"/>
          <w:lang w:val="fr-CA"/>
        </w:rPr>
      </w:pPr>
      <w:r w:rsidRPr="00F34151">
        <w:rPr>
          <w:rFonts w:ascii="Calibri" w:hAnsi="Calibri" w:cs="Calibri"/>
          <w:sz w:val="22"/>
          <w:szCs w:val="22"/>
        </w:rPr>
        <w:t xml:space="preserve">Supeno, E. (2016). </w:t>
      </w:r>
      <w:r w:rsidRPr="00EA5B78">
        <w:rPr>
          <w:rFonts w:ascii="Calibri" w:hAnsi="Calibri" w:cs="Calibri"/>
          <w:sz w:val="22"/>
          <w:szCs w:val="22"/>
          <w:lang w:val="fr-CA"/>
        </w:rPr>
        <w:t xml:space="preserve">Bifurcations chez les jeunes adultes non diplômés et des cégépiens : Informations, horizon et sources. </w:t>
      </w:r>
      <w:r w:rsidRPr="00EA5B78">
        <w:rPr>
          <w:rFonts w:ascii="Calibri" w:hAnsi="Calibri" w:cs="Calibri"/>
          <w:i/>
          <w:iCs/>
          <w:sz w:val="22"/>
          <w:szCs w:val="22"/>
          <w:lang w:val="fr-CA"/>
        </w:rPr>
        <w:t>Bulletin d’information de l’Observatoire Jeunes et société</w:t>
      </w:r>
      <w:r w:rsidRPr="00EA5B78">
        <w:rPr>
          <w:rFonts w:ascii="Calibri" w:hAnsi="Calibri" w:cs="Calibri"/>
          <w:sz w:val="22"/>
          <w:szCs w:val="22"/>
          <w:lang w:val="fr-CA"/>
        </w:rPr>
        <w:t xml:space="preserve">, </w:t>
      </w:r>
      <w:r w:rsidRPr="00EA5B78">
        <w:rPr>
          <w:rFonts w:ascii="Calibri" w:hAnsi="Calibri" w:cs="Calibri"/>
          <w:i/>
          <w:iCs/>
          <w:sz w:val="22"/>
          <w:szCs w:val="22"/>
          <w:lang w:val="fr-CA"/>
        </w:rPr>
        <w:t>13</w:t>
      </w:r>
      <w:r w:rsidRPr="00EA5B78">
        <w:rPr>
          <w:rFonts w:ascii="Calibri" w:hAnsi="Calibri" w:cs="Calibri"/>
          <w:sz w:val="22"/>
          <w:szCs w:val="22"/>
          <w:lang w:val="fr-CA"/>
        </w:rPr>
        <w:t>(2), 7–8.</w:t>
      </w:r>
    </w:p>
    <w:p w14:paraId="4671711F" w14:textId="77777777" w:rsidR="0097051A" w:rsidRPr="00EA5B78" w:rsidRDefault="0097051A" w:rsidP="00F34151">
      <w:pPr>
        <w:autoSpaceDE w:val="0"/>
        <w:autoSpaceDN w:val="0"/>
        <w:adjustRightInd w:val="0"/>
        <w:spacing w:after="0" w:line="240" w:lineRule="auto"/>
        <w:ind w:left="567" w:hanging="567"/>
        <w:jc w:val="both"/>
        <w:rPr>
          <w:rFonts w:ascii="Calibri" w:hAnsi="Calibri" w:cs="Calibri"/>
          <w:color w:val="000000"/>
          <w:sz w:val="22"/>
          <w:szCs w:val="22"/>
          <w:lang w:val="fr-CA"/>
        </w:rPr>
      </w:pPr>
      <w:r w:rsidRPr="00EA5B78">
        <w:rPr>
          <w:rFonts w:ascii="Calibri" w:hAnsi="Calibri" w:cs="Calibri"/>
          <w:color w:val="000000"/>
          <w:sz w:val="22"/>
          <w:szCs w:val="22"/>
          <w:lang w:val="fr-CA"/>
        </w:rPr>
        <w:t xml:space="preserve">Supeno, E., &amp; Bourdon S. (2017). Temps longs et temps courts dans les parcours de jeunes adultes en situation de précarité. </w:t>
      </w:r>
      <w:r w:rsidRPr="00EA5B78">
        <w:rPr>
          <w:rFonts w:ascii="Calibri" w:hAnsi="Calibri" w:cs="Calibri"/>
          <w:i/>
          <w:color w:val="000000"/>
          <w:sz w:val="22"/>
          <w:szCs w:val="22"/>
          <w:lang w:val="fr-CA"/>
        </w:rPr>
        <w:t xml:space="preserve">Sociétés et Jeunesses en difficulté </w:t>
      </w:r>
      <w:r w:rsidRPr="00EA5B78">
        <w:rPr>
          <w:rFonts w:ascii="Calibri" w:hAnsi="Calibri" w:cs="Calibri"/>
          <w:color w:val="000000"/>
          <w:sz w:val="22"/>
          <w:szCs w:val="22"/>
          <w:lang w:val="fr-CA"/>
        </w:rPr>
        <w:t xml:space="preserve">[en ligne], </w:t>
      </w:r>
      <w:r w:rsidRPr="00EA5B78">
        <w:rPr>
          <w:rFonts w:ascii="Calibri" w:hAnsi="Calibri" w:cs="Calibri"/>
          <w:i/>
          <w:color w:val="000000"/>
          <w:sz w:val="22"/>
          <w:szCs w:val="22"/>
          <w:lang w:val="fr-CA"/>
        </w:rPr>
        <w:t>19</w:t>
      </w:r>
      <w:r w:rsidRPr="00EA5B78">
        <w:rPr>
          <w:rFonts w:ascii="Calibri" w:hAnsi="Calibri" w:cs="Calibri"/>
          <w:color w:val="000000"/>
          <w:sz w:val="22"/>
          <w:szCs w:val="22"/>
          <w:lang w:val="fr-CA"/>
        </w:rPr>
        <w:t>.</w:t>
      </w:r>
    </w:p>
    <w:p w14:paraId="090D9792" w14:textId="77777777" w:rsidR="0097051A" w:rsidRPr="00EA5B78" w:rsidRDefault="0097051A" w:rsidP="00F34151">
      <w:pPr>
        <w:autoSpaceDE w:val="0"/>
        <w:autoSpaceDN w:val="0"/>
        <w:adjustRightInd w:val="0"/>
        <w:spacing w:after="0" w:line="240" w:lineRule="auto"/>
        <w:ind w:left="567" w:hanging="567"/>
        <w:jc w:val="both"/>
        <w:rPr>
          <w:rFonts w:ascii="Calibri" w:hAnsi="Calibri" w:cs="Calibri"/>
          <w:color w:val="000000"/>
          <w:sz w:val="22"/>
          <w:szCs w:val="22"/>
          <w:lang w:val="fr-CA"/>
        </w:rPr>
      </w:pPr>
      <w:r w:rsidRPr="00EA5B78">
        <w:rPr>
          <w:rFonts w:ascii="Calibri" w:hAnsi="Calibri" w:cs="Calibri"/>
          <w:color w:val="000000"/>
          <w:sz w:val="22"/>
          <w:szCs w:val="22"/>
          <w:lang w:val="fr-CA"/>
        </w:rPr>
        <w:t xml:space="preserve">Supeno, E., &amp; Bourdon, S. (2013). Bifurcations, temporalités et contamination des sphères de vie. </w:t>
      </w:r>
      <w:r w:rsidRPr="00EA5B78">
        <w:rPr>
          <w:rFonts w:ascii="Calibri" w:hAnsi="Calibri" w:cs="Calibri"/>
          <w:i/>
          <w:color w:val="000000"/>
          <w:sz w:val="22"/>
          <w:szCs w:val="22"/>
          <w:lang w:val="fr-CA"/>
        </w:rPr>
        <w:t>Agora Débats Jeunesses, 65</w:t>
      </w:r>
      <w:r w:rsidRPr="00EA5B78">
        <w:rPr>
          <w:rFonts w:ascii="Calibri" w:hAnsi="Calibri" w:cs="Calibri"/>
          <w:color w:val="000000"/>
          <w:sz w:val="22"/>
          <w:szCs w:val="22"/>
          <w:lang w:val="fr-CA"/>
        </w:rPr>
        <w:t>(3), 109-123.</w:t>
      </w:r>
    </w:p>
    <w:p w14:paraId="697C5F54" w14:textId="6B094A30" w:rsidR="0097051A" w:rsidRPr="00EA5B78" w:rsidRDefault="0097051A" w:rsidP="00F34151">
      <w:pPr>
        <w:pStyle w:val="Corpsdutexte"/>
        <w:spacing w:line="240" w:lineRule="auto"/>
        <w:ind w:left="567" w:hanging="567"/>
        <w:rPr>
          <w:rFonts w:ascii="Calibri" w:hAnsi="Calibri" w:cs="Calibri"/>
          <w:sz w:val="22"/>
          <w:szCs w:val="22"/>
          <w:lang w:eastAsia="fr-CA"/>
        </w:rPr>
      </w:pPr>
      <w:bookmarkStart w:id="1" w:name="_Hlk210250219"/>
      <w:r w:rsidRPr="00EA5B78">
        <w:rPr>
          <w:rFonts w:ascii="Calibri" w:hAnsi="Calibri" w:cs="Calibri"/>
          <w:sz w:val="22"/>
          <w:szCs w:val="22"/>
          <w:lang w:eastAsia="fr-CA"/>
        </w:rPr>
        <w:t xml:space="preserve">Supeno, E., Dionne, P., Chabot, J., &amp; Sow, M.M. (2026). </w:t>
      </w:r>
      <w:r w:rsidRPr="00EA5B78">
        <w:rPr>
          <w:rFonts w:ascii="Calibri" w:hAnsi="Calibri" w:cs="Calibri"/>
          <w:i/>
          <w:color w:val="auto"/>
          <w:sz w:val="22"/>
          <w:szCs w:val="22"/>
          <w:lang w:eastAsia="fr-CA"/>
        </w:rPr>
        <w:t>Suivi de l’accompagnement, l’insertion et le maintien en emploi des personnes participantes au projet « Ensemble, visons l’emploi ! ».</w:t>
      </w:r>
      <w:r w:rsidRPr="00EA5B78">
        <w:rPr>
          <w:rFonts w:ascii="Calibri" w:hAnsi="Calibri" w:cs="Calibri"/>
          <w:color w:val="auto"/>
          <w:sz w:val="22"/>
          <w:szCs w:val="22"/>
          <w:lang w:eastAsia="fr-CA"/>
        </w:rPr>
        <w:t xml:space="preserve"> </w:t>
      </w:r>
      <w:r w:rsidRPr="00EA5B78">
        <w:rPr>
          <w:rFonts w:ascii="Calibri" w:hAnsi="Calibri" w:cs="Calibri"/>
          <w:sz w:val="22"/>
          <w:szCs w:val="22"/>
          <w:lang w:eastAsia="fr-CA"/>
        </w:rPr>
        <w:t>[</w:t>
      </w:r>
      <w:r w:rsidR="00B74D89" w:rsidRPr="00EA5B78">
        <w:rPr>
          <w:rFonts w:ascii="Calibri" w:hAnsi="Calibri" w:cs="Calibri"/>
          <w:sz w:val="22"/>
          <w:szCs w:val="22"/>
          <w:lang w:eastAsia="fr-CA"/>
        </w:rPr>
        <w:t>Rapport</w:t>
      </w:r>
      <w:r w:rsidRPr="00EA5B78">
        <w:rPr>
          <w:rFonts w:ascii="Calibri" w:hAnsi="Calibri" w:cs="Calibri"/>
          <w:sz w:val="22"/>
          <w:szCs w:val="22"/>
          <w:lang w:eastAsia="fr-CA"/>
        </w:rPr>
        <w:t xml:space="preserve"> de recherche adressé à Services Québec]. Centre d’études et de recherches sur les transitions et l’apprentissage (CERTA).</w:t>
      </w:r>
      <w:bookmarkEnd w:id="1"/>
    </w:p>
    <w:p w14:paraId="6362088F" w14:textId="77777777" w:rsidR="0097051A" w:rsidRPr="00F34151" w:rsidRDefault="0097051A" w:rsidP="00F34151">
      <w:pPr>
        <w:autoSpaceDE w:val="0"/>
        <w:autoSpaceDN w:val="0"/>
        <w:adjustRightInd w:val="0"/>
        <w:spacing w:after="0" w:line="240" w:lineRule="auto"/>
        <w:ind w:left="567" w:hanging="567"/>
        <w:jc w:val="both"/>
        <w:rPr>
          <w:rFonts w:ascii="Calibri" w:hAnsi="Calibri" w:cs="Calibri"/>
          <w:color w:val="000000"/>
          <w:sz w:val="22"/>
          <w:szCs w:val="22"/>
        </w:rPr>
      </w:pPr>
      <w:r w:rsidRPr="00F34151">
        <w:rPr>
          <w:rFonts w:ascii="Calibri" w:hAnsi="Calibri" w:cs="Calibri"/>
          <w:color w:val="000000"/>
          <w:sz w:val="22"/>
          <w:szCs w:val="22"/>
        </w:rPr>
        <w:lastRenderedPageBreak/>
        <w:t xml:space="preserve">Thern E., Matilla-Santander N., Hernando-Rodriguez, J. C., </w:t>
      </w:r>
      <w:proofErr w:type="spellStart"/>
      <w:r w:rsidRPr="00F34151">
        <w:rPr>
          <w:rFonts w:ascii="Calibri" w:hAnsi="Calibri" w:cs="Calibri"/>
          <w:color w:val="000000"/>
          <w:sz w:val="22"/>
          <w:szCs w:val="22"/>
        </w:rPr>
        <w:t>Almroth</w:t>
      </w:r>
      <w:proofErr w:type="spellEnd"/>
      <w:r w:rsidRPr="00F34151">
        <w:rPr>
          <w:rFonts w:ascii="Calibri" w:hAnsi="Calibri" w:cs="Calibri"/>
          <w:color w:val="000000"/>
          <w:sz w:val="22"/>
          <w:szCs w:val="22"/>
        </w:rPr>
        <w:t xml:space="preserve">, M., &amp; Bodin, T. (2023). Precarious employment in early adulthood and later mental health problems: a register-linked cohort study. </w:t>
      </w:r>
      <w:r w:rsidRPr="00F34151">
        <w:rPr>
          <w:rFonts w:ascii="Calibri" w:hAnsi="Calibri" w:cs="Calibri"/>
          <w:i/>
          <w:iCs/>
          <w:color w:val="000000"/>
          <w:sz w:val="22"/>
          <w:szCs w:val="22"/>
        </w:rPr>
        <w:t>Epidemiol Community Health, 77</w:t>
      </w:r>
      <w:r w:rsidRPr="00F34151">
        <w:rPr>
          <w:rFonts w:ascii="Calibri" w:hAnsi="Calibri" w:cs="Calibri"/>
          <w:color w:val="000000"/>
          <w:sz w:val="22"/>
          <w:szCs w:val="22"/>
        </w:rPr>
        <w:t xml:space="preserve">, 755-761. </w:t>
      </w:r>
    </w:p>
    <w:p w14:paraId="7B64B721" w14:textId="263517C3" w:rsidR="00B74D89" w:rsidRPr="00EA5B78" w:rsidRDefault="0097051A" w:rsidP="00F34151">
      <w:pPr>
        <w:spacing w:after="0" w:line="240" w:lineRule="auto"/>
        <w:ind w:left="567" w:hanging="567"/>
        <w:jc w:val="both"/>
        <w:rPr>
          <w:rFonts w:ascii="Calibri" w:eastAsia="Calibri" w:hAnsi="Calibri" w:cs="Calibri"/>
          <w:bCs/>
          <w:sz w:val="22"/>
          <w:szCs w:val="22"/>
          <w:lang w:val="fr-CA"/>
        </w:rPr>
      </w:pPr>
      <w:r w:rsidRPr="00F34151">
        <w:rPr>
          <w:rFonts w:ascii="Calibri" w:eastAsia="Calibri" w:hAnsi="Calibri" w:cs="Calibri"/>
          <w:bCs/>
          <w:sz w:val="22"/>
          <w:szCs w:val="22"/>
        </w:rPr>
        <w:t>Tomlinson, J., Baird, M., Berg, P., &amp; Cooper, R. (2018). Flexible careers across the life course: Advancing theory, research and practice. </w:t>
      </w:r>
      <w:r w:rsidRPr="00EA5B78">
        <w:rPr>
          <w:rFonts w:ascii="Calibri" w:eastAsia="Calibri" w:hAnsi="Calibri" w:cs="Calibri"/>
          <w:bCs/>
          <w:i/>
          <w:iCs/>
          <w:sz w:val="22"/>
          <w:szCs w:val="22"/>
          <w:lang w:val="fr-CA"/>
        </w:rPr>
        <w:t>Human Relations</w:t>
      </w:r>
      <w:r w:rsidRPr="00EA5B78">
        <w:rPr>
          <w:rFonts w:ascii="Calibri" w:eastAsia="Calibri" w:hAnsi="Calibri" w:cs="Calibri"/>
          <w:bCs/>
          <w:sz w:val="22"/>
          <w:szCs w:val="22"/>
          <w:lang w:val="fr-CA"/>
        </w:rPr>
        <w:t>, </w:t>
      </w:r>
      <w:r w:rsidRPr="00EA5B78">
        <w:rPr>
          <w:rFonts w:ascii="Calibri" w:eastAsia="Calibri" w:hAnsi="Calibri" w:cs="Calibri"/>
          <w:bCs/>
          <w:i/>
          <w:iCs/>
          <w:sz w:val="22"/>
          <w:szCs w:val="22"/>
          <w:lang w:val="fr-CA"/>
        </w:rPr>
        <w:t>71</w:t>
      </w:r>
      <w:r w:rsidRPr="00EA5B78">
        <w:rPr>
          <w:rFonts w:ascii="Calibri" w:eastAsia="Calibri" w:hAnsi="Calibri" w:cs="Calibri"/>
          <w:bCs/>
          <w:sz w:val="22"/>
          <w:szCs w:val="22"/>
          <w:lang w:val="fr-CA"/>
        </w:rPr>
        <w:t>(1), 4</w:t>
      </w:r>
      <w:r w:rsidR="00B74D89" w:rsidRPr="00EA5B78">
        <w:rPr>
          <w:rFonts w:ascii="Calibri" w:eastAsia="Calibri" w:hAnsi="Calibri" w:cs="Calibri"/>
          <w:bCs/>
          <w:sz w:val="22"/>
          <w:szCs w:val="22"/>
          <w:lang w:val="fr-CA"/>
        </w:rPr>
        <w:t>-</w:t>
      </w:r>
      <w:r w:rsidRPr="00EA5B78">
        <w:rPr>
          <w:rFonts w:ascii="Calibri" w:eastAsia="Calibri" w:hAnsi="Calibri" w:cs="Calibri"/>
          <w:bCs/>
          <w:sz w:val="22"/>
          <w:szCs w:val="22"/>
          <w:lang w:val="fr-CA"/>
        </w:rPr>
        <w:t xml:space="preserve">22. </w:t>
      </w:r>
      <w:hyperlink r:id="rId43" w:history="1">
        <w:r w:rsidRPr="00EA5B78">
          <w:rPr>
            <w:rStyle w:val="Lienhypertexte"/>
            <w:rFonts w:ascii="Calibri" w:eastAsia="Calibri" w:hAnsi="Calibri" w:cs="Calibri"/>
            <w:bCs/>
            <w:sz w:val="22"/>
            <w:szCs w:val="22"/>
            <w:lang w:val="fr-CA"/>
          </w:rPr>
          <w:t>https://doi.org/10.1177/0018726717733313</w:t>
        </w:r>
      </w:hyperlink>
      <w:r w:rsidRPr="00EA5B78">
        <w:rPr>
          <w:rFonts w:ascii="Calibri" w:eastAsia="Calibri" w:hAnsi="Calibri" w:cs="Calibri"/>
          <w:bCs/>
          <w:sz w:val="22"/>
          <w:szCs w:val="22"/>
          <w:lang w:val="fr-CA"/>
        </w:rPr>
        <w:t xml:space="preserve"> </w:t>
      </w:r>
    </w:p>
    <w:p w14:paraId="6E22DD61" w14:textId="2887C386" w:rsidR="0097051A" w:rsidRPr="00EA5B78" w:rsidRDefault="0097051A" w:rsidP="00F34151">
      <w:pPr>
        <w:spacing w:after="0" w:line="240" w:lineRule="auto"/>
        <w:ind w:left="567" w:hanging="567"/>
        <w:jc w:val="both"/>
        <w:rPr>
          <w:rFonts w:ascii="Calibri" w:eastAsia="Calibri" w:hAnsi="Calibri" w:cs="Calibri"/>
          <w:bCs/>
          <w:sz w:val="22"/>
          <w:szCs w:val="22"/>
          <w:lang w:val="fr-CA"/>
        </w:rPr>
      </w:pPr>
      <w:r w:rsidRPr="00EA5B78">
        <w:rPr>
          <w:rFonts w:ascii="Calibri" w:hAnsi="Calibri" w:cs="Calibri"/>
          <w:sz w:val="22"/>
          <w:szCs w:val="22"/>
          <w:lang w:val="fr-CA"/>
        </w:rPr>
        <w:t xml:space="preserve">Van de Velde, C. (2016). Visages et expériences de NEEF : « J’aimerais que quelqu’un m’attende quelque part ». </w:t>
      </w:r>
      <w:r w:rsidRPr="00EA5B78">
        <w:rPr>
          <w:rFonts w:ascii="Calibri" w:hAnsi="Calibri" w:cs="Calibri"/>
          <w:i/>
          <w:iCs/>
          <w:sz w:val="22"/>
          <w:szCs w:val="22"/>
          <w:lang w:val="fr-CA"/>
        </w:rPr>
        <w:t>Centre de recherche de Montréal sur les inégalités sociales et les discriminations</w:t>
      </w:r>
      <w:r w:rsidRPr="00EA5B78">
        <w:rPr>
          <w:rFonts w:ascii="Calibri" w:hAnsi="Calibri" w:cs="Calibri"/>
          <w:sz w:val="22"/>
          <w:szCs w:val="22"/>
          <w:lang w:val="fr-CA"/>
        </w:rPr>
        <w:t xml:space="preserve">, </w:t>
      </w:r>
      <w:r w:rsidRPr="00EA5B78">
        <w:rPr>
          <w:rFonts w:ascii="Calibri" w:hAnsi="Calibri" w:cs="Calibri"/>
          <w:i/>
          <w:iCs/>
          <w:sz w:val="22"/>
          <w:szCs w:val="22"/>
          <w:lang w:val="fr-CA"/>
        </w:rPr>
        <w:t>9</w:t>
      </w:r>
      <w:r w:rsidRPr="00EA5B78">
        <w:rPr>
          <w:rFonts w:ascii="Calibri" w:hAnsi="Calibri" w:cs="Calibri"/>
          <w:sz w:val="22"/>
          <w:szCs w:val="22"/>
          <w:lang w:val="fr-CA"/>
        </w:rPr>
        <w:t xml:space="preserve">(1), </w:t>
      </w:r>
      <w:hyperlink r:id="rId44" w:history="1">
        <w:r w:rsidRPr="00EA5B78">
          <w:rPr>
            <w:rStyle w:val="Lienhypertexte"/>
            <w:rFonts w:ascii="Calibri" w:hAnsi="Calibri" w:cs="Calibri"/>
            <w:sz w:val="22"/>
            <w:szCs w:val="22"/>
            <w:lang w:val="fr-CA"/>
          </w:rPr>
          <w:t>Visages et expériences des « NEET » : « J’aimerais que quelqu’un m’attende quelque part » — CREMIS</w:t>
        </w:r>
      </w:hyperlink>
    </w:p>
    <w:p w14:paraId="52763C33" w14:textId="77777777" w:rsidR="00B74D89" w:rsidRPr="00EA5B78" w:rsidRDefault="0097051A" w:rsidP="00F34151">
      <w:pPr>
        <w:autoSpaceDE w:val="0"/>
        <w:autoSpaceDN w:val="0"/>
        <w:adjustRightInd w:val="0"/>
        <w:spacing w:after="0" w:line="240" w:lineRule="auto"/>
        <w:ind w:left="567" w:hanging="567"/>
        <w:jc w:val="both"/>
        <w:rPr>
          <w:rFonts w:ascii="Calibri" w:hAnsi="Calibri" w:cs="Calibri"/>
          <w:color w:val="000000"/>
          <w:sz w:val="22"/>
          <w:szCs w:val="22"/>
          <w:lang w:val="fr-CA"/>
        </w:rPr>
      </w:pPr>
      <w:r w:rsidRPr="00F34151">
        <w:rPr>
          <w:rFonts w:ascii="Calibri" w:hAnsi="Calibri" w:cs="Calibri"/>
          <w:color w:val="000000"/>
          <w:sz w:val="22"/>
          <w:szCs w:val="22"/>
        </w:rPr>
        <w:t xml:space="preserve">Veldman, K., van Zon, S. K. R., Arends, I., Amick III, B. C., &amp; </w:t>
      </w:r>
      <w:proofErr w:type="spellStart"/>
      <w:r w:rsidRPr="00F34151">
        <w:rPr>
          <w:rFonts w:ascii="Calibri" w:hAnsi="Calibri" w:cs="Calibri"/>
          <w:color w:val="000000"/>
          <w:sz w:val="22"/>
          <w:szCs w:val="22"/>
        </w:rPr>
        <w:t>Bültmann</w:t>
      </w:r>
      <w:proofErr w:type="spellEnd"/>
      <w:r w:rsidRPr="00F34151">
        <w:rPr>
          <w:rFonts w:ascii="Calibri" w:hAnsi="Calibri" w:cs="Calibri"/>
          <w:color w:val="000000"/>
          <w:sz w:val="22"/>
          <w:szCs w:val="22"/>
        </w:rPr>
        <w:t xml:space="preserve">, U. (2023). </w:t>
      </w:r>
      <w:r w:rsidRPr="00F34151">
        <w:rPr>
          <w:rFonts w:ascii="Calibri" w:hAnsi="Calibri" w:cs="Calibri"/>
          <w:i/>
          <w:iCs/>
          <w:color w:val="000000"/>
          <w:sz w:val="22"/>
          <w:szCs w:val="22"/>
        </w:rPr>
        <w:t>A Life Course Perspective on Work and Mental Health: The Working Lives of Young Adults</w:t>
      </w:r>
      <w:r w:rsidRPr="00F34151">
        <w:rPr>
          <w:rFonts w:ascii="Calibri" w:hAnsi="Calibri" w:cs="Calibri"/>
          <w:color w:val="000000"/>
          <w:sz w:val="22"/>
          <w:szCs w:val="22"/>
        </w:rPr>
        <w:t xml:space="preserve">. Dans M. </w:t>
      </w:r>
      <w:proofErr w:type="spellStart"/>
      <w:r w:rsidRPr="00F34151">
        <w:rPr>
          <w:rFonts w:ascii="Calibri" w:hAnsi="Calibri" w:cs="Calibri"/>
          <w:color w:val="000000"/>
          <w:sz w:val="22"/>
          <w:szCs w:val="22"/>
        </w:rPr>
        <w:t>Wahrendorf</w:t>
      </w:r>
      <w:proofErr w:type="spellEnd"/>
      <w:r w:rsidRPr="00F34151">
        <w:rPr>
          <w:rFonts w:ascii="Calibri" w:hAnsi="Calibri" w:cs="Calibri"/>
          <w:color w:val="000000"/>
          <w:sz w:val="22"/>
          <w:szCs w:val="22"/>
        </w:rPr>
        <w:t xml:space="preserve">, T. Chandola et A. </w:t>
      </w:r>
      <w:proofErr w:type="spellStart"/>
      <w:r w:rsidRPr="00F34151">
        <w:rPr>
          <w:rFonts w:ascii="Calibri" w:hAnsi="Calibri" w:cs="Calibri"/>
          <w:color w:val="000000"/>
          <w:sz w:val="22"/>
          <w:szCs w:val="22"/>
        </w:rPr>
        <w:t>Descatha</w:t>
      </w:r>
      <w:proofErr w:type="spellEnd"/>
      <w:r w:rsidRPr="00F34151">
        <w:rPr>
          <w:rFonts w:ascii="Calibri" w:hAnsi="Calibri" w:cs="Calibri"/>
          <w:color w:val="000000"/>
          <w:sz w:val="22"/>
          <w:szCs w:val="22"/>
        </w:rPr>
        <w:t xml:space="preserve"> (dir.), Handbook of Life Course Occupational Health (pp. 175-192). </w:t>
      </w:r>
      <w:r w:rsidRPr="00EA5B78">
        <w:rPr>
          <w:rFonts w:ascii="Calibri" w:hAnsi="Calibri" w:cs="Calibri"/>
          <w:color w:val="000000"/>
          <w:sz w:val="22"/>
          <w:szCs w:val="22"/>
          <w:lang w:val="fr-CA"/>
        </w:rPr>
        <w:t>Springer.</w:t>
      </w:r>
    </w:p>
    <w:p w14:paraId="20E3AE7E" w14:textId="6A40C945" w:rsidR="0097051A" w:rsidRPr="00EA5B78" w:rsidRDefault="0097051A" w:rsidP="00F34151">
      <w:pPr>
        <w:autoSpaceDE w:val="0"/>
        <w:autoSpaceDN w:val="0"/>
        <w:adjustRightInd w:val="0"/>
        <w:spacing w:after="0" w:line="240" w:lineRule="auto"/>
        <w:ind w:left="567" w:hanging="567"/>
        <w:jc w:val="both"/>
        <w:rPr>
          <w:rFonts w:ascii="Calibri" w:hAnsi="Calibri" w:cs="Calibri"/>
          <w:color w:val="000000"/>
          <w:sz w:val="22"/>
          <w:szCs w:val="22"/>
          <w:lang w:val="fr-CA"/>
        </w:rPr>
      </w:pPr>
      <w:r w:rsidRPr="00EA5B78">
        <w:rPr>
          <w:rFonts w:ascii="Calibri" w:hAnsi="Calibri" w:cs="Calibri"/>
          <w:sz w:val="22"/>
          <w:szCs w:val="22"/>
          <w:lang w:val="fr-CA"/>
        </w:rPr>
        <w:t xml:space="preserve">Vultur, M. (2016). Les NEETs, ces « casse-têtes » des politiques sociales. </w:t>
      </w:r>
      <w:r w:rsidRPr="00EA5B78">
        <w:rPr>
          <w:rFonts w:ascii="Calibri" w:hAnsi="Calibri" w:cs="Calibri"/>
          <w:i/>
          <w:iCs/>
          <w:sz w:val="22"/>
          <w:szCs w:val="22"/>
          <w:lang w:val="fr-CA"/>
        </w:rPr>
        <w:t>Bulletin d’information de l’Observatoire Jeunes et société</w:t>
      </w:r>
      <w:r w:rsidRPr="00EA5B78">
        <w:rPr>
          <w:rFonts w:ascii="Calibri" w:hAnsi="Calibri" w:cs="Calibri"/>
          <w:sz w:val="22"/>
          <w:szCs w:val="22"/>
          <w:lang w:val="fr-CA"/>
        </w:rPr>
        <w:t xml:space="preserve">, </w:t>
      </w:r>
      <w:r w:rsidRPr="00EA5B78">
        <w:rPr>
          <w:rFonts w:ascii="Calibri" w:hAnsi="Calibri" w:cs="Calibri"/>
          <w:i/>
          <w:iCs/>
          <w:sz w:val="22"/>
          <w:szCs w:val="22"/>
          <w:lang w:val="fr-CA"/>
        </w:rPr>
        <w:t>13</w:t>
      </w:r>
      <w:r w:rsidRPr="00EA5B78">
        <w:rPr>
          <w:rFonts w:ascii="Calibri" w:hAnsi="Calibri" w:cs="Calibri"/>
          <w:sz w:val="22"/>
          <w:szCs w:val="22"/>
          <w:lang w:val="fr-CA"/>
        </w:rPr>
        <w:t>(2), 2-3.</w:t>
      </w:r>
    </w:p>
    <w:p w14:paraId="59A9EAA5" w14:textId="77777777" w:rsidR="0097051A" w:rsidRPr="00F34151" w:rsidRDefault="0097051A" w:rsidP="00F34151">
      <w:pPr>
        <w:spacing w:after="0" w:line="240" w:lineRule="auto"/>
        <w:ind w:left="567" w:hanging="567"/>
        <w:jc w:val="both"/>
        <w:rPr>
          <w:rFonts w:ascii="Calibri" w:eastAsia="Calibri" w:hAnsi="Calibri" w:cs="Calibri"/>
          <w:color w:val="212121"/>
          <w:sz w:val="22"/>
          <w:szCs w:val="22"/>
        </w:rPr>
      </w:pPr>
      <w:r w:rsidRPr="00EA5B78">
        <w:rPr>
          <w:rFonts w:ascii="Calibri" w:eastAsia="Calibri" w:hAnsi="Calibri" w:cs="Calibri"/>
          <w:color w:val="212121"/>
          <w:sz w:val="22"/>
          <w:szCs w:val="22"/>
          <w:lang w:val="fr-CA"/>
        </w:rPr>
        <w:t xml:space="preserve">Williams, S., &amp; Williams, J. (2021). </w:t>
      </w:r>
      <w:r w:rsidRPr="00F34151">
        <w:rPr>
          <w:rFonts w:ascii="Calibri" w:eastAsia="Calibri" w:hAnsi="Calibri" w:cs="Calibri"/>
          <w:color w:val="212121"/>
          <w:sz w:val="22"/>
          <w:szCs w:val="22"/>
        </w:rPr>
        <w:t xml:space="preserve">Traumatic stress sufferers: Work as therapy or trigger? </w:t>
      </w:r>
      <w:r w:rsidRPr="00F34151">
        <w:rPr>
          <w:rFonts w:ascii="Calibri" w:eastAsia="Calibri" w:hAnsi="Calibri" w:cs="Calibri"/>
          <w:i/>
          <w:iCs/>
          <w:color w:val="212121"/>
          <w:sz w:val="22"/>
          <w:szCs w:val="22"/>
        </w:rPr>
        <w:t>Management Research Review</w:t>
      </w:r>
      <w:r w:rsidRPr="00F34151">
        <w:rPr>
          <w:rFonts w:ascii="Calibri" w:eastAsia="Calibri" w:hAnsi="Calibri" w:cs="Calibri"/>
          <w:color w:val="212121"/>
          <w:sz w:val="22"/>
          <w:szCs w:val="22"/>
        </w:rPr>
        <w:t xml:space="preserve">, </w:t>
      </w:r>
      <w:r w:rsidRPr="00F34151">
        <w:rPr>
          <w:rFonts w:ascii="Calibri" w:eastAsia="Calibri" w:hAnsi="Calibri" w:cs="Calibri"/>
          <w:i/>
          <w:iCs/>
          <w:color w:val="212121"/>
          <w:sz w:val="22"/>
          <w:szCs w:val="22"/>
        </w:rPr>
        <w:t>44</w:t>
      </w:r>
      <w:r w:rsidRPr="00F34151">
        <w:rPr>
          <w:rFonts w:ascii="Calibri" w:eastAsia="Calibri" w:hAnsi="Calibri" w:cs="Calibri"/>
          <w:color w:val="212121"/>
          <w:sz w:val="22"/>
          <w:szCs w:val="22"/>
        </w:rPr>
        <w:t xml:space="preserve">(7), 991–1011. </w:t>
      </w:r>
      <w:hyperlink r:id="rId45" w:history="1">
        <w:r w:rsidRPr="00F34151">
          <w:rPr>
            <w:rStyle w:val="Lienhypertexte"/>
            <w:rFonts w:ascii="Calibri" w:eastAsia="Calibri" w:hAnsi="Calibri" w:cs="Calibri"/>
            <w:sz w:val="22"/>
            <w:szCs w:val="22"/>
          </w:rPr>
          <w:t>https://doi.org/10.1108/MRR-01-2020-0050</w:t>
        </w:r>
      </w:hyperlink>
    </w:p>
    <w:p w14:paraId="669B91BB" w14:textId="77777777" w:rsidR="0097051A" w:rsidRPr="00F34151" w:rsidRDefault="0097051A" w:rsidP="00F34151">
      <w:pPr>
        <w:autoSpaceDE w:val="0"/>
        <w:autoSpaceDN w:val="0"/>
        <w:adjustRightInd w:val="0"/>
        <w:spacing w:after="0" w:line="240" w:lineRule="auto"/>
        <w:ind w:left="567" w:hanging="567"/>
        <w:jc w:val="both"/>
        <w:rPr>
          <w:rFonts w:ascii="Calibri" w:hAnsi="Calibri" w:cs="Calibri"/>
          <w:color w:val="000000"/>
          <w:sz w:val="22"/>
          <w:szCs w:val="22"/>
        </w:rPr>
      </w:pPr>
      <w:r w:rsidRPr="00F34151">
        <w:rPr>
          <w:rFonts w:ascii="Calibri" w:hAnsi="Calibri" w:cs="Calibri"/>
          <w:color w:val="000000"/>
          <w:sz w:val="22"/>
          <w:szCs w:val="22"/>
        </w:rPr>
        <w:t xml:space="preserve">World Health Organization (2026). </w:t>
      </w:r>
      <w:r w:rsidRPr="00F34151">
        <w:rPr>
          <w:rFonts w:ascii="Calibri" w:hAnsi="Calibri" w:cs="Calibri"/>
          <w:i/>
          <w:iCs/>
          <w:color w:val="000000"/>
          <w:sz w:val="22"/>
          <w:szCs w:val="22"/>
        </w:rPr>
        <w:t>Constitution</w:t>
      </w:r>
      <w:r w:rsidRPr="00F34151">
        <w:rPr>
          <w:rFonts w:ascii="Calibri" w:hAnsi="Calibri" w:cs="Calibri"/>
          <w:color w:val="000000"/>
          <w:sz w:val="22"/>
          <w:szCs w:val="22"/>
        </w:rPr>
        <w:t>. WHO.</w:t>
      </w:r>
    </w:p>
    <w:p w14:paraId="15DD1850" w14:textId="77777777" w:rsidR="00BA31B1" w:rsidRPr="00A3198C" w:rsidRDefault="00BA31B1" w:rsidP="00774D52">
      <w:pPr>
        <w:spacing w:after="0" w:line="240" w:lineRule="auto"/>
        <w:ind w:left="426" w:hanging="426"/>
        <w:jc w:val="both"/>
        <w:rPr>
          <w:rFonts w:ascii="Calibri" w:eastAsia="Calibri" w:hAnsi="Calibri" w:cs="Calibri"/>
          <w:bCs/>
          <w:sz w:val="22"/>
          <w:szCs w:val="22"/>
          <w:lang w:val="fr-CA"/>
        </w:rPr>
      </w:pPr>
    </w:p>
    <w:sectPr w:rsidR="00BA31B1" w:rsidRPr="00A3198C" w:rsidSect="00B673F6">
      <w:footerReference w:type="default" r:id="rId46"/>
      <w:pgSz w:w="11906" w:h="16838"/>
      <w:pgMar w:top="720" w:right="720" w:bottom="56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CBADE" w14:textId="77777777" w:rsidR="0074174A" w:rsidRPr="001B2B7B" w:rsidRDefault="0074174A" w:rsidP="007A344E">
      <w:pPr>
        <w:spacing w:after="0" w:line="240" w:lineRule="auto"/>
      </w:pPr>
      <w:r w:rsidRPr="001B2B7B">
        <w:separator/>
      </w:r>
    </w:p>
  </w:endnote>
  <w:endnote w:type="continuationSeparator" w:id="0">
    <w:p w14:paraId="4A87E3BC" w14:textId="77777777" w:rsidR="0074174A" w:rsidRPr="001B2B7B" w:rsidRDefault="0074174A" w:rsidP="007A344E">
      <w:pPr>
        <w:spacing w:after="0" w:line="240" w:lineRule="auto"/>
      </w:pPr>
      <w:r w:rsidRPr="001B2B7B">
        <w:continuationSeparator/>
      </w:r>
    </w:p>
  </w:endnote>
  <w:endnote w:type="continuationNotice" w:id="1">
    <w:p w14:paraId="43C3BDC9" w14:textId="77777777" w:rsidR="0074174A" w:rsidRPr="001B2B7B" w:rsidRDefault="007417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venirNext LT Pro Regular">
    <w:altName w:val="Calibri"/>
    <w:charset w:val="00"/>
    <w:family w:val="swiss"/>
    <w:pitch w:val="variable"/>
    <w:sig w:usb0="800000AF" w:usb1="5000204A" w:usb2="00000000" w:usb3="00000000" w:csb0="0000009B"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258224434"/>
      <w:docPartObj>
        <w:docPartGallery w:val="Page Numbers (Bottom of Page)"/>
        <w:docPartUnique/>
      </w:docPartObj>
    </w:sdtPr>
    <w:sdtContent>
      <w:p w14:paraId="2D44B3FE" w14:textId="046A2D07" w:rsidR="00B77D4F" w:rsidRPr="00B77D4F" w:rsidRDefault="00B77D4F">
        <w:pPr>
          <w:pStyle w:val="Pieddepage"/>
          <w:jc w:val="right"/>
          <w:rPr>
            <w:rFonts w:ascii="Calibri" w:hAnsi="Calibri" w:cs="Calibri"/>
            <w:sz w:val="22"/>
            <w:szCs w:val="22"/>
          </w:rPr>
        </w:pPr>
        <w:r w:rsidRPr="00B77D4F">
          <w:rPr>
            <w:rFonts w:ascii="Calibri" w:hAnsi="Calibri" w:cs="Calibri"/>
            <w:sz w:val="22"/>
            <w:szCs w:val="22"/>
          </w:rPr>
          <w:fldChar w:fldCharType="begin"/>
        </w:r>
        <w:r w:rsidRPr="00B77D4F">
          <w:rPr>
            <w:rFonts w:ascii="Calibri" w:hAnsi="Calibri" w:cs="Calibri"/>
            <w:sz w:val="22"/>
            <w:szCs w:val="22"/>
          </w:rPr>
          <w:instrText>PAGE   \* MERGEFORMAT</w:instrText>
        </w:r>
        <w:r w:rsidRPr="00B77D4F">
          <w:rPr>
            <w:rFonts w:ascii="Calibri" w:hAnsi="Calibri" w:cs="Calibri"/>
            <w:sz w:val="22"/>
            <w:szCs w:val="22"/>
          </w:rPr>
          <w:fldChar w:fldCharType="separate"/>
        </w:r>
        <w:r w:rsidRPr="00B77D4F">
          <w:rPr>
            <w:rFonts w:ascii="Calibri" w:hAnsi="Calibri" w:cs="Calibri"/>
            <w:sz w:val="22"/>
            <w:szCs w:val="22"/>
            <w:lang w:val="fr-FR"/>
          </w:rPr>
          <w:t>2</w:t>
        </w:r>
        <w:r w:rsidRPr="00B77D4F">
          <w:rPr>
            <w:rFonts w:ascii="Calibri" w:hAnsi="Calibri" w:cs="Calibri"/>
            <w:sz w:val="22"/>
            <w:szCs w:val="22"/>
          </w:rPr>
          <w:fldChar w:fldCharType="end"/>
        </w:r>
      </w:p>
    </w:sdtContent>
  </w:sdt>
  <w:p w14:paraId="73711F3A" w14:textId="77777777" w:rsidR="00B77D4F" w:rsidRDefault="00B77D4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77E8E" w14:textId="77777777" w:rsidR="0074174A" w:rsidRPr="001B2B7B" w:rsidRDefault="0074174A" w:rsidP="007A344E">
      <w:pPr>
        <w:spacing w:after="0" w:line="240" w:lineRule="auto"/>
      </w:pPr>
      <w:r w:rsidRPr="001B2B7B">
        <w:separator/>
      </w:r>
    </w:p>
  </w:footnote>
  <w:footnote w:type="continuationSeparator" w:id="0">
    <w:p w14:paraId="0A784727" w14:textId="77777777" w:rsidR="0074174A" w:rsidRPr="001B2B7B" w:rsidRDefault="0074174A" w:rsidP="007A344E">
      <w:pPr>
        <w:spacing w:after="0" w:line="240" w:lineRule="auto"/>
      </w:pPr>
      <w:r w:rsidRPr="001B2B7B">
        <w:continuationSeparator/>
      </w:r>
    </w:p>
  </w:footnote>
  <w:footnote w:type="continuationNotice" w:id="1">
    <w:p w14:paraId="2DEEDA2B" w14:textId="77777777" w:rsidR="0074174A" w:rsidRPr="001B2B7B" w:rsidRDefault="007417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9D6C"/>
    <w:multiLevelType w:val="hybridMultilevel"/>
    <w:tmpl w:val="FFFFFFFF"/>
    <w:lvl w:ilvl="0" w:tplc="F3303ECA">
      <w:start w:val="1"/>
      <w:numFmt w:val="decimal"/>
      <w:lvlText w:val="%1-"/>
      <w:lvlJc w:val="left"/>
      <w:pPr>
        <w:ind w:left="720" w:hanging="360"/>
      </w:pPr>
    </w:lvl>
    <w:lvl w:ilvl="1" w:tplc="21D0A082">
      <w:start w:val="1"/>
      <w:numFmt w:val="lowerLetter"/>
      <w:lvlText w:val="%2."/>
      <w:lvlJc w:val="left"/>
      <w:pPr>
        <w:ind w:left="1440" w:hanging="360"/>
      </w:pPr>
    </w:lvl>
    <w:lvl w:ilvl="2" w:tplc="2E62D1DC">
      <w:start w:val="1"/>
      <w:numFmt w:val="lowerRoman"/>
      <w:lvlText w:val="%3."/>
      <w:lvlJc w:val="right"/>
      <w:pPr>
        <w:ind w:left="2160" w:hanging="180"/>
      </w:pPr>
    </w:lvl>
    <w:lvl w:ilvl="3" w:tplc="6CAC7614">
      <w:start w:val="1"/>
      <w:numFmt w:val="decimal"/>
      <w:lvlText w:val="%4."/>
      <w:lvlJc w:val="left"/>
      <w:pPr>
        <w:ind w:left="2880" w:hanging="360"/>
      </w:pPr>
    </w:lvl>
    <w:lvl w:ilvl="4" w:tplc="41967E9C">
      <w:start w:val="1"/>
      <w:numFmt w:val="lowerLetter"/>
      <w:lvlText w:val="%5."/>
      <w:lvlJc w:val="left"/>
      <w:pPr>
        <w:ind w:left="3600" w:hanging="360"/>
      </w:pPr>
    </w:lvl>
    <w:lvl w:ilvl="5" w:tplc="AB2AF330">
      <w:start w:val="1"/>
      <w:numFmt w:val="lowerRoman"/>
      <w:lvlText w:val="%6."/>
      <w:lvlJc w:val="right"/>
      <w:pPr>
        <w:ind w:left="4320" w:hanging="180"/>
      </w:pPr>
    </w:lvl>
    <w:lvl w:ilvl="6" w:tplc="17124DEC">
      <w:start w:val="1"/>
      <w:numFmt w:val="decimal"/>
      <w:lvlText w:val="%7."/>
      <w:lvlJc w:val="left"/>
      <w:pPr>
        <w:ind w:left="5040" w:hanging="360"/>
      </w:pPr>
    </w:lvl>
    <w:lvl w:ilvl="7" w:tplc="B824AB16">
      <w:start w:val="1"/>
      <w:numFmt w:val="lowerLetter"/>
      <w:lvlText w:val="%8."/>
      <w:lvlJc w:val="left"/>
      <w:pPr>
        <w:ind w:left="5760" w:hanging="360"/>
      </w:pPr>
    </w:lvl>
    <w:lvl w:ilvl="8" w:tplc="03EA7E20">
      <w:start w:val="1"/>
      <w:numFmt w:val="lowerRoman"/>
      <w:lvlText w:val="%9."/>
      <w:lvlJc w:val="right"/>
      <w:pPr>
        <w:ind w:left="6480" w:hanging="180"/>
      </w:pPr>
    </w:lvl>
  </w:abstractNum>
  <w:abstractNum w:abstractNumId="1" w15:restartNumberingAfterBreak="0">
    <w:nsid w:val="07FE39A2"/>
    <w:multiLevelType w:val="multilevel"/>
    <w:tmpl w:val="9BFE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86D73"/>
    <w:multiLevelType w:val="hybridMultilevel"/>
    <w:tmpl w:val="5A8ABF78"/>
    <w:lvl w:ilvl="0" w:tplc="E7262F54">
      <w:start w:val="1"/>
      <w:numFmt w:val="bullet"/>
      <w:lvlText w:val=""/>
      <w:lvlJc w:val="left"/>
      <w:pPr>
        <w:ind w:left="720" w:hanging="360"/>
      </w:pPr>
      <w:rPr>
        <w:rFonts w:ascii="Symbol" w:hAnsi="Symbol" w:hint="default"/>
      </w:rPr>
    </w:lvl>
    <w:lvl w:ilvl="1" w:tplc="F31C2DDA">
      <w:start w:val="1"/>
      <w:numFmt w:val="bullet"/>
      <w:lvlText w:val="o"/>
      <w:lvlJc w:val="left"/>
      <w:pPr>
        <w:ind w:left="1440" w:hanging="360"/>
      </w:pPr>
      <w:rPr>
        <w:rFonts w:ascii="Courier New" w:hAnsi="Courier New" w:hint="default"/>
      </w:rPr>
    </w:lvl>
    <w:lvl w:ilvl="2" w:tplc="7FE264FE">
      <w:start w:val="1"/>
      <w:numFmt w:val="bullet"/>
      <w:lvlText w:val=""/>
      <w:lvlJc w:val="left"/>
      <w:pPr>
        <w:ind w:left="2160" w:hanging="360"/>
      </w:pPr>
      <w:rPr>
        <w:rFonts w:ascii="Wingdings" w:hAnsi="Wingdings" w:hint="default"/>
      </w:rPr>
    </w:lvl>
    <w:lvl w:ilvl="3" w:tplc="F2041634">
      <w:start w:val="1"/>
      <w:numFmt w:val="bullet"/>
      <w:lvlText w:val=""/>
      <w:lvlJc w:val="left"/>
      <w:pPr>
        <w:ind w:left="2880" w:hanging="360"/>
      </w:pPr>
      <w:rPr>
        <w:rFonts w:ascii="Symbol" w:hAnsi="Symbol" w:hint="default"/>
      </w:rPr>
    </w:lvl>
    <w:lvl w:ilvl="4" w:tplc="508EB9C4">
      <w:start w:val="1"/>
      <w:numFmt w:val="bullet"/>
      <w:lvlText w:val="o"/>
      <w:lvlJc w:val="left"/>
      <w:pPr>
        <w:ind w:left="3600" w:hanging="360"/>
      </w:pPr>
      <w:rPr>
        <w:rFonts w:ascii="Courier New" w:hAnsi="Courier New" w:hint="default"/>
      </w:rPr>
    </w:lvl>
    <w:lvl w:ilvl="5" w:tplc="02525982">
      <w:start w:val="1"/>
      <w:numFmt w:val="bullet"/>
      <w:lvlText w:val=""/>
      <w:lvlJc w:val="left"/>
      <w:pPr>
        <w:ind w:left="4320" w:hanging="360"/>
      </w:pPr>
      <w:rPr>
        <w:rFonts w:ascii="Wingdings" w:hAnsi="Wingdings" w:hint="default"/>
      </w:rPr>
    </w:lvl>
    <w:lvl w:ilvl="6" w:tplc="41060AF0">
      <w:start w:val="1"/>
      <w:numFmt w:val="bullet"/>
      <w:lvlText w:val=""/>
      <w:lvlJc w:val="left"/>
      <w:pPr>
        <w:ind w:left="5040" w:hanging="360"/>
      </w:pPr>
      <w:rPr>
        <w:rFonts w:ascii="Symbol" w:hAnsi="Symbol" w:hint="default"/>
      </w:rPr>
    </w:lvl>
    <w:lvl w:ilvl="7" w:tplc="EF5A0A34">
      <w:start w:val="1"/>
      <w:numFmt w:val="bullet"/>
      <w:lvlText w:val="o"/>
      <w:lvlJc w:val="left"/>
      <w:pPr>
        <w:ind w:left="5760" w:hanging="360"/>
      </w:pPr>
      <w:rPr>
        <w:rFonts w:ascii="Courier New" w:hAnsi="Courier New" w:hint="default"/>
      </w:rPr>
    </w:lvl>
    <w:lvl w:ilvl="8" w:tplc="ECCA8208">
      <w:start w:val="1"/>
      <w:numFmt w:val="bullet"/>
      <w:lvlText w:val=""/>
      <w:lvlJc w:val="left"/>
      <w:pPr>
        <w:ind w:left="6480" w:hanging="360"/>
      </w:pPr>
      <w:rPr>
        <w:rFonts w:ascii="Wingdings" w:hAnsi="Wingdings" w:hint="default"/>
      </w:rPr>
    </w:lvl>
  </w:abstractNum>
  <w:abstractNum w:abstractNumId="3" w15:restartNumberingAfterBreak="0">
    <w:nsid w:val="26525F2B"/>
    <w:multiLevelType w:val="hybridMultilevel"/>
    <w:tmpl w:val="75D62E4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4B98389B"/>
    <w:multiLevelType w:val="hybridMultilevel"/>
    <w:tmpl w:val="82AA493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F570DB7"/>
    <w:multiLevelType w:val="hybridMultilevel"/>
    <w:tmpl w:val="608666B8"/>
    <w:lvl w:ilvl="0" w:tplc="3E98D568">
      <w:start w:val="1"/>
      <w:numFmt w:val="decimal"/>
      <w:lvlText w:val="%1."/>
      <w:lvlJc w:val="left"/>
      <w:pPr>
        <w:ind w:left="720" w:hanging="360"/>
      </w:pPr>
      <w:rPr>
        <w:rFonts w:ascii="Calibri" w:hAnsi="Calibri" w:cs="Calibri"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2001D3C"/>
    <w:multiLevelType w:val="hybridMultilevel"/>
    <w:tmpl w:val="0290A31A"/>
    <w:lvl w:ilvl="0" w:tplc="11CC3B22">
      <w:start w:val="1"/>
      <w:numFmt w:val="bullet"/>
      <w:lvlText w:val="-"/>
      <w:lvlJc w:val="left"/>
      <w:pPr>
        <w:ind w:left="410" w:hanging="360"/>
      </w:pPr>
      <w:rPr>
        <w:rFonts w:ascii="Calibri" w:eastAsiaTheme="minorHAnsi" w:hAnsi="Calibri" w:cs="Calibri" w:hint="default"/>
        <w:i/>
      </w:rPr>
    </w:lvl>
    <w:lvl w:ilvl="1" w:tplc="0C0C0003" w:tentative="1">
      <w:start w:val="1"/>
      <w:numFmt w:val="bullet"/>
      <w:lvlText w:val="o"/>
      <w:lvlJc w:val="left"/>
      <w:pPr>
        <w:ind w:left="1130" w:hanging="360"/>
      </w:pPr>
      <w:rPr>
        <w:rFonts w:ascii="Courier New" w:hAnsi="Courier New" w:cs="Courier New" w:hint="default"/>
      </w:rPr>
    </w:lvl>
    <w:lvl w:ilvl="2" w:tplc="0C0C0005" w:tentative="1">
      <w:start w:val="1"/>
      <w:numFmt w:val="bullet"/>
      <w:lvlText w:val=""/>
      <w:lvlJc w:val="left"/>
      <w:pPr>
        <w:ind w:left="1850" w:hanging="360"/>
      </w:pPr>
      <w:rPr>
        <w:rFonts w:ascii="Wingdings" w:hAnsi="Wingdings" w:hint="default"/>
      </w:rPr>
    </w:lvl>
    <w:lvl w:ilvl="3" w:tplc="0C0C0001" w:tentative="1">
      <w:start w:val="1"/>
      <w:numFmt w:val="bullet"/>
      <w:lvlText w:val=""/>
      <w:lvlJc w:val="left"/>
      <w:pPr>
        <w:ind w:left="2570" w:hanging="360"/>
      </w:pPr>
      <w:rPr>
        <w:rFonts w:ascii="Symbol" w:hAnsi="Symbol" w:hint="default"/>
      </w:rPr>
    </w:lvl>
    <w:lvl w:ilvl="4" w:tplc="0C0C0003" w:tentative="1">
      <w:start w:val="1"/>
      <w:numFmt w:val="bullet"/>
      <w:lvlText w:val="o"/>
      <w:lvlJc w:val="left"/>
      <w:pPr>
        <w:ind w:left="3290" w:hanging="360"/>
      </w:pPr>
      <w:rPr>
        <w:rFonts w:ascii="Courier New" w:hAnsi="Courier New" w:cs="Courier New" w:hint="default"/>
      </w:rPr>
    </w:lvl>
    <w:lvl w:ilvl="5" w:tplc="0C0C0005" w:tentative="1">
      <w:start w:val="1"/>
      <w:numFmt w:val="bullet"/>
      <w:lvlText w:val=""/>
      <w:lvlJc w:val="left"/>
      <w:pPr>
        <w:ind w:left="4010" w:hanging="360"/>
      </w:pPr>
      <w:rPr>
        <w:rFonts w:ascii="Wingdings" w:hAnsi="Wingdings" w:hint="default"/>
      </w:rPr>
    </w:lvl>
    <w:lvl w:ilvl="6" w:tplc="0C0C0001" w:tentative="1">
      <w:start w:val="1"/>
      <w:numFmt w:val="bullet"/>
      <w:lvlText w:val=""/>
      <w:lvlJc w:val="left"/>
      <w:pPr>
        <w:ind w:left="4730" w:hanging="360"/>
      </w:pPr>
      <w:rPr>
        <w:rFonts w:ascii="Symbol" w:hAnsi="Symbol" w:hint="default"/>
      </w:rPr>
    </w:lvl>
    <w:lvl w:ilvl="7" w:tplc="0C0C0003" w:tentative="1">
      <w:start w:val="1"/>
      <w:numFmt w:val="bullet"/>
      <w:lvlText w:val="o"/>
      <w:lvlJc w:val="left"/>
      <w:pPr>
        <w:ind w:left="5450" w:hanging="360"/>
      </w:pPr>
      <w:rPr>
        <w:rFonts w:ascii="Courier New" w:hAnsi="Courier New" w:cs="Courier New" w:hint="default"/>
      </w:rPr>
    </w:lvl>
    <w:lvl w:ilvl="8" w:tplc="0C0C0005" w:tentative="1">
      <w:start w:val="1"/>
      <w:numFmt w:val="bullet"/>
      <w:lvlText w:val=""/>
      <w:lvlJc w:val="left"/>
      <w:pPr>
        <w:ind w:left="6170" w:hanging="360"/>
      </w:pPr>
      <w:rPr>
        <w:rFonts w:ascii="Wingdings" w:hAnsi="Wingdings" w:hint="default"/>
      </w:rPr>
    </w:lvl>
  </w:abstractNum>
  <w:abstractNum w:abstractNumId="7" w15:restartNumberingAfterBreak="0">
    <w:nsid w:val="73002ACE"/>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7D1428E1"/>
    <w:multiLevelType w:val="hybridMultilevel"/>
    <w:tmpl w:val="877E6FF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400834369">
    <w:abstractNumId w:val="0"/>
  </w:num>
  <w:num w:numId="2" w16cid:durableId="402987787">
    <w:abstractNumId w:val="2"/>
  </w:num>
  <w:num w:numId="3" w16cid:durableId="1646542769">
    <w:abstractNumId w:val="7"/>
  </w:num>
  <w:num w:numId="4" w16cid:durableId="2071806505">
    <w:abstractNumId w:val="5"/>
  </w:num>
  <w:num w:numId="5" w16cid:durableId="44985151">
    <w:abstractNumId w:val="3"/>
  </w:num>
  <w:num w:numId="6" w16cid:durableId="1946620059">
    <w:abstractNumId w:val="4"/>
  </w:num>
  <w:num w:numId="7" w16cid:durableId="724137661">
    <w:abstractNumId w:val="8"/>
  </w:num>
  <w:num w:numId="8" w16cid:durableId="908882923">
    <w:abstractNumId w:val="1"/>
  </w:num>
  <w:num w:numId="9" w16cid:durableId="11912661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8E397B"/>
    <w:rsid w:val="0000130A"/>
    <w:rsid w:val="0000380D"/>
    <w:rsid w:val="00004E85"/>
    <w:rsid w:val="000063D2"/>
    <w:rsid w:val="000100B4"/>
    <w:rsid w:val="00010791"/>
    <w:rsid w:val="000111E3"/>
    <w:rsid w:val="00011C1F"/>
    <w:rsid w:val="00012908"/>
    <w:rsid w:val="0001362F"/>
    <w:rsid w:val="00016610"/>
    <w:rsid w:val="00016A68"/>
    <w:rsid w:val="00020A5A"/>
    <w:rsid w:val="00020B54"/>
    <w:rsid w:val="00020DE2"/>
    <w:rsid w:val="000245F3"/>
    <w:rsid w:val="00026711"/>
    <w:rsid w:val="000269CC"/>
    <w:rsid w:val="00026B42"/>
    <w:rsid w:val="00032694"/>
    <w:rsid w:val="00034187"/>
    <w:rsid w:val="00034C3F"/>
    <w:rsid w:val="00035094"/>
    <w:rsid w:val="00035DCA"/>
    <w:rsid w:val="0003721D"/>
    <w:rsid w:val="0003792A"/>
    <w:rsid w:val="00037952"/>
    <w:rsid w:val="0003795B"/>
    <w:rsid w:val="00040640"/>
    <w:rsid w:val="0004505D"/>
    <w:rsid w:val="00045265"/>
    <w:rsid w:val="0004533A"/>
    <w:rsid w:val="00045AB7"/>
    <w:rsid w:val="000462AD"/>
    <w:rsid w:val="00050262"/>
    <w:rsid w:val="0005218F"/>
    <w:rsid w:val="0005331C"/>
    <w:rsid w:val="000535CF"/>
    <w:rsid w:val="000536FF"/>
    <w:rsid w:val="00054F00"/>
    <w:rsid w:val="0005504B"/>
    <w:rsid w:val="00055FD8"/>
    <w:rsid w:val="000578B9"/>
    <w:rsid w:val="00063254"/>
    <w:rsid w:val="000640AC"/>
    <w:rsid w:val="00071EBB"/>
    <w:rsid w:val="000814EE"/>
    <w:rsid w:val="00081775"/>
    <w:rsid w:val="00081EC1"/>
    <w:rsid w:val="00084583"/>
    <w:rsid w:val="00084B3B"/>
    <w:rsid w:val="0008560C"/>
    <w:rsid w:val="00085838"/>
    <w:rsid w:val="000876DF"/>
    <w:rsid w:val="00090225"/>
    <w:rsid w:val="00093AAF"/>
    <w:rsid w:val="00094464"/>
    <w:rsid w:val="000A073F"/>
    <w:rsid w:val="000A08FF"/>
    <w:rsid w:val="000A181A"/>
    <w:rsid w:val="000A20C7"/>
    <w:rsid w:val="000A5A30"/>
    <w:rsid w:val="000A7DDC"/>
    <w:rsid w:val="000B2775"/>
    <w:rsid w:val="000B645F"/>
    <w:rsid w:val="000B6D7B"/>
    <w:rsid w:val="000B7888"/>
    <w:rsid w:val="000B7A16"/>
    <w:rsid w:val="000C17D9"/>
    <w:rsid w:val="000C35AA"/>
    <w:rsid w:val="000C3A2B"/>
    <w:rsid w:val="000C5164"/>
    <w:rsid w:val="000D1021"/>
    <w:rsid w:val="000D21F8"/>
    <w:rsid w:val="000D556C"/>
    <w:rsid w:val="000D6328"/>
    <w:rsid w:val="000D6EDB"/>
    <w:rsid w:val="000E1CD3"/>
    <w:rsid w:val="000E33E4"/>
    <w:rsid w:val="000E3A1A"/>
    <w:rsid w:val="000E3F43"/>
    <w:rsid w:val="000F1AAF"/>
    <w:rsid w:val="000F3F65"/>
    <w:rsid w:val="000F4063"/>
    <w:rsid w:val="000F744C"/>
    <w:rsid w:val="00101105"/>
    <w:rsid w:val="00101661"/>
    <w:rsid w:val="00101A1F"/>
    <w:rsid w:val="001023F9"/>
    <w:rsid w:val="001024B7"/>
    <w:rsid w:val="00103D38"/>
    <w:rsid w:val="001050C6"/>
    <w:rsid w:val="00107782"/>
    <w:rsid w:val="00107CEA"/>
    <w:rsid w:val="00113329"/>
    <w:rsid w:val="00114614"/>
    <w:rsid w:val="00115697"/>
    <w:rsid w:val="00116224"/>
    <w:rsid w:val="001165BE"/>
    <w:rsid w:val="0011782A"/>
    <w:rsid w:val="00117FAD"/>
    <w:rsid w:val="00120FD2"/>
    <w:rsid w:val="001218A5"/>
    <w:rsid w:val="00121B6E"/>
    <w:rsid w:val="0012354B"/>
    <w:rsid w:val="001244B8"/>
    <w:rsid w:val="00125029"/>
    <w:rsid w:val="0012550B"/>
    <w:rsid w:val="00125F16"/>
    <w:rsid w:val="00127A41"/>
    <w:rsid w:val="00132CE9"/>
    <w:rsid w:val="00134A48"/>
    <w:rsid w:val="001356F5"/>
    <w:rsid w:val="00140254"/>
    <w:rsid w:val="0014245E"/>
    <w:rsid w:val="00143DAB"/>
    <w:rsid w:val="0014568D"/>
    <w:rsid w:val="00146F44"/>
    <w:rsid w:val="00147422"/>
    <w:rsid w:val="00147D20"/>
    <w:rsid w:val="00150061"/>
    <w:rsid w:val="0015034F"/>
    <w:rsid w:val="00150A04"/>
    <w:rsid w:val="00150C88"/>
    <w:rsid w:val="00151E1F"/>
    <w:rsid w:val="00152FE1"/>
    <w:rsid w:val="001530B0"/>
    <w:rsid w:val="001548FE"/>
    <w:rsid w:val="00155A9B"/>
    <w:rsid w:val="0015635E"/>
    <w:rsid w:val="001576C1"/>
    <w:rsid w:val="00157FA6"/>
    <w:rsid w:val="001614A6"/>
    <w:rsid w:val="00161912"/>
    <w:rsid w:val="001626F2"/>
    <w:rsid w:val="00163C10"/>
    <w:rsid w:val="0016444C"/>
    <w:rsid w:val="001645A3"/>
    <w:rsid w:val="001645AE"/>
    <w:rsid w:val="001709A1"/>
    <w:rsid w:val="001716FC"/>
    <w:rsid w:val="00172296"/>
    <w:rsid w:val="001723A7"/>
    <w:rsid w:val="0017349D"/>
    <w:rsid w:val="001744F7"/>
    <w:rsid w:val="001746C5"/>
    <w:rsid w:val="0017486E"/>
    <w:rsid w:val="00176489"/>
    <w:rsid w:val="00177AD8"/>
    <w:rsid w:val="00180544"/>
    <w:rsid w:val="00181AB3"/>
    <w:rsid w:val="00183EFA"/>
    <w:rsid w:val="00184204"/>
    <w:rsid w:val="00184286"/>
    <w:rsid w:val="001860A7"/>
    <w:rsid w:val="001873A5"/>
    <w:rsid w:val="001874E8"/>
    <w:rsid w:val="001877C2"/>
    <w:rsid w:val="00187FF3"/>
    <w:rsid w:val="00191E3B"/>
    <w:rsid w:val="0019360E"/>
    <w:rsid w:val="001939F4"/>
    <w:rsid w:val="0019458C"/>
    <w:rsid w:val="00194E79"/>
    <w:rsid w:val="001967BB"/>
    <w:rsid w:val="0019719E"/>
    <w:rsid w:val="00197C9C"/>
    <w:rsid w:val="001A1F39"/>
    <w:rsid w:val="001A3700"/>
    <w:rsid w:val="001A3C9C"/>
    <w:rsid w:val="001A5FF7"/>
    <w:rsid w:val="001A661E"/>
    <w:rsid w:val="001B0350"/>
    <w:rsid w:val="001B1257"/>
    <w:rsid w:val="001B1CFB"/>
    <w:rsid w:val="001B280A"/>
    <w:rsid w:val="001B2B7B"/>
    <w:rsid w:val="001B63F1"/>
    <w:rsid w:val="001B73E6"/>
    <w:rsid w:val="001C0B1D"/>
    <w:rsid w:val="001C1CBB"/>
    <w:rsid w:val="001C2064"/>
    <w:rsid w:val="001C21FF"/>
    <w:rsid w:val="001C4D93"/>
    <w:rsid w:val="001C5005"/>
    <w:rsid w:val="001C54ED"/>
    <w:rsid w:val="001C600E"/>
    <w:rsid w:val="001C7531"/>
    <w:rsid w:val="001D4329"/>
    <w:rsid w:val="001D4FF1"/>
    <w:rsid w:val="001E088F"/>
    <w:rsid w:val="001E1AAB"/>
    <w:rsid w:val="001E2E7A"/>
    <w:rsid w:val="001E3013"/>
    <w:rsid w:val="001E370A"/>
    <w:rsid w:val="001E567E"/>
    <w:rsid w:val="001E597C"/>
    <w:rsid w:val="001E7415"/>
    <w:rsid w:val="001E7E57"/>
    <w:rsid w:val="001E7F0D"/>
    <w:rsid w:val="001F0EB7"/>
    <w:rsid w:val="001F13FB"/>
    <w:rsid w:val="001F2C7A"/>
    <w:rsid w:val="001F3426"/>
    <w:rsid w:val="001F4AA7"/>
    <w:rsid w:val="001F4AD2"/>
    <w:rsid w:val="00200A1A"/>
    <w:rsid w:val="00205A8F"/>
    <w:rsid w:val="00210233"/>
    <w:rsid w:val="00210BD5"/>
    <w:rsid w:val="00210DB2"/>
    <w:rsid w:val="0021298B"/>
    <w:rsid w:val="0021352D"/>
    <w:rsid w:val="002148BD"/>
    <w:rsid w:val="00216D0D"/>
    <w:rsid w:val="00222D4A"/>
    <w:rsid w:val="00224466"/>
    <w:rsid w:val="00224DEE"/>
    <w:rsid w:val="00226991"/>
    <w:rsid w:val="002315AD"/>
    <w:rsid w:val="00231727"/>
    <w:rsid w:val="00232A33"/>
    <w:rsid w:val="00232E21"/>
    <w:rsid w:val="00233C96"/>
    <w:rsid w:val="00233F9F"/>
    <w:rsid w:val="0023469F"/>
    <w:rsid w:val="002350AC"/>
    <w:rsid w:val="00236303"/>
    <w:rsid w:val="0024016E"/>
    <w:rsid w:val="00241491"/>
    <w:rsid w:val="00242654"/>
    <w:rsid w:val="00245A91"/>
    <w:rsid w:val="00245D0F"/>
    <w:rsid w:val="00247488"/>
    <w:rsid w:val="002503D4"/>
    <w:rsid w:val="00250E5B"/>
    <w:rsid w:val="00253D4B"/>
    <w:rsid w:val="00255F95"/>
    <w:rsid w:val="00257798"/>
    <w:rsid w:val="002617F1"/>
    <w:rsid w:val="00263E1A"/>
    <w:rsid w:val="0026456A"/>
    <w:rsid w:val="002647E7"/>
    <w:rsid w:val="00264E18"/>
    <w:rsid w:val="00265B5E"/>
    <w:rsid w:val="00270C93"/>
    <w:rsid w:val="00271035"/>
    <w:rsid w:val="00271B47"/>
    <w:rsid w:val="00273313"/>
    <w:rsid w:val="002734F3"/>
    <w:rsid w:val="00274ED4"/>
    <w:rsid w:val="00275388"/>
    <w:rsid w:val="002753DA"/>
    <w:rsid w:val="00275836"/>
    <w:rsid w:val="00277DF2"/>
    <w:rsid w:val="002802EC"/>
    <w:rsid w:val="00280810"/>
    <w:rsid w:val="00283286"/>
    <w:rsid w:val="002839EF"/>
    <w:rsid w:val="00283D18"/>
    <w:rsid w:val="00285FA0"/>
    <w:rsid w:val="0029003A"/>
    <w:rsid w:val="00290F93"/>
    <w:rsid w:val="00291416"/>
    <w:rsid w:val="00291BB8"/>
    <w:rsid w:val="00292505"/>
    <w:rsid w:val="002931C3"/>
    <w:rsid w:val="002943CB"/>
    <w:rsid w:val="00295218"/>
    <w:rsid w:val="002959D7"/>
    <w:rsid w:val="002A2C7C"/>
    <w:rsid w:val="002A4287"/>
    <w:rsid w:val="002A454B"/>
    <w:rsid w:val="002A4B0A"/>
    <w:rsid w:val="002A5008"/>
    <w:rsid w:val="002A59D7"/>
    <w:rsid w:val="002A5F98"/>
    <w:rsid w:val="002A6889"/>
    <w:rsid w:val="002A7342"/>
    <w:rsid w:val="002A735E"/>
    <w:rsid w:val="002A7A29"/>
    <w:rsid w:val="002A7D89"/>
    <w:rsid w:val="002B2B12"/>
    <w:rsid w:val="002B3D0F"/>
    <w:rsid w:val="002B3FEF"/>
    <w:rsid w:val="002B411D"/>
    <w:rsid w:val="002B57E1"/>
    <w:rsid w:val="002C054C"/>
    <w:rsid w:val="002C0E08"/>
    <w:rsid w:val="002C1CBC"/>
    <w:rsid w:val="002C38CC"/>
    <w:rsid w:val="002C3D3D"/>
    <w:rsid w:val="002C4A4E"/>
    <w:rsid w:val="002C57C8"/>
    <w:rsid w:val="002C621B"/>
    <w:rsid w:val="002C691A"/>
    <w:rsid w:val="002C6F43"/>
    <w:rsid w:val="002D2030"/>
    <w:rsid w:val="002D3B07"/>
    <w:rsid w:val="002D4206"/>
    <w:rsid w:val="002D5DCE"/>
    <w:rsid w:val="002D6994"/>
    <w:rsid w:val="002E230D"/>
    <w:rsid w:val="002E2B38"/>
    <w:rsid w:val="002E3500"/>
    <w:rsid w:val="002E3D2E"/>
    <w:rsid w:val="002E585F"/>
    <w:rsid w:val="002E6228"/>
    <w:rsid w:val="002F1295"/>
    <w:rsid w:val="002F17DF"/>
    <w:rsid w:val="002F3955"/>
    <w:rsid w:val="002F4A10"/>
    <w:rsid w:val="002F596B"/>
    <w:rsid w:val="002F5A04"/>
    <w:rsid w:val="002F6E7B"/>
    <w:rsid w:val="002F6FED"/>
    <w:rsid w:val="002F750B"/>
    <w:rsid w:val="002F764B"/>
    <w:rsid w:val="00300564"/>
    <w:rsid w:val="00301740"/>
    <w:rsid w:val="003029FB"/>
    <w:rsid w:val="00302D8A"/>
    <w:rsid w:val="003045A0"/>
    <w:rsid w:val="00307909"/>
    <w:rsid w:val="00311C2D"/>
    <w:rsid w:val="00311C94"/>
    <w:rsid w:val="00311CAD"/>
    <w:rsid w:val="0031601D"/>
    <w:rsid w:val="003162FA"/>
    <w:rsid w:val="003173CD"/>
    <w:rsid w:val="003215DA"/>
    <w:rsid w:val="003218A6"/>
    <w:rsid w:val="003221A1"/>
    <w:rsid w:val="003229E1"/>
    <w:rsid w:val="0032442B"/>
    <w:rsid w:val="00324909"/>
    <w:rsid w:val="00325E1C"/>
    <w:rsid w:val="0032784B"/>
    <w:rsid w:val="00330D73"/>
    <w:rsid w:val="00331273"/>
    <w:rsid w:val="003318E9"/>
    <w:rsid w:val="00331DBF"/>
    <w:rsid w:val="00333291"/>
    <w:rsid w:val="0033473C"/>
    <w:rsid w:val="0033500A"/>
    <w:rsid w:val="00337699"/>
    <w:rsid w:val="0034151D"/>
    <w:rsid w:val="00341EA9"/>
    <w:rsid w:val="00344A78"/>
    <w:rsid w:val="0034518C"/>
    <w:rsid w:val="00345690"/>
    <w:rsid w:val="00345CE8"/>
    <w:rsid w:val="00347EB4"/>
    <w:rsid w:val="003532BF"/>
    <w:rsid w:val="003536C5"/>
    <w:rsid w:val="00353E19"/>
    <w:rsid w:val="00355861"/>
    <w:rsid w:val="00355B21"/>
    <w:rsid w:val="00356C3D"/>
    <w:rsid w:val="003574D7"/>
    <w:rsid w:val="00357ABC"/>
    <w:rsid w:val="00363088"/>
    <w:rsid w:val="00363851"/>
    <w:rsid w:val="003642EB"/>
    <w:rsid w:val="00364B18"/>
    <w:rsid w:val="00364EAC"/>
    <w:rsid w:val="00367750"/>
    <w:rsid w:val="003723AC"/>
    <w:rsid w:val="00374F7D"/>
    <w:rsid w:val="00375267"/>
    <w:rsid w:val="00376429"/>
    <w:rsid w:val="00376DEE"/>
    <w:rsid w:val="003774B5"/>
    <w:rsid w:val="00380241"/>
    <w:rsid w:val="003821BC"/>
    <w:rsid w:val="003821EF"/>
    <w:rsid w:val="003830FC"/>
    <w:rsid w:val="00383326"/>
    <w:rsid w:val="003836C2"/>
    <w:rsid w:val="00386402"/>
    <w:rsid w:val="00386DC3"/>
    <w:rsid w:val="003873B2"/>
    <w:rsid w:val="00387C2D"/>
    <w:rsid w:val="00391C6A"/>
    <w:rsid w:val="00393B85"/>
    <w:rsid w:val="00394104"/>
    <w:rsid w:val="003962BD"/>
    <w:rsid w:val="003A1173"/>
    <w:rsid w:val="003A1434"/>
    <w:rsid w:val="003A253C"/>
    <w:rsid w:val="003A2645"/>
    <w:rsid w:val="003A2744"/>
    <w:rsid w:val="003A29C8"/>
    <w:rsid w:val="003A2E2B"/>
    <w:rsid w:val="003A36F1"/>
    <w:rsid w:val="003A3CF1"/>
    <w:rsid w:val="003A4B53"/>
    <w:rsid w:val="003A55FC"/>
    <w:rsid w:val="003B4202"/>
    <w:rsid w:val="003B4855"/>
    <w:rsid w:val="003B49B0"/>
    <w:rsid w:val="003B5696"/>
    <w:rsid w:val="003B5717"/>
    <w:rsid w:val="003C0D69"/>
    <w:rsid w:val="003C3E84"/>
    <w:rsid w:val="003C6147"/>
    <w:rsid w:val="003D09A6"/>
    <w:rsid w:val="003D0D43"/>
    <w:rsid w:val="003D1E38"/>
    <w:rsid w:val="003D2F39"/>
    <w:rsid w:val="003D30FF"/>
    <w:rsid w:val="003D3DE5"/>
    <w:rsid w:val="003D4D7E"/>
    <w:rsid w:val="003D688D"/>
    <w:rsid w:val="003D713F"/>
    <w:rsid w:val="003D79B8"/>
    <w:rsid w:val="003E1C20"/>
    <w:rsid w:val="003E2CCA"/>
    <w:rsid w:val="003E3095"/>
    <w:rsid w:val="003E365C"/>
    <w:rsid w:val="003E3D60"/>
    <w:rsid w:val="003E3F6E"/>
    <w:rsid w:val="003E7EDA"/>
    <w:rsid w:val="003F027B"/>
    <w:rsid w:val="003F02C2"/>
    <w:rsid w:val="003F0D9A"/>
    <w:rsid w:val="003F1255"/>
    <w:rsid w:val="003F2BE2"/>
    <w:rsid w:val="003F39DD"/>
    <w:rsid w:val="00400C45"/>
    <w:rsid w:val="00400E11"/>
    <w:rsid w:val="004029BF"/>
    <w:rsid w:val="00404EDF"/>
    <w:rsid w:val="00404EE4"/>
    <w:rsid w:val="00405111"/>
    <w:rsid w:val="00407BAF"/>
    <w:rsid w:val="00410207"/>
    <w:rsid w:val="00411E2F"/>
    <w:rsid w:val="00412E93"/>
    <w:rsid w:val="00413347"/>
    <w:rsid w:val="00415656"/>
    <w:rsid w:val="00415754"/>
    <w:rsid w:val="00416450"/>
    <w:rsid w:val="00416835"/>
    <w:rsid w:val="00420758"/>
    <w:rsid w:val="00420E59"/>
    <w:rsid w:val="004225DC"/>
    <w:rsid w:val="00422853"/>
    <w:rsid w:val="00422A29"/>
    <w:rsid w:val="00425834"/>
    <w:rsid w:val="004265E2"/>
    <w:rsid w:val="00426845"/>
    <w:rsid w:val="004272A9"/>
    <w:rsid w:val="004307FC"/>
    <w:rsid w:val="00436179"/>
    <w:rsid w:val="00437229"/>
    <w:rsid w:val="004372A3"/>
    <w:rsid w:val="00437B21"/>
    <w:rsid w:val="00440127"/>
    <w:rsid w:val="004407AA"/>
    <w:rsid w:val="00440E79"/>
    <w:rsid w:val="004413D1"/>
    <w:rsid w:val="0044259B"/>
    <w:rsid w:val="004430ED"/>
    <w:rsid w:val="00443B39"/>
    <w:rsid w:val="00445494"/>
    <w:rsid w:val="004460F5"/>
    <w:rsid w:val="00446CB6"/>
    <w:rsid w:val="00450C14"/>
    <w:rsid w:val="00455144"/>
    <w:rsid w:val="00456134"/>
    <w:rsid w:val="004567B2"/>
    <w:rsid w:val="00463248"/>
    <w:rsid w:val="0046339D"/>
    <w:rsid w:val="00465E66"/>
    <w:rsid w:val="00466D0C"/>
    <w:rsid w:val="004673F5"/>
    <w:rsid w:val="00471499"/>
    <w:rsid w:val="00471990"/>
    <w:rsid w:val="00473C3C"/>
    <w:rsid w:val="00473F19"/>
    <w:rsid w:val="00474A18"/>
    <w:rsid w:val="004765B0"/>
    <w:rsid w:val="004772CE"/>
    <w:rsid w:val="0048076C"/>
    <w:rsid w:val="00481CA2"/>
    <w:rsid w:val="0048231B"/>
    <w:rsid w:val="00483122"/>
    <w:rsid w:val="00484E8F"/>
    <w:rsid w:val="00484EBF"/>
    <w:rsid w:val="00484EC6"/>
    <w:rsid w:val="00484FB3"/>
    <w:rsid w:val="00486CE0"/>
    <w:rsid w:val="00490CC4"/>
    <w:rsid w:val="0049249F"/>
    <w:rsid w:val="00493626"/>
    <w:rsid w:val="00495266"/>
    <w:rsid w:val="00495B46"/>
    <w:rsid w:val="00496335"/>
    <w:rsid w:val="00496350"/>
    <w:rsid w:val="00497B28"/>
    <w:rsid w:val="004A069E"/>
    <w:rsid w:val="004A0FD8"/>
    <w:rsid w:val="004A14CE"/>
    <w:rsid w:val="004A2201"/>
    <w:rsid w:val="004A2DC6"/>
    <w:rsid w:val="004A50E9"/>
    <w:rsid w:val="004A60C1"/>
    <w:rsid w:val="004B08AA"/>
    <w:rsid w:val="004B1B3D"/>
    <w:rsid w:val="004B34C9"/>
    <w:rsid w:val="004B424E"/>
    <w:rsid w:val="004B55E5"/>
    <w:rsid w:val="004B6737"/>
    <w:rsid w:val="004C5062"/>
    <w:rsid w:val="004D0782"/>
    <w:rsid w:val="004D0A11"/>
    <w:rsid w:val="004D0AD4"/>
    <w:rsid w:val="004D1737"/>
    <w:rsid w:val="004D2382"/>
    <w:rsid w:val="004D4881"/>
    <w:rsid w:val="004D57FB"/>
    <w:rsid w:val="004D6A54"/>
    <w:rsid w:val="004E0CAA"/>
    <w:rsid w:val="004E1947"/>
    <w:rsid w:val="004E4AC3"/>
    <w:rsid w:val="004E5705"/>
    <w:rsid w:val="004F0D68"/>
    <w:rsid w:val="004F0DBF"/>
    <w:rsid w:val="004F0E72"/>
    <w:rsid w:val="004F2566"/>
    <w:rsid w:val="004F368F"/>
    <w:rsid w:val="004F5636"/>
    <w:rsid w:val="004F67A1"/>
    <w:rsid w:val="004F6A4B"/>
    <w:rsid w:val="004F79A8"/>
    <w:rsid w:val="005032D8"/>
    <w:rsid w:val="005046C5"/>
    <w:rsid w:val="00510420"/>
    <w:rsid w:val="005107F8"/>
    <w:rsid w:val="005110D2"/>
    <w:rsid w:val="00512FC1"/>
    <w:rsid w:val="00517D2F"/>
    <w:rsid w:val="00521E61"/>
    <w:rsid w:val="00522C97"/>
    <w:rsid w:val="00522E4D"/>
    <w:rsid w:val="005243FE"/>
    <w:rsid w:val="005247D8"/>
    <w:rsid w:val="00532429"/>
    <w:rsid w:val="00534AC0"/>
    <w:rsid w:val="00537681"/>
    <w:rsid w:val="005401EE"/>
    <w:rsid w:val="00543E62"/>
    <w:rsid w:val="0054713B"/>
    <w:rsid w:val="0054786D"/>
    <w:rsid w:val="00552DC2"/>
    <w:rsid w:val="005536EF"/>
    <w:rsid w:val="00554215"/>
    <w:rsid w:val="00554B33"/>
    <w:rsid w:val="005551B0"/>
    <w:rsid w:val="00555A7F"/>
    <w:rsid w:val="00555ACA"/>
    <w:rsid w:val="00556556"/>
    <w:rsid w:val="00557609"/>
    <w:rsid w:val="00557839"/>
    <w:rsid w:val="0055784C"/>
    <w:rsid w:val="00557A6F"/>
    <w:rsid w:val="00560166"/>
    <w:rsid w:val="00561D64"/>
    <w:rsid w:val="00562FA5"/>
    <w:rsid w:val="00563AF3"/>
    <w:rsid w:val="00563EF4"/>
    <w:rsid w:val="00564368"/>
    <w:rsid w:val="00564599"/>
    <w:rsid w:val="00567166"/>
    <w:rsid w:val="00567DAB"/>
    <w:rsid w:val="00567ECF"/>
    <w:rsid w:val="005701C8"/>
    <w:rsid w:val="005704A9"/>
    <w:rsid w:val="005708E6"/>
    <w:rsid w:val="0057190A"/>
    <w:rsid w:val="0057336F"/>
    <w:rsid w:val="005802D6"/>
    <w:rsid w:val="0058382D"/>
    <w:rsid w:val="005844A0"/>
    <w:rsid w:val="0058668B"/>
    <w:rsid w:val="005904C2"/>
    <w:rsid w:val="00591B67"/>
    <w:rsid w:val="00597B7B"/>
    <w:rsid w:val="005A14E8"/>
    <w:rsid w:val="005A4619"/>
    <w:rsid w:val="005A516D"/>
    <w:rsid w:val="005A583F"/>
    <w:rsid w:val="005A6D61"/>
    <w:rsid w:val="005B0207"/>
    <w:rsid w:val="005B1AE8"/>
    <w:rsid w:val="005B3A23"/>
    <w:rsid w:val="005B5453"/>
    <w:rsid w:val="005B6524"/>
    <w:rsid w:val="005B6FC9"/>
    <w:rsid w:val="005C00B7"/>
    <w:rsid w:val="005C0579"/>
    <w:rsid w:val="005C0D3C"/>
    <w:rsid w:val="005C0EDA"/>
    <w:rsid w:val="005C10D2"/>
    <w:rsid w:val="005C19E3"/>
    <w:rsid w:val="005C41CB"/>
    <w:rsid w:val="005C4DAD"/>
    <w:rsid w:val="005C571B"/>
    <w:rsid w:val="005C5EAC"/>
    <w:rsid w:val="005C672C"/>
    <w:rsid w:val="005C6FFA"/>
    <w:rsid w:val="005C7C82"/>
    <w:rsid w:val="005C7CA1"/>
    <w:rsid w:val="005D0299"/>
    <w:rsid w:val="005D052C"/>
    <w:rsid w:val="005D24F2"/>
    <w:rsid w:val="005D2D7E"/>
    <w:rsid w:val="005D38C9"/>
    <w:rsid w:val="005D6407"/>
    <w:rsid w:val="005E211B"/>
    <w:rsid w:val="005E240E"/>
    <w:rsid w:val="005E246C"/>
    <w:rsid w:val="005E4F36"/>
    <w:rsid w:val="005E510A"/>
    <w:rsid w:val="005E5287"/>
    <w:rsid w:val="005F0B37"/>
    <w:rsid w:val="005F5636"/>
    <w:rsid w:val="005F7AE6"/>
    <w:rsid w:val="00600A12"/>
    <w:rsid w:val="00606FAA"/>
    <w:rsid w:val="006075B8"/>
    <w:rsid w:val="00607D3D"/>
    <w:rsid w:val="00617770"/>
    <w:rsid w:val="0062028C"/>
    <w:rsid w:val="006202E1"/>
    <w:rsid w:val="006204C0"/>
    <w:rsid w:val="00620829"/>
    <w:rsid w:val="006215F1"/>
    <w:rsid w:val="00623847"/>
    <w:rsid w:val="00623EB8"/>
    <w:rsid w:val="00624DAE"/>
    <w:rsid w:val="006257BA"/>
    <w:rsid w:val="00625AFC"/>
    <w:rsid w:val="006265CA"/>
    <w:rsid w:val="006267ED"/>
    <w:rsid w:val="006311C6"/>
    <w:rsid w:val="00634F37"/>
    <w:rsid w:val="0063579F"/>
    <w:rsid w:val="00635AC9"/>
    <w:rsid w:val="00636923"/>
    <w:rsid w:val="00640CE2"/>
    <w:rsid w:val="00651172"/>
    <w:rsid w:val="00651690"/>
    <w:rsid w:val="006602C4"/>
    <w:rsid w:val="00661B93"/>
    <w:rsid w:val="00662621"/>
    <w:rsid w:val="006629CD"/>
    <w:rsid w:val="00663AEA"/>
    <w:rsid w:val="00664060"/>
    <w:rsid w:val="00666E2C"/>
    <w:rsid w:val="006670BD"/>
    <w:rsid w:val="006670C1"/>
    <w:rsid w:val="00667681"/>
    <w:rsid w:val="006703BB"/>
    <w:rsid w:val="00670C0E"/>
    <w:rsid w:val="00671A9F"/>
    <w:rsid w:val="00671B79"/>
    <w:rsid w:val="00672386"/>
    <w:rsid w:val="006726E7"/>
    <w:rsid w:val="0067294F"/>
    <w:rsid w:val="00673870"/>
    <w:rsid w:val="00673A22"/>
    <w:rsid w:val="00674FF0"/>
    <w:rsid w:val="0067623E"/>
    <w:rsid w:val="00677EED"/>
    <w:rsid w:val="006808D2"/>
    <w:rsid w:val="00680E13"/>
    <w:rsid w:val="00681BF8"/>
    <w:rsid w:val="00685DEB"/>
    <w:rsid w:val="0068662D"/>
    <w:rsid w:val="006879C0"/>
    <w:rsid w:val="00690EF2"/>
    <w:rsid w:val="00692F87"/>
    <w:rsid w:val="006960B1"/>
    <w:rsid w:val="0069688D"/>
    <w:rsid w:val="00696894"/>
    <w:rsid w:val="006A00BD"/>
    <w:rsid w:val="006A3DAF"/>
    <w:rsid w:val="006A3FAE"/>
    <w:rsid w:val="006A71F5"/>
    <w:rsid w:val="006A7979"/>
    <w:rsid w:val="006B051B"/>
    <w:rsid w:val="006B18AA"/>
    <w:rsid w:val="006B55D0"/>
    <w:rsid w:val="006B5811"/>
    <w:rsid w:val="006B5F14"/>
    <w:rsid w:val="006B6470"/>
    <w:rsid w:val="006B6482"/>
    <w:rsid w:val="006B6A05"/>
    <w:rsid w:val="006C28B0"/>
    <w:rsid w:val="006C403C"/>
    <w:rsid w:val="006C42DF"/>
    <w:rsid w:val="006C4C00"/>
    <w:rsid w:val="006C64DD"/>
    <w:rsid w:val="006C7382"/>
    <w:rsid w:val="006D1984"/>
    <w:rsid w:val="006D1AB9"/>
    <w:rsid w:val="006D2AC8"/>
    <w:rsid w:val="006D2AFF"/>
    <w:rsid w:val="006D3126"/>
    <w:rsid w:val="006D4693"/>
    <w:rsid w:val="006E2128"/>
    <w:rsid w:val="006E261E"/>
    <w:rsid w:val="006E2B93"/>
    <w:rsid w:val="006E3AD1"/>
    <w:rsid w:val="006E3E3E"/>
    <w:rsid w:val="006E6601"/>
    <w:rsid w:val="006F0326"/>
    <w:rsid w:val="006F0511"/>
    <w:rsid w:val="006F0B85"/>
    <w:rsid w:val="006F0CCE"/>
    <w:rsid w:val="006F272C"/>
    <w:rsid w:val="006F2945"/>
    <w:rsid w:val="006F3344"/>
    <w:rsid w:val="006F4E43"/>
    <w:rsid w:val="006F60BD"/>
    <w:rsid w:val="006F7200"/>
    <w:rsid w:val="00703FF2"/>
    <w:rsid w:val="00704230"/>
    <w:rsid w:val="00705A01"/>
    <w:rsid w:val="00705BFD"/>
    <w:rsid w:val="0070609A"/>
    <w:rsid w:val="00706918"/>
    <w:rsid w:val="00706C8D"/>
    <w:rsid w:val="007101B8"/>
    <w:rsid w:val="0071261E"/>
    <w:rsid w:val="00713FC7"/>
    <w:rsid w:val="00714581"/>
    <w:rsid w:val="0071564F"/>
    <w:rsid w:val="00715CC3"/>
    <w:rsid w:val="00715F18"/>
    <w:rsid w:val="007160DC"/>
    <w:rsid w:val="00716742"/>
    <w:rsid w:val="0071788C"/>
    <w:rsid w:val="0072004E"/>
    <w:rsid w:val="00720DF0"/>
    <w:rsid w:val="00721587"/>
    <w:rsid w:val="00723080"/>
    <w:rsid w:val="00724BC6"/>
    <w:rsid w:val="00724D4F"/>
    <w:rsid w:val="00727E65"/>
    <w:rsid w:val="007349BB"/>
    <w:rsid w:val="007351CA"/>
    <w:rsid w:val="00736150"/>
    <w:rsid w:val="007368B7"/>
    <w:rsid w:val="00740100"/>
    <w:rsid w:val="00741607"/>
    <w:rsid w:val="0074174A"/>
    <w:rsid w:val="00743007"/>
    <w:rsid w:val="00744E9C"/>
    <w:rsid w:val="0074606B"/>
    <w:rsid w:val="007467ED"/>
    <w:rsid w:val="007506DB"/>
    <w:rsid w:val="00750F4E"/>
    <w:rsid w:val="007517E4"/>
    <w:rsid w:val="007521E9"/>
    <w:rsid w:val="0075235A"/>
    <w:rsid w:val="00753F9F"/>
    <w:rsid w:val="00754343"/>
    <w:rsid w:val="00756827"/>
    <w:rsid w:val="00757CD8"/>
    <w:rsid w:val="007617EE"/>
    <w:rsid w:val="007619FC"/>
    <w:rsid w:val="00761F13"/>
    <w:rsid w:val="00764BD3"/>
    <w:rsid w:val="0076552B"/>
    <w:rsid w:val="00765F0F"/>
    <w:rsid w:val="00771BE1"/>
    <w:rsid w:val="00774793"/>
    <w:rsid w:val="00774D52"/>
    <w:rsid w:val="007807AD"/>
    <w:rsid w:val="00781550"/>
    <w:rsid w:val="00783DC8"/>
    <w:rsid w:val="00784418"/>
    <w:rsid w:val="007860AE"/>
    <w:rsid w:val="00787D4C"/>
    <w:rsid w:val="0079308C"/>
    <w:rsid w:val="007954D1"/>
    <w:rsid w:val="007958B8"/>
    <w:rsid w:val="007966AB"/>
    <w:rsid w:val="00797061"/>
    <w:rsid w:val="007978AC"/>
    <w:rsid w:val="007A0376"/>
    <w:rsid w:val="007A04E6"/>
    <w:rsid w:val="007A1C51"/>
    <w:rsid w:val="007A22C1"/>
    <w:rsid w:val="007A22CE"/>
    <w:rsid w:val="007A344E"/>
    <w:rsid w:val="007A4BB8"/>
    <w:rsid w:val="007B0FFD"/>
    <w:rsid w:val="007B1370"/>
    <w:rsid w:val="007B13EA"/>
    <w:rsid w:val="007B1E02"/>
    <w:rsid w:val="007B360D"/>
    <w:rsid w:val="007B4A46"/>
    <w:rsid w:val="007B7F80"/>
    <w:rsid w:val="007C0250"/>
    <w:rsid w:val="007C07C8"/>
    <w:rsid w:val="007C574F"/>
    <w:rsid w:val="007C7059"/>
    <w:rsid w:val="007D0253"/>
    <w:rsid w:val="007D05B5"/>
    <w:rsid w:val="007D0690"/>
    <w:rsid w:val="007D0D64"/>
    <w:rsid w:val="007D2E5B"/>
    <w:rsid w:val="007D40D8"/>
    <w:rsid w:val="007D5055"/>
    <w:rsid w:val="007D5224"/>
    <w:rsid w:val="007D6076"/>
    <w:rsid w:val="007D6B0E"/>
    <w:rsid w:val="007E153B"/>
    <w:rsid w:val="007E1E79"/>
    <w:rsid w:val="007E225D"/>
    <w:rsid w:val="007E32BD"/>
    <w:rsid w:val="007E3326"/>
    <w:rsid w:val="007E4064"/>
    <w:rsid w:val="007E5933"/>
    <w:rsid w:val="007E5E62"/>
    <w:rsid w:val="007E7D16"/>
    <w:rsid w:val="007F1A02"/>
    <w:rsid w:val="007F3138"/>
    <w:rsid w:val="007F4E13"/>
    <w:rsid w:val="007F5CFA"/>
    <w:rsid w:val="007F6C61"/>
    <w:rsid w:val="008008AE"/>
    <w:rsid w:val="00802256"/>
    <w:rsid w:val="0080275A"/>
    <w:rsid w:val="0080381B"/>
    <w:rsid w:val="00810A15"/>
    <w:rsid w:val="008150A3"/>
    <w:rsid w:val="0081588B"/>
    <w:rsid w:val="008168DA"/>
    <w:rsid w:val="008176D6"/>
    <w:rsid w:val="008243FF"/>
    <w:rsid w:val="00824DA6"/>
    <w:rsid w:val="00824E90"/>
    <w:rsid w:val="00825858"/>
    <w:rsid w:val="00825FE0"/>
    <w:rsid w:val="00827F77"/>
    <w:rsid w:val="0083083C"/>
    <w:rsid w:val="008319B7"/>
    <w:rsid w:val="008325F7"/>
    <w:rsid w:val="00833BC7"/>
    <w:rsid w:val="00833D47"/>
    <w:rsid w:val="00833E70"/>
    <w:rsid w:val="00835230"/>
    <w:rsid w:val="008355F6"/>
    <w:rsid w:val="00835699"/>
    <w:rsid w:val="00836174"/>
    <w:rsid w:val="008406DE"/>
    <w:rsid w:val="00841283"/>
    <w:rsid w:val="008414EC"/>
    <w:rsid w:val="00841FE6"/>
    <w:rsid w:val="00845A9D"/>
    <w:rsid w:val="00845E96"/>
    <w:rsid w:val="008471CA"/>
    <w:rsid w:val="00850364"/>
    <w:rsid w:val="008528C5"/>
    <w:rsid w:val="00854C72"/>
    <w:rsid w:val="00855090"/>
    <w:rsid w:val="00855948"/>
    <w:rsid w:val="008579D8"/>
    <w:rsid w:val="00857B49"/>
    <w:rsid w:val="008610A9"/>
    <w:rsid w:val="0086217C"/>
    <w:rsid w:val="008640B4"/>
    <w:rsid w:val="00864547"/>
    <w:rsid w:val="0087217D"/>
    <w:rsid w:val="008726C7"/>
    <w:rsid w:val="008742D2"/>
    <w:rsid w:val="00875839"/>
    <w:rsid w:val="00876D6F"/>
    <w:rsid w:val="008801D5"/>
    <w:rsid w:val="00880CB7"/>
    <w:rsid w:val="0088137D"/>
    <w:rsid w:val="0088230A"/>
    <w:rsid w:val="00883B35"/>
    <w:rsid w:val="00884D9C"/>
    <w:rsid w:val="00891FC1"/>
    <w:rsid w:val="00892F71"/>
    <w:rsid w:val="00893779"/>
    <w:rsid w:val="00895951"/>
    <w:rsid w:val="00896D09"/>
    <w:rsid w:val="00897585"/>
    <w:rsid w:val="008A2113"/>
    <w:rsid w:val="008A3BA4"/>
    <w:rsid w:val="008A480E"/>
    <w:rsid w:val="008A532E"/>
    <w:rsid w:val="008A59AD"/>
    <w:rsid w:val="008A6EE2"/>
    <w:rsid w:val="008A7353"/>
    <w:rsid w:val="008B08F1"/>
    <w:rsid w:val="008B4208"/>
    <w:rsid w:val="008B454F"/>
    <w:rsid w:val="008B4C6F"/>
    <w:rsid w:val="008B526E"/>
    <w:rsid w:val="008B5EB7"/>
    <w:rsid w:val="008C0868"/>
    <w:rsid w:val="008C217D"/>
    <w:rsid w:val="008C2A38"/>
    <w:rsid w:val="008C3106"/>
    <w:rsid w:val="008C463E"/>
    <w:rsid w:val="008C4FBE"/>
    <w:rsid w:val="008C59C7"/>
    <w:rsid w:val="008C6570"/>
    <w:rsid w:val="008C73AC"/>
    <w:rsid w:val="008D0A8A"/>
    <w:rsid w:val="008D24B6"/>
    <w:rsid w:val="008D294B"/>
    <w:rsid w:val="008D5FA2"/>
    <w:rsid w:val="008D6A8B"/>
    <w:rsid w:val="008D7178"/>
    <w:rsid w:val="008D73CF"/>
    <w:rsid w:val="008E143C"/>
    <w:rsid w:val="008E155A"/>
    <w:rsid w:val="008E374A"/>
    <w:rsid w:val="008E4322"/>
    <w:rsid w:val="008E4CE9"/>
    <w:rsid w:val="008E6E46"/>
    <w:rsid w:val="008F329C"/>
    <w:rsid w:val="008F3477"/>
    <w:rsid w:val="008F35A9"/>
    <w:rsid w:val="008F41E6"/>
    <w:rsid w:val="008F6366"/>
    <w:rsid w:val="008F6DF1"/>
    <w:rsid w:val="00903D3D"/>
    <w:rsid w:val="0090440E"/>
    <w:rsid w:val="00904716"/>
    <w:rsid w:val="00904C01"/>
    <w:rsid w:val="00904C42"/>
    <w:rsid w:val="0090782A"/>
    <w:rsid w:val="00910B78"/>
    <w:rsid w:val="00911877"/>
    <w:rsid w:val="00912402"/>
    <w:rsid w:val="009143F3"/>
    <w:rsid w:val="009154C9"/>
    <w:rsid w:val="00916EF4"/>
    <w:rsid w:val="00917D1D"/>
    <w:rsid w:val="00920106"/>
    <w:rsid w:val="00922C0B"/>
    <w:rsid w:val="00922C11"/>
    <w:rsid w:val="009239E1"/>
    <w:rsid w:val="00923C47"/>
    <w:rsid w:val="00923D56"/>
    <w:rsid w:val="00926B02"/>
    <w:rsid w:val="00931235"/>
    <w:rsid w:val="009352D0"/>
    <w:rsid w:val="009358BA"/>
    <w:rsid w:val="009376CA"/>
    <w:rsid w:val="00940A41"/>
    <w:rsid w:val="00941591"/>
    <w:rsid w:val="00943968"/>
    <w:rsid w:val="009440F0"/>
    <w:rsid w:val="009443AA"/>
    <w:rsid w:val="0094656E"/>
    <w:rsid w:val="00946935"/>
    <w:rsid w:val="00950619"/>
    <w:rsid w:val="00950CC1"/>
    <w:rsid w:val="009520C8"/>
    <w:rsid w:val="0095217A"/>
    <w:rsid w:val="00955FA6"/>
    <w:rsid w:val="00960C0E"/>
    <w:rsid w:val="0096138E"/>
    <w:rsid w:val="00963FC7"/>
    <w:rsid w:val="0097051A"/>
    <w:rsid w:val="009706C8"/>
    <w:rsid w:val="00972FAC"/>
    <w:rsid w:val="00974BD7"/>
    <w:rsid w:val="00975C31"/>
    <w:rsid w:val="00975D17"/>
    <w:rsid w:val="00975D2B"/>
    <w:rsid w:val="00975F72"/>
    <w:rsid w:val="00976FBF"/>
    <w:rsid w:val="009820A8"/>
    <w:rsid w:val="0098411B"/>
    <w:rsid w:val="00984734"/>
    <w:rsid w:val="009872ED"/>
    <w:rsid w:val="00987FC0"/>
    <w:rsid w:val="00987FC2"/>
    <w:rsid w:val="00992D59"/>
    <w:rsid w:val="0099447D"/>
    <w:rsid w:val="0099546F"/>
    <w:rsid w:val="009968EF"/>
    <w:rsid w:val="009A11D0"/>
    <w:rsid w:val="009A2834"/>
    <w:rsid w:val="009A2906"/>
    <w:rsid w:val="009A2D55"/>
    <w:rsid w:val="009A2F99"/>
    <w:rsid w:val="009A3972"/>
    <w:rsid w:val="009A6425"/>
    <w:rsid w:val="009A6A27"/>
    <w:rsid w:val="009A7416"/>
    <w:rsid w:val="009B41BB"/>
    <w:rsid w:val="009B41EE"/>
    <w:rsid w:val="009B4858"/>
    <w:rsid w:val="009B485A"/>
    <w:rsid w:val="009B604A"/>
    <w:rsid w:val="009B6F41"/>
    <w:rsid w:val="009B7AAD"/>
    <w:rsid w:val="009C11CD"/>
    <w:rsid w:val="009C4E16"/>
    <w:rsid w:val="009C52A4"/>
    <w:rsid w:val="009C6ACF"/>
    <w:rsid w:val="009C78B8"/>
    <w:rsid w:val="009D03B4"/>
    <w:rsid w:val="009D34FE"/>
    <w:rsid w:val="009D4A81"/>
    <w:rsid w:val="009D4D6C"/>
    <w:rsid w:val="009D522C"/>
    <w:rsid w:val="009D54E2"/>
    <w:rsid w:val="009D6BA4"/>
    <w:rsid w:val="009D720D"/>
    <w:rsid w:val="009D7A6D"/>
    <w:rsid w:val="009E04C8"/>
    <w:rsid w:val="009E0C6A"/>
    <w:rsid w:val="009E0D4E"/>
    <w:rsid w:val="009E20C7"/>
    <w:rsid w:val="009E2267"/>
    <w:rsid w:val="009E2282"/>
    <w:rsid w:val="009E368A"/>
    <w:rsid w:val="009E3AC4"/>
    <w:rsid w:val="009E4171"/>
    <w:rsid w:val="009E4288"/>
    <w:rsid w:val="009E43CC"/>
    <w:rsid w:val="009E489D"/>
    <w:rsid w:val="009E7004"/>
    <w:rsid w:val="009E70CC"/>
    <w:rsid w:val="009E78DD"/>
    <w:rsid w:val="009E7ABD"/>
    <w:rsid w:val="009E7E7C"/>
    <w:rsid w:val="009F0135"/>
    <w:rsid w:val="009F036E"/>
    <w:rsid w:val="009F0F27"/>
    <w:rsid w:val="009F2527"/>
    <w:rsid w:val="009F29BD"/>
    <w:rsid w:val="009F4183"/>
    <w:rsid w:val="009F5652"/>
    <w:rsid w:val="00A01426"/>
    <w:rsid w:val="00A0315E"/>
    <w:rsid w:val="00A03404"/>
    <w:rsid w:val="00A04A2C"/>
    <w:rsid w:val="00A04BFB"/>
    <w:rsid w:val="00A0545D"/>
    <w:rsid w:val="00A05D1B"/>
    <w:rsid w:val="00A0634F"/>
    <w:rsid w:val="00A20269"/>
    <w:rsid w:val="00A2214B"/>
    <w:rsid w:val="00A24225"/>
    <w:rsid w:val="00A253D2"/>
    <w:rsid w:val="00A26810"/>
    <w:rsid w:val="00A3188A"/>
    <w:rsid w:val="00A3198C"/>
    <w:rsid w:val="00A33900"/>
    <w:rsid w:val="00A3489B"/>
    <w:rsid w:val="00A35BBB"/>
    <w:rsid w:val="00A37981"/>
    <w:rsid w:val="00A42821"/>
    <w:rsid w:val="00A446B6"/>
    <w:rsid w:val="00A44B1E"/>
    <w:rsid w:val="00A453B0"/>
    <w:rsid w:val="00A45F78"/>
    <w:rsid w:val="00A46981"/>
    <w:rsid w:val="00A47272"/>
    <w:rsid w:val="00A47BA4"/>
    <w:rsid w:val="00A47CC1"/>
    <w:rsid w:val="00A50582"/>
    <w:rsid w:val="00A5100B"/>
    <w:rsid w:val="00A53679"/>
    <w:rsid w:val="00A54D8F"/>
    <w:rsid w:val="00A55D3F"/>
    <w:rsid w:val="00A57A4C"/>
    <w:rsid w:val="00A60272"/>
    <w:rsid w:val="00A60A60"/>
    <w:rsid w:val="00A61621"/>
    <w:rsid w:val="00A6315C"/>
    <w:rsid w:val="00A637FA"/>
    <w:rsid w:val="00A63C86"/>
    <w:rsid w:val="00A64652"/>
    <w:rsid w:val="00A66755"/>
    <w:rsid w:val="00A676A0"/>
    <w:rsid w:val="00A70A28"/>
    <w:rsid w:val="00A73226"/>
    <w:rsid w:val="00A7428B"/>
    <w:rsid w:val="00A74CD4"/>
    <w:rsid w:val="00A756C5"/>
    <w:rsid w:val="00A765AC"/>
    <w:rsid w:val="00A81415"/>
    <w:rsid w:val="00A81F31"/>
    <w:rsid w:val="00A83FF6"/>
    <w:rsid w:val="00A845CE"/>
    <w:rsid w:val="00A8490A"/>
    <w:rsid w:val="00A854D6"/>
    <w:rsid w:val="00A855E9"/>
    <w:rsid w:val="00A87AA0"/>
    <w:rsid w:val="00A87C46"/>
    <w:rsid w:val="00A9144A"/>
    <w:rsid w:val="00A91FAD"/>
    <w:rsid w:val="00A95FE4"/>
    <w:rsid w:val="00A961AA"/>
    <w:rsid w:val="00A96414"/>
    <w:rsid w:val="00A966CC"/>
    <w:rsid w:val="00A96AFA"/>
    <w:rsid w:val="00AA386F"/>
    <w:rsid w:val="00AA393B"/>
    <w:rsid w:val="00AA3BC7"/>
    <w:rsid w:val="00AA5232"/>
    <w:rsid w:val="00AA5EE3"/>
    <w:rsid w:val="00AB093C"/>
    <w:rsid w:val="00AB22F7"/>
    <w:rsid w:val="00AB23EF"/>
    <w:rsid w:val="00AB317F"/>
    <w:rsid w:val="00AB4A6E"/>
    <w:rsid w:val="00AB4F2F"/>
    <w:rsid w:val="00AB7A85"/>
    <w:rsid w:val="00AC3FA0"/>
    <w:rsid w:val="00AC520B"/>
    <w:rsid w:val="00AC62D2"/>
    <w:rsid w:val="00AC6B98"/>
    <w:rsid w:val="00AD251E"/>
    <w:rsid w:val="00AD2916"/>
    <w:rsid w:val="00AD3D03"/>
    <w:rsid w:val="00AD4585"/>
    <w:rsid w:val="00AD46B2"/>
    <w:rsid w:val="00AD4F6A"/>
    <w:rsid w:val="00AD5067"/>
    <w:rsid w:val="00AD5F7B"/>
    <w:rsid w:val="00AD5FB7"/>
    <w:rsid w:val="00AD7C49"/>
    <w:rsid w:val="00AE0190"/>
    <w:rsid w:val="00AE0281"/>
    <w:rsid w:val="00AE2858"/>
    <w:rsid w:val="00AE6D19"/>
    <w:rsid w:val="00AF01FA"/>
    <w:rsid w:val="00AF11F6"/>
    <w:rsid w:val="00AF185C"/>
    <w:rsid w:val="00AF1EDE"/>
    <w:rsid w:val="00AF2368"/>
    <w:rsid w:val="00AF4657"/>
    <w:rsid w:val="00AF4EBC"/>
    <w:rsid w:val="00B02DAF"/>
    <w:rsid w:val="00B0304B"/>
    <w:rsid w:val="00B03EAC"/>
    <w:rsid w:val="00B0412E"/>
    <w:rsid w:val="00B059D4"/>
    <w:rsid w:val="00B13449"/>
    <w:rsid w:val="00B15547"/>
    <w:rsid w:val="00B15B1B"/>
    <w:rsid w:val="00B17340"/>
    <w:rsid w:val="00B17E2B"/>
    <w:rsid w:val="00B202EF"/>
    <w:rsid w:val="00B2134D"/>
    <w:rsid w:val="00B22570"/>
    <w:rsid w:val="00B23DE1"/>
    <w:rsid w:val="00B268D6"/>
    <w:rsid w:val="00B26AE3"/>
    <w:rsid w:val="00B27246"/>
    <w:rsid w:val="00B31B60"/>
    <w:rsid w:val="00B31DAB"/>
    <w:rsid w:val="00B32FEC"/>
    <w:rsid w:val="00B341FF"/>
    <w:rsid w:val="00B363BF"/>
    <w:rsid w:val="00B403A9"/>
    <w:rsid w:val="00B41A17"/>
    <w:rsid w:val="00B42D16"/>
    <w:rsid w:val="00B458F0"/>
    <w:rsid w:val="00B45D6A"/>
    <w:rsid w:val="00B47A11"/>
    <w:rsid w:val="00B50309"/>
    <w:rsid w:val="00B50B3F"/>
    <w:rsid w:val="00B519C0"/>
    <w:rsid w:val="00B52421"/>
    <w:rsid w:val="00B52C1C"/>
    <w:rsid w:val="00B5499E"/>
    <w:rsid w:val="00B549BA"/>
    <w:rsid w:val="00B55842"/>
    <w:rsid w:val="00B55CF3"/>
    <w:rsid w:val="00B616C8"/>
    <w:rsid w:val="00B63353"/>
    <w:rsid w:val="00B63D95"/>
    <w:rsid w:val="00B64286"/>
    <w:rsid w:val="00B66665"/>
    <w:rsid w:val="00B668BC"/>
    <w:rsid w:val="00B673F6"/>
    <w:rsid w:val="00B679E6"/>
    <w:rsid w:val="00B7097A"/>
    <w:rsid w:val="00B71C05"/>
    <w:rsid w:val="00B72660"/>
    <w:rsid w:val="00B73109"/>
    <w:rsid w:val="00B74D89"/>
    <w:rsid w:val="00B75988"/>
    <w:rsid w:val="00B75A08"/>
    <w:rsid w:val="00B7604E"/>
    <w:rsid w:val="00B77671"/>
    <w:rsid w:val="00B77D4F"/>
    <w:rsid w:val="00B82D4B"/>
    <w:rsid w:val="00B8308B"/>
    <w:rsid w:val="00B8308C"/>
    <w:rsid w:val="00B84279"/>
    <w:rsid w:val="00B85870"/>
    <w:rsid w:val="00B85934"/>
    <w:rsid w:val="00B869AC"/>
    <w:rsid w:val="00B873B9"/>
    <w:rsid w:val="00B916D7"/>
    <w:rsid w:val="00B91CE7"/>
    <w:rsid w:val="00B93CCF"/>
    <w:rsid w:val="00B971F9"/>
    <w:rsid w:val="00BA0F52"/>
    <w:rsid w:val="00BA126B"/>
    <w:rsid w:val="00BA201C"/>
    <w:rsid w:val="00BA2DFA"/>
    <w:rsid w:val="00BA31B1"/>
    <w:rsid w:val="00BA71C8"/>
    <w:rsid w:val="00BA7452"/>
    <w:rsid w:val="00BB1940"/>
    <w:rsid w:val="00BB7D79"/>
    <w:rsid w:val="00BC06E8"/>
    <w:rsid w:val="00BC6242"/>
    <w:rsid w:val="00BC67B0"/>
    <w:rsid w:val="00BD0082"/>
    <w:rsid w:val="00BD24A8"/>
    <w:rsid w:val="00BD3B8D"/>
    <w:rsid w:val="00BD4A44"/>
    <w:rsid w:val="00BD506F"/>
    <w:rsid w:val="00BD696E"/>
    <w:rsid w:val="00BD73EB"/>
    <w:rsid w:val="00BE0967"/>
    <w:rsid w:val="00BE0A70"/>
    <w:rsid w:val="00BE1E18"/>
    <w:rsid w:val="00BE401A"/>
    <w:rsid w:val="00BE4C10"/>
    <w:rsid w:val="00BE4C40"/>
    <w:rsid w:val="00BE4FF8"/>
    <w:rsid w:val="00BE5B08"/>
    <w:rsid w:val="00BF2815"/>
    <w:rsid w:val="00BF3241"/>
    <w:rsid w:val="00BF4E6C"/>
    <w:rsid w:val="00BF71FA"/>
    <w:rsid w:val="00BF7AEF"/>
    <w:rsid w:val="00C003D2"/>
    <w:rsid w:val="00C01DED"/>
    <w:rsid w:val="00C044F5"/>
    <w:rsid w:val="00C05533"/>
    <w:rsid w:val="00C07325"/>
    <w:rsid w:val="00C10C29"/>
    <w:rsid w:val="00C16F3B"/>
    <w:rsid w:val="00C17383"/>
    <w:rsid w:val="00C17D71"/>
    <w:rsid w:val="00C2101B"/>
    <w:rsid w:val="00C212A7"/>
    <w:rsid w:val="00C22ADA"/>
    <w:rsid w:val="00C22DAA"/>
    <w:rsid w:val="00C23C40"/>
    <w:rsid w:val="00C25754"/>
    <w:rsid w:val="00C25976"/>
    <w:rsid w:val="00C26B5C"/>
    <w:rsid w:val="00C26F65"/>
    <w:rsid w:val="00C27747"/>
    <w:rsid w:val="00C31107"/>
    <w:rsid w:val="00C3201E"/>
    <w:rsid w:val="00C354B6"/>
    <w:rsid w:val="00C35E3F"/>
    <w:rsid w:val="00C360F4"/>
    <w:rsid w:val="00C362E3"/>
    <w:rsid w:val="00C36E2F"/>
    <w:rsid w:val="00C37C66"/>
    <w:rsid w:val="00C41198"/>
    <w:rsid w:val="00C41751"/>
    <w:rsid w:val="00C445ED"/>
    <w:rsid w:val="00C50E55"/>
    <w:rsid w:val="00C514CD"/>
    <w:rsid w:val="00C51B07"/>
    <w:rsid w:val="00C52381"/>
    <w:rsid w:val="00C55DD6"/>
    <w:rsid w:val="00C55E0A"/>
    <w:rsid w:val="00C566F4"/>
    <w:rsid w:val="00C5703C"/>
    <w:rsid w:val="00C578E0"/>
    <w:rsid w:val="00C66077"/>
    <w:rsid w:val="00C666F2"/>
    <w:rsid w:val="00C67A8B"/>
    <w:rsid w:val="00C70170"/>
    <w:rsid w:val="00C71560"/>
    <w:rsid w:val="00C729D6"/>
    <w:rsid w:val="00C749BF"/>
    <w:rsid w:val="00C7660A"/>
    <w:rsid w:val="00C77979"/>
    <w:rsid w:val="00C805E7"/>
    <w:rsid w:val="00C80C74"/>
    <w:rsid w:val="00C80DC1"/>
    <w:rsid w:val="00C839ED"/>
    <w:rsid w:val="00C855FE"/>
    <w:rsid w:val="00C87365"/>
    <w:rsid w:val="00C90174"/>
    <w:rsid w:val="00C92889"/>
    <w:rsid w:val="00C93ED8"/>
    <w:rsid w:val="00C96DD5"/>
    <w:rsid w:val="00CA0BA0"/>
    <w:rsid w:val="00CA154A"/>
    <w:rsid w:val="00CA1B8F"/>
    <w:rsid w:val="00CA2A86"/>
    <w:rsid w:val="00CA3D5A"/>
    <w:rsid w:val="00CA41AF"/>
    <w:rsid w:val="00CB180E"/>
    <w:rsid w:val="00CB1CB4"/>
    <w:rsid w:val="00CB41EE"/>
    <w:rsid w:val="00CB5C06"/>
    <w:rsid w:val="00CB6462"/>
    <w:rsid w:val="00CB6499"/>
    <w:rsid w:val="00CC2A50"/>
    <w:rsid w:val="00CC3325"/>
    <w:rsid w:val="00CC67CD"/>
    <w:rsid w:val="00CC7189"/>
    <w:rsid w:val="00CC7C57"/>
    <w:rsid w:val="00CD005A"/>
    <w:rsid w:val="00CD1A9E"/>
    <w:rsid w:val="00CD3453"/>
    <w:rsid w:val="00CD3A9B"/>
    <w:rsid w:val="00CD511A"/>
    <w:rsid w:val="00CD6C64"/>
    <w:rsid w:val="00CD717C"/>
    <w:rsid w:val="00CE016D"/>
    <w:rsid w:val="00CE018D"/>
    <w:rsid w:val="00CE0388"/>
    <w:rsid w:val="00CE0705"/>
    <w:rsid w:val="00CE110C"/>
    <w:rsid w:val="00CE2E4A"/>
    <w:rsid w:val="00CE3ED2"/>
    <w:rsid w:val="00CE50F8"/>
    <w:rsid w:val="00CE54EF"/>
    <w:rsid w:val="00CE7F0F"/>
    <w:rsid w:val="00CF1DDE"/>
    <w:rsid w:val="00CF22F7"/>
    <w:rsid w:val="00CF3AF0"/>
    <w:rsid w:val="00CF414F"/>
    <w:rsid w:val="00D03075"/>
    <w:rsid w:val="00D032C3"/>
    <w:rsid w:val="00D04643"/>
    <w:rsid w:val="00D053CB"/>
    <w:rsid w:val="00D05637"/>
    <w:rsid w:val="00D079DB"/>
    <w:rsid w:val="00D10B3C"/>
    <w:rsid w:val="00D10E45"/>
    <w:rsid w:val="00D11309"/>
    <w:rsid w:val="00D12085"/>
    <w:rsid w:val="00D121FF"/>
    <w:rsid w:val="00D12FF8"/>
    <w:rsid w:val="00D130EF"/>
    <w:rsid w:val="00D1451E"/>
    <w:rsid w:val="00D14772"/>
    <w:rsid w:val="00D1483B"/>
    <w:rsid w:val="00D14998"/>
    <w:rsid w:val="00D15B5F"/>
    <w:rsid w:val="00D169D0"/>
    <w:rsid w:val="00D172EB"/>
    <w:rsid w:val="00D22761"/>
    <w:rsid w:val="00D236FD"/>
    <w:rsid w:val="00D26BEA"/>
    <w:rsid w:val="00D31B65"/>
    <w:rsid w:val="00D32870"/>
    <w:rsid w:val="00D33613"/>
    <w:rsid w:val="00D37860"/>
    <w:rsid w:val="00D4032E"/>
    <w:rsid w:val="00D40FFB"/>
    <w:rsid w:val="00D414F0"/>
    <w:rsid w:val="00D42227"/>
    <w:rsid w:val="00D440B4"/>
    <w:rsid w:val="00D44CFB"/>
    <w:rsid w:val="00D4617A"/>
    <w:rsid w:val="00D46306"/>
    <w:rsid w:val="00D467AA"/>
    <w:rsid w:val="00D47959"/>
    <w:rsid w:val="00D521A9"/>
    <w:rsid w:val="00D526B7"/>
    <w:rsid w:val="00D537FA"/>
    <w:rsid w:val="00D53A20"/>
    <w:rsid w:val="00D54E26"/>
    <w:rsid w:val="00D615FF"/>
    <w:rsid w:val="00D633F1"/>
    <w:rsid w:val="00D63416"/>
    <w:rsid w:val="00D65307"/>
    <w:rsid w:val="00D7376A"/>
    <w:rsid w:val="00D759AF"/>
    <w:rsid w:val="00D77A9A"/>
    <w:rsid w:val="00D80BE2"/>
    <w:rsid w:val="00D820F5"/>
    <w:rsid w:val="00D8267B"/>
    <w:rsid w:val="00D83365"/>
    <w:rsid w:val="00D84473"/>
    <w:rsid w:val="00D85D03"/>
    <w:rsid w:val="00D862B6"/>
    <w:rsid w:val="00D86D65"/>
    <w:rsid w:val="00D906B7"/>
    <w:rsid w:val="00D90C5E"/>
    <w:rsid w:val="00D916C6"/>
    <w:rsid w:val="00D91965"/>
    <w:rsid w:val="00D92DCA"/>
    <w:rsid w:val="00D93F5D"/>
    <w:rsid w:val="00D95118"/>
    <w:rsid w:val="00D959CD"/>
    <w:rsid w:val="00D973A3"/>
    <w:rsid w:val="00DA07C9"/>
    <w:rsid w:val="00DA2454"/>
    <w:rsid w:val="00DA6473"/>
    <w:rsid w:val="00DB0A22"/>
    <w:rsid w:val="00DB0C7C"/>
    <w:rsid w:val="00DB10E8"/>
    <w:rsid w:val="00DB13E5"/>
    <w:rsid w:val="00DB188F"/>
    <w:rsid w:val="00DB52B7"/>
    <w:rsid w:val="00DB6C08"/>
    <w:rsid w:val="00DB79C0"/>
    <w:rsid w:val="00DB7C42"/>
    <w:rsid w:val="00DC0813"/>
    <w:rsid w:val="00DC083A"/>
    <w:rsid w:val="00DC1213"/>
    <w:rsid w:val="00DC24B4"/>
    <w:rsid w:val="00DC2E51"/>
    <w:rsid w:val="00DC6315"/>
    <w:rsid w:val="00DD1A16"/>
    <w:rsid w:val="00DD279F"/>
    <w:rsid w:val="00DD3A29"/>
    <w:rsid w:val="00DD75C1"/>
    <w:rsid w:val="00DD7F80"/>
    <w:rsid w:val="00DE1150"/>
    <w:rsid w:val="00DE13D9"/>
    <w:rsid w:val="00DE4028"/>
    <w:rsid w:val="00DE5113"/>
    <w:rsid w:val="00DE5C31"/>
    <w:rsid w:val="00DE5D25"/>
    <w:rsid w:val="00DF0041"/>
    <w:rsid w:val="00DF1751"/>
    <w:rsid w:val="00DF1A8A"/>
    <w:rsid w:val="00DF1A9D"/>
    <w:rsid w:val="00DF22D5"/>
    <w:rsid w:val="00DF248C"/>
    <w:rsid w:val="00DF24E7"/>
    <w:rsid w:val="00DF541F"/>
    <w:rsid w:val="00DF55DE"/>
    <w:rsid w:val="00DF6273"/>
    <w:rsid w:val="00DF69D4"/>
    <w:rsid w:val="00E005CE"/>
    <w:rsid w:val="00E009FA"/>
    <w:rsid w:val="00E011A0"/>
    <w:rsid w:val="00E014C3"/>
    <w:rsid w:val="00E03138"/>
    <w:rsid w:val="00E03F05"/>
    <w:rsid w:val="00E046D4"/>
    <w:rsid w:val="00E04BDD"/>
    <w:rsid w:val="00E07780"/>
    <w:rsid w:val="00E1088A"/>
    <w:rsid w:val="00E108AD"/>
    <w:rsid w:val="00E13DB8"/>
    <w:rsid w:val="00E13E71"/>
    <w:rsid w:val="00E148FF"/>
    <w:rsid w:val="00E15A74"/>
    <w:rsid w:val="00E168D5"/>
    <w:rsid w:val="00E17001"/>
    <w:rsid w:val="00E2476C"/>
    <w:rsid w:val="00E24777"/>
    <w:rsid w:val="00E24E80"/>
    <w:rsid w:val="00E25BB0"/>
    <w:rsid w:val="00E30A81"/>
    <w:rsid w:val="00E314A2"/>
    <w:rsid w:val="00E314E5"/>
    <w:rsid w:val="00E317AB"/>
    <w:rsid w:val="00E31A25"/>
    <w:rsid w:val="00E323DA"/>
    <w:rsid w:val="00E3394D"/>
    <w:rsid w:val="00E33F72"/>
    <w:rsid w:val="00E36997"/>
    <w:rsid w:val="00E41E86"/>
    <w:rsid w:val="00E42A9B"/>
    <w:rsid w:val="00E42B3F"/>
    <w:rsid w:val="00E45E31"/>
    <w:rsid w:val="00E45F8D"/>
    <w:rsid w:val="00E461BC"/>
    <w:rsid w:val="00E502A3"/>
    <w:rsid w:val="00E50AEF"/>
    <w:rsid w:val="00E526C5"/>
    <w:rsid w:val="00E52884"/>
    <w:rsid w:val="00E5301B"/>
    <w:rsid w:val="00E53F20"/>
    <w:rsid w:val="00E56302"/>
    <w:rsid w:val="00E630F1"/>
    <w:rsid w:val="00E63C4A"/>
    <w:rsid w:val="00E63CD0"/>
    <w:rsid w:val="00E63E41"/>
    <w:rsid w:val="00E6466A"/>
    <w:rsid w:val="00E6558D"/>
    <w:rsid w:val="00E67EED"/>
    <w:rsid w:val="00E71720"/>
    <w:rsid w:val="00E718CF"/>
    <w:rsid w:val="00E722A4"/>
    <w:rsid w:val="00E729C3"/>
    <w:rsid w:val="00E72E9C"/>
    <w:rsid w:val="00E7417C"/>
    <w:rsid w:val="00E74D5C"/>
    <w:rsid w:val="00E753EC"/>
    <w:rsid w:val="00E759F9"/>
    <w:rsid w:val="00E80067"/>
    <w:rsid w:val="00E80BC6"/>
    <w:rsid w:val="00E81785"/>
    <w:rsid w:val="00E85874"/>
    <w:rsid w:val="00E85DB5"/>
    <w:rsid w:val="00E86962"/>
    <w:rsid w:val="00E87825"/>
    <w:rsid w:val="00E903DD"/>
    <w:rsid w:val="00E922FD"/>
    <w:rsid w:val="00E931A3"/>
    <w:rsid w:val="00E95F13"/>
    <w:rsid w:val="00E96249"/>
    <w:rsid w:val="00E975A1"/>
    <w:rsid w:val="00EA0319"/>
    <w:rsid w:val="00EA3180"/>
    <w:rsid w:val="00EA328F"/>
    <w:rsid w:val="00EA4AC6"/>
    <w:rsid w:val="00EA5121"/>
    <w:rsid w:val="00EA5854"/>
    <w:rsid w:val="00EA5B78"/>
    <w:rsid w:val="00EA6CD0"/>
    <w:rsid w:val="00EB075F"/>
    <w:rsid w:val="00EB0B72"/>
    <w:rsid w:val="00EB25D9"/>
    <w:rsid w:val="00EB277F"/>
    <w:rsid w:val="00EB3441"/>
    <w:rsid w:val="00EB5ED7"/>
    <w:rsid w:val="00EB6921"/>
    <w:rsid w:val="00EB6A98"/>
    <w:rsid w:val="00EB72C7"/>
    <w:rsid w:val="00EC0689"/>
    <w:rsid w:val="00EC0A12"/>
    <w:rsid w:val="00EC4258"/>
    <w:rsid w:val="00EC4A64"/>
    <w:rsid w:val="00EC5915"/>
    <w:rsid w:val="00EC5C2C"/>
    <w:rsid w:val="00EC778F"/>
    <w:rsid w:val="00EC7C71"/>
    <w:rsid w:val="00ED281E"/>
    <w:rsid w:val="00ED3A26"/>
    <w:rsid w:val="00ED3E5D"/>
    <w:rsid w:val="00ED4C05"/>
    <w:rsid w:val="00ED5404"/>
    <w:rsid w:val="00ED68DE"/>
    <w:rsid w:val="00EE0569"/>
    <w:rsid w:val="00EE17E0"/>
    <w:rsid w:val="00EE1974"/>
    <w:rsid w:val="00EE19B0"/>
    <w:rsid w:val="00EE27B6"/>
    <w:rsid w:val="00EE2B55"/>
    <w:rsid w:val="00EE3E85"/>
    <w:rsid w:val="00EE637B"/>
    <w:rsid w:val="00EF0E33"/>
    <w:rsid w:val="00EF57AC"/>
    <w:rsid w:val="00EF66A8"/>
    <w:rsid w:val="00EF792C"/>
    <w:rsid w:val="00F01049"/>
    <w:rsid w:val="00F01D98"/>
    <w:rsid w:val="00F0258E"/>
    <w:rsid w:val="00F02A37"/>
    <w:rsid w:val="00F04D23"/>
    <w:rsid w:val="00F057F5"/>
    <w:rsid w:val="00F05BFF"/>
    <w:rsid w:val="00F05ECA"/>
    <w:rsid w:val="00F1006B"/>
    <w:rsid w:val="00F11B9E"/>
    <w:rsid w:val="00F11E18"/>
    <w:rsid w:val="00F131D1"/>
    <w:rsid w:val="00F1387C"/>
    <w:rsid w:val="00F15702"/>
    <w:rsid w:val="00F16067"/>
    <w:rsid w:val="00F1756C"/>
    <w:rsid w:val="00F17A04"/>
    <w:rsid w:val="00F200CE"/>
    <w:rsid w:val="00F2027B"/>
    <w:rsid w:val="00F24A4E"/>
    <w:rsid w:val="00F24F1E"/>
    <w:rsid w:val="00F2685D"/>
    <w:rsid w:val="00F30E1A"/>
    <w:rsid w:val="00F317CB"/>
    <w:rsid w:val="00F34151"/>
    <w:rsid w:val="00F34F67"/>
    <w:rsid w:val="00F3728E"/>
    <w:rsid w:val="00F416ED"/>
    <w:rsid w:val="00F43973"/>
    <w:rsid w:val="00F4450C"/>
    <w:rsid w:val="00F45B63"/>
    <w:rsid w:val="00F45CC2"/>
    <w:rsid w:val="00F462E0"/>
    <w:rsid w:val="00F4664F"/>
    <w:rsid w:val="00F55931"/>
    <w:rsid w:val="00F55C61"/>
    <w:rsid w:val="00F568D7"/>
    <w:rsid w:val="00F574D6"/>
    <w:rsid w:val="00F5771C"/>
    <w:rsid w:val="00F60707"/>
    <w:rsid w:val="00F608D9"/>
    <w:rsid w:val="00F609E4"/>
    <w:rsid w:val="00F6311F"/>
    <w:rsid w:val="00F63D27"/>
    <w:rsid w:val="00F7151B"/>
    <w:rsid w:val="00F719AA"/>
    <w:rsid w:val="00F737B5"/>
    <w:rsid w:val="00F74218"/>
    <w:rsid w:val="00F74689"/>
    <w:rsid w:val="00F758F8"/>
    <w:rsid w:val="00F76E67"/>
    <w:rsid w:val="00F77508"/>
    <w:rsid w:val="00F8186C"/>
    <w:rsid w:val="00F82CE1"/>
    <w:rsid w:val="00F84913"/>
    <w:rsid w:val="00F849F9"/>
    <w:rsid w:val="00F87C90"/>
    <w:rsid w:val="00F93087"/>
    <w:rsid w:val="00F95BD0"/>
    <w:rsid w:val="00F9620A"/>
    <w:rsid w:val="00FA02BE"/>
    <w:rsid w:val="00FA137E"/>
    <w:rsid w:val="00FA189A"/>
    <w:rsid w:val="00FA29D4"/>
    <w:rsid w:val="00FA3811"/>
    <w:rsid w:val="00FA6640"/>
    <w:rsid w:val="00FA7159"/>
    <w:rsid w:val="00FA74B3"/>
    <w:rsid w:val="00FB0DBF"/>
    <w:rsid w:val="00FB2873"/>
    <w:rsid w:val="00FB5317"/>
    <w:rsid w:val="00FB5BBE"/>
    <w:rsid w:val="00FC05EC"/>
    <w:rsid w:val="00FC11D0"/>
    <w:rsid w:val="00FC35C6"/>
    <w:rsid w:val="00FC7800"/>
    <w:rsid w:val="00FD13BA"/>
    <w:rsid w:val="00FD1730"/>
    <w:rsid w:val="00FD2EBD"/>
    <w:rsid w:val="00FD4C68"/>
    <w:rsid w:val="00FD5EF3"/>
    <w:rsid w:val="00FD65F4"/>
    <w:rsid w:val="00FD7071"/>
    <w:rsid w:val="00FD732D"/>
    <w:rsid w:val="00FE117C"/>
    <w:rsid w:val="00FE1A16"/>
    <w:rsid w:val="00FE20EC"/>
    <w:rsid w:val="00FE25A4"/>
    <w:rsid w:val="00FE4642"/>
    <w:rsid w:val="00FE4FF2"/>
    <w:rsid w:val="00FE6B9E"/>
    <w:rsid w:val="00FE780A"/>
    <w:rsid w:val="00FF44CD"/>
    <w:rsid w:val="00FF4833"/>
    <w:rsid w:val="00FF502A"/>
    <w:rsid w:val="00FF69FF"/>
    <w:rsid w:val="00FF7B9B"/>
    <w:rsid w:val="012A82C8"/>
    <w:rsid w:val="016F00E9"/>
    <w:rsid w:val="0196F922"/>
    <w:rsid w:val="01C465A2"/>
    <w:rsid w:val="02437C18"/>
    <w:rsid w:val="0260479B"/>
    <w:rsid w:val="027093FD"/>
    <w:rsid w:val="02FA91CC"/>
    <w:rsid w:val="03C1B70E"/>
    <w:rsid w:val="042DB954"/>
    <w:rsid w:val="048B19CD"/>
    <w:rsid w:val="04900685"/>
    <w:rsid w:val="0507C879"/>
    <w:rsid w:val="050E13A9"/>
    <w:rsid w:val="051A4872"/>
    <w:rsid w:val="05281CD7"/>
    <w:rsid w:val="056E9DB2"/>
    <w:rsid w:val="05E3A831"/>
    <w:rsid w:val="064DD9E4"/>
    <w:rsid w:val="0666B7F4"/>
    <w:rsid w:val="076F6118"/>
    <w:rsid w:val="077F7892"/>
    <w:rsid w:val="086B4DFF"/>
    <w:rsid w:val="08745EE2"/>
    <w:rsid w:val="08BBDE51"/>
    <w:rsid w:val="090B3179"/>
    <w:rsid w:val="092BCCCD"/>
    <w:rsid w:val="09D87A0C"/>
    <w:rsid w:val="09ECB7C7"/>
    <w:rsid w:val="0A485111"/>
    <w:rsid w:val="0A7D2A32"/>
    <w:rsid w:val="0ACD1793"/>
    <w:rsid w:val="0AF5B481"/>
    <w:rsid w:val="0B11EE3E"/>
    <w:rsid w:val="0B784F1F"/>
    <w:rsid w:val="0BAB5D94"/>
    <w:rsid w:val="0BADED4A"/>
    <w:rsid w:val="0BD8EDBF"/>
    <w:rsid w:val="0C114132"/>
    <w:rsid w:val="0C128C87"/>
    <w:rsid w:val="0C3FCDAA"/>
    <w:rsid w:val="0C5BFA98"/>
    <w:rsid w:val="0C64248C"/>
    <w:rsid w:val="0CBD98B0"/>
    <w:rsid w:val="0CC9748C"/>
    <w:rsid w:val="0CDC57B6"/>
    <w:rsid w:val="0D9B67E5"/>
    <w:rsid w:val="0DCA751F"/>
    <w:rsid w:val="0E6F870C"/>
    <w:rsid w:val="0E70F142"/>
    <w:rsid w:val="0E757533"/>
    <w:rsid w:val="0EA68210"/>
    <w:rsid w:val="0EDA8F83"/>
    <w:rsid w:val="0EE3A066"/>
    <w:rsid w:val="0F28DBD9"/>
    <w:rsid w:val="0F3979FA"/>
    <w:rsid w:val="0F5CED7C"/>
    <w:rsid w:val="0F7A72FD"/>
    <w:rsid w:val="0FD46FC4"/>
    <w:rsid w:val="0FDF00B7"/>
    <w:rsid w:val="1003B476"/>
    <w:rsid w:val="1051A8FC"/>
    <w:rsid w:val="1079A200"/>
    <w:rsid w:val="10BD5A7E"/>
    <w:rsid w:val="10C5BAA8"/>
    <w:rsid w:val="10D769B3"/>
    <w:rsid w:val="10E1C070"/>
    <w:rsid w:val="1140B7AD"/>
    <w:rsid w:val="11ED795D"/>
    <w:rsid w:val="120176BB"/>
    <w:rsid w:val="120B8247"/>
    <w:rsid w:val="12497B1F"/>
    <w:rsid w:val="12770202"/>
    <w:rsid w:val="128ABD2D"/>
    <w:rsid w:val="128D4F41"/>
    <w:rsid w:val="128E4CE8"/>
    <w:rsid w:val="128E70B4"/>
    <w:rsid w:val="1313D64E"/>
    <w:rsid w:val="13154822"/>
    <w:rsid w:val="13E49173"/>
    <w:rsid w:val="141C5317"/>
    <w:rsid w:val="143C0446"/>
    <w:rsid w:val="14BF2C2C"/>
    <w:rsid w:val="150F19EB"/>
    <w:rsid w:val="15173F7A"/>
    <w:rsid w:val="151F3165"/>
    <w:rsid w:val="1574343B"/>
    <w:rsid w:val="15F97BBA"/>
    <w:rsid w:val="16B83C3D"/>
    <w:rsid w:val="16BED931"/>
    <w:rsid w:val="1713B0A5"/>
    <w:rsid w:val="17202945"/>
    <w:rsid w:val="17533EFC"/>
    <w:rsid w:val="17892AC3"/>
    <w:rsid w:val="17A97D0F"/>
    <w:rsid w:val="17C277A5"/>
    <w:rsid w:val="17DF0F11"/>
    <w:rsid w:val="18395852"/>
    <w:rsid w:val="184A9083"/>
    <w:rsid w:val="18BBA0E2"/>
    <w:rsid w:val="19184460"/>
    <w:rsid w:val="1948315A"/>
    <w:rsid w:val="1A5AC386"/>
    <w:rsid w:val="1A6A1074"/>
    <w:rsid w:val="1A6C9DA2"/>
    <w:rsid w:val="1AC5132A"/>
    <w:rsid w:val="1ADE77F5"/>
    <w:rsid w:val="1AFB808D"/>
    <w:rsid w:val="1B08DB29"/>
    <w:rsid w:val="1B2F37F9"/>
    <w:rsid w:val="1BBD5FD6"/>
    <w:rsid w:val="1BE9220B"/>
    <w:rsid w:val="1C2F5282"/>
    <w:rsid w:val="1C48E5FB"/>
    <w:rsid w:val="1C863288"/>
    <w:rsid w:val="1CAAF78A"/>
    <w:rsid w:val="1CAC189B"/>
    <w:rsid w:val="1CB78B00"/>
    <w:rsid w:val="1CD09C3C"/>
    <w:rsid w:val="1D0C631E"/>
    <w:rsid w:val="1D118AF0"/>
    <w:rsid w:val="1D2A434A"/>
    <w:rsid w:val="1D572147"/>
    <w:rsid w:val="1E1BBC94"/>
    <w:rsid w:val="1E38DA9B"/>
    <w:rsid w:val="1E48E84D"/>
    <w:rsid w:val="1E69D628"/>
    <w:rsid w:val="1F66F344"/>
    <w:rsid w:val="1F6DC09D"/>
    <w:rsid w:val="1F78D243"/>
    <w:rsid w:val="1FA774DC"/>
    <w:rsid w:val="1FCDDF2A"/>
    <w:rsid w:val="1FEAE69C"/>
    <w:rsid w:val="1FFFABC7"/>
    <w:rsid w:val="200AB737"/>
    <w:rsid w:val="208C83AE"/>
    <w:rsid w:val="2116FFE1"/>
    <w:rsid w:val="215EF450"/>
    <w:rsid w:val="219B8A75"/>
    <w:rsid w:val="21D86CE3"/>
    <w:rsid w:val="22179A85"/>
    <w:rsid w:val="22BF26A6"/>
    <w:rsid w:val="22DC1638"/>
    <w:rsid w:val="22E34696"/>
    <w:rsid w:val="236F219A"/>
    <w:rsid w:val="23B36AE6"/>
    <w:rsid w:val="23F7CA5D"/>
    <w:rsid w:val="2409909E"/>
    <w:rsid w:val="240C59F0"/>
    <w:rsid w:val="243A6467"/>
    <w:rsid w:val="2464D4E6"/>
    <w:rsid w:val="24C23372"/>
    <w:rsid w:val="24DA2BD7"/>
    <w:rsid w:val="24F152FE"/>
    <w:rsid w:val="252D67A9"/>
    <w:rsid w:val="25B52E3E"/>
    <w:rsid w:val="263257A4"/>
    <w:rsid w:val="26458DF0"/>
    <w:rsid w:val="265EB64D"/>
    <w:rsid w:val="266806E2"/>
    <w:rsid w:val="268CC0E8"/>
    <w:rsid w:val="2690C3FD"/>
    <w:rsid w:val="27262C05"/>
    <w:rsid w:val="2737633D"/>
    <w:rsid w:val="278B87D8"/>
    <w:rsid w:val="27A87595"/>
    <w:rsid w:val="27D9CD13"/>
    <w:rsid w:val="27E15E51"/>
    <w:rsid w:val="27E5F58A"/>
    <w:rsid w:val="2865B3A9"/>
    <w:rsid w:val="28F48A61"/>
    <w:rsid w:val="291AA39D"/>
    <w:rsid w:val="294430FB"/>
    <w:rsid w:val="29696425"/>
    <w:rsid w:val="297D2EB2"/>
    <w:rsid w:val="29C24C64"/>
    <w:rsid w:val="29E5CC09"/>
    <w:rsid w:val="2A2B5730"/>
    <w:rsid w:val="2B50226F"/>
    <w:rsid w:val="2BA496B3"/>
    <w:rsid w:val="2BA5F33C"/>
    <w:rsid w:val="2BFBAE45"/>
    <w:rsid w:val="2BFBEB3D"/>
    <w:rsid w:val="2C22E8FD"/>
    <w:rsid w:val="2C6D0CA4"/>
    <w:rsid w:val="2C907222"/>
    <w:rsid w:val="2C9915AA"/>
    <w:rsid w:val="2D3A5633"/>
    <w:rsid w:val="2D623AB2"/>
    <w:rsid w:val="2DF09E76"/>
    <w:rsid w:val="2DF30EA7"/>
    <w:rsid w:val="2E7412E0"/>
    <w:rsid w:val="2E8BC103"/>
    <w:rsid w:val="2F0B7CEF"/>
    <w:rsid w:val="2F5420B0"/>
    <w:rsid w:val="2FF1C3B1"/>
    <w:rsid w:val="3021CF24"/>
    <w:rsid w:val="30AA0601"/>
    <w:rsid w:val="3104255C"/>
    <w:rsid w:val="3163DD43"/>
    <w:rsid w:val="319D00CD"/>
    <w:rsid w:val="31C05C8D"/>
    <w:rsid w:val="31D25830"/>
    <w:rsid w:val="3225130E"/>
    <w:rsid w:val="3230A799"/>
    <w:rsid w:val="3234A52F"/>
    <w:rsid w:val="327A0B4C"/>
    <w:rsid w:val="32AD8A3E"/>
    <w:rsid w:val="3309A641"/>
    <w:rsid w:val="3310466B"/>
    <w:rsid w:val="33279E0B"/>
    <w:rsid w:val="3396803B"/>
    <w:rsid w:val="33D5329B"/>
    <w:rsid w:val="342F74CF"/>
    <w:rsid w:val="347185A6"/>
    <w:rsid w:val="34790857"/>
    <w:rsid w:val="3482193A"/>
    <w:rsid w:val="34A296AA"/>
    <w:rsid w:val="34AC16CC"/>
    <w:rsid w:val="34D05FD0"/>
    <w:rsid w:val="35234ECD"/>
    <w:rsid w:val="355D984E"/>
    <w:rsid w:val="359C38FD"/>
    <w:rsid w:val="35BBF8B0"/>
    <w:rsid w:val="36229757"/>
    <w:rsid w:val="3647E72D"/>
    <w:rsid w:val="36D2924B"/>
    <w:rsid w:val="36FE8203"/>
    <w:rsid w:val="3712FA99"/>
    <w:rsid w:val="372BA27C"/>
    <w:rsid w:val="375E03EF"/>
    <w:rsid w:val="376D8600"/>
    <w:rsid w:val="3785AC3F"/>
    <w:rsid w:val="37BCA6FC"/>
    <w:rsid w:val="37C4DB1B"/>
    <w:rsid w:val="37D03EF6"/>
    <w:rsid w:val="38061765"/>
    <w:rsid w:val="384BF802"/>
    <w:rsid w:val="3880C097"/>
    <w:rsid w:val="38945492"/>
    <w:rsid w:val="38BA0848"/>
    <w:rsid w:val="38FF7580"/>
    <w:rsid w:val="3901FBB0"/>
    <w:rsid w:val="3A48B4DD"/>
    <w:rsid w:val="3A8E397B"/>
    <w:rsid w:val="3A8FB0DB"/>
    <w:rsid w:val="3B041BC5"/>
    <w:rsid w:val="3B141090"/>
    <w:rsid w:val="3B19C586"/>
    <w:rsid w:val="3B691128"/>
    <w:rsid w:val="3B9393B8"/>
    <w:rsid w:val="3B9A644B"/>
    <w:rsid w:val="3BA90DF4"/>
    <w:rsid w:val="3BE13862"/>
    <w:rsid w:val="3BE4853E"/>
    <w:rsid w:val="3BF8D57D"/>
    <w:rsid w:val="3C070E97"/>
    <w:rsid w:val="3C4CD434"/>
    <w:rsid w:val="3C8437FD"/>
    <w:rsid w:val="3C8D2B1F"/>
    <w:rsid w:val="3CB728B1"/>
    <w:rsid w:val="3CED50A3"/>
    <w:rsid w:val="3DDB4539"/>
    <w:rsid w:val="3DE62FA0"/>
    <w:rsid w:val="3E51731D"/>
    <w:rsid w:val="3E52F912"/>
    <w:rsid w:val="3E61A82D"/>
    <w:rsid w:val="3ED2050D"/>
    <w:rsid w:val="3F1CFAE1"/>
    <w:rsid w:val="3F2C4A23"/>
    <w:rsid w:val="3F462483"/>
    <w:rsid w:val="3F6925A5"/>
    <w:rsid w:val="3F76A48A"/>
    <w:rsid w:val="3FBA2EC2"/>
    <w:rsid w:val="3FD56BCC"/>
    <w:rsid w:val="400A8186"/>
    <w:rsid w:val="400A85FD"/>
    <w:rsid w:val="40168FE8"/>
    <w:rsid w:val="401B4E04"/>
    <w:rsid w:val="40265FAA"/>
    <w:rsid w:val="402E5B34"/>
    <w:rsid w:val="4034E3B8"/>
    <w:rsid w:val="4066782D"/>
    <w:rsid w:val="406DD56E"/>
    <w:rsid w:val="406F5EB0"/>
    <w:rsid w:val="407CF0C9"/>
    <w:rsid w:val="411F575B"/>
    <w:rsid w:val="41A651E7"/>
    <w:rsid w:val="41C23A5A"/>
    <w:rsid w:val="41D95613"/>
    <w:rsid w:val="42ACC5DB"/>
    <w:rsid w:val="42D58C8B"/>
    <w:rsid w:val="42E10728"/>
    <w:rsid w:val="433CE1C2"/>
    <w:rsid w:val="433E5B6C"/>
    <w:rsid w:val="43412BB4"/>
    <w:rsid w:val="43422248"/>
    <w:rsid w:val="437CBFA1"/>
    <w:rsid w:val="4389A39F"/>
    <w:rsid w:val="43C88757"/>
    <w:rsid w:val="43D8FF12"/>
    <w:rsid w:val="43F02512"/>
    <w:rsid w:val="43FCCC91"/>
    <w:rsid w:val="443FCBA3"/>
    <w:rsid w:val="4559AF3D"/>
    <w:rsid w:val="4569C6B7"/>
    <w:rsid w:val="4606542C"/>
    <w:rsid w:val="462AFC82"/>
    <w:rsid w:val="466A13A5"/>
    <w:rsid w:val="46B1F3A1"/>
    <w:rsid w:val="46CF356B"/>
    <w:rsid w:val="46EC324D"/>
    <w:rsid w:val="47441493"/>
    <w:rsid w:val="47967D13"/>
    <w:rsid w:val="47D17B49"/>
    <w:rsid w:val="47FA687B"/>
    <w:rsid w:val="4802EAC5"/>
    <w:rsid w:val="49089646"/>
    <w:rsid w:val="490B7EFC"/>
    <w:rsid w:val="491ED890"/>
    <w:rsid w:val="4981388A"/>
    <w:rsid w:val="4981C199"/>
    <w:rsid w:val="49EFCF39"/>
    <w:rsid w:val="4A13440E"/>
    <w:rsid w:val="4A5F2A4F"/>
    <w:rsid w:val="4A9A186B"/>
    <w:rsid w:val="4A9F2041"/>
    <w:rsid w:val="4AED32CE"/>
    <w:rsid w:val="4AEE0F68"/>
    <w:rsid w:val="4B290D47"/>
    <w:rsid w:val="4B751BBF"/>
    <w:rsid w:val="4B9E2296"/>
    <w:rsid w:val="4C4624B7"/>
    <w:rsid w:val="4C54901A"/>
    <w:rsid w:val="4C923B50"/>
    <w:rsid w:val="4CAA3D57"/>
    <w:rsid w:val="4CB6359C"/>
    <w:rsid w:val="4CBC11A4"/>
    <w:rsid w:val="4CBD403A"/>
    <w:rsid w:val="4CCDEE8B"/>
    <w:rsid w:val="4CD8D317"/>
    <w:rsid w:val="4D02C4A6"/>
    <w:rsid w:val="4D11ABF2"/>
    <w:rsid w:val="4D3DFF89"/>
    <w:rsid w:val="4D41FFD8"/>
    <w:rsid w:val="4D551FBE"/>
    <w:rsid w:val="4D5B1A2F"/>
    <w:rsid w:val="4D8268D9"/>
    <w:rsid w:val="4DA3FF5E"/>
    <w:rsid w:val="4DB4A590"/>
    <w:rsid w:val="4DCF21DC"/>
    <w:rsid w:val="4E0E90E6"/>
    <w:rsid w:val="4E2E20E1"/>
    <w:rsid w:val="4E32E631"/>
    <w:rsid w:val="4E348B68"/>
    <w:rsid w:val="4E3A7980"/>
    <w:rsid w:val="4E47493E"/>
    <w:rsid w:val="4E49C407"/>
    <w:rsid w:val="4E7C52F3"/>
    <w:rsid w:val="4EAD7C53"/>
    <w:rsid w:val="4F07D04D"/>
    <w:rsid w:val="4FCEC9EB"/>
    <w:rsid w:val="502EFE34"/>
    <w:rsid w:val="5033E6E7"/>
    <w:rsid w:val="5083F6A7"/>
    <w:rsid w:val="51017C34"/>
    <w:rsid w:val="514650EA"/>
    <w:rsid w:val="518713F4"/>
    <w:rsid w:val="518C1222"/>
    <w:rsid w:val="51CFA750"/>
    <w:rsid w:val="5226F76E"/>
    <w:rsid w:val="522EE2B8"/>
    <w:rsid w:val="524FEF93"/>
    <w:rsid w:val="52515AA2"/>
    <w:rsid w:val="525D92F6"/>
    <w:rsid w:val="52693F22"/>
    <w:rsid w:val="52A34229"/>
    <w:rsid w:val="530289B5"/>
    <w:rsid w:val="53403B75"/>
    <w:rsid w:val="5359A562"/>
    <w:rsid w:val="53F8F814"/>
    <w:rsid w:val="53FA2AEC"/>
    <w:rsid w:val="54172895"/>
    <w:rsid w:val="5435781B"/>
    <w:rsid w:val="54504D15"/>
    <w:rsid w:val="54A509AA"/>
    <w:rsid w:val="54C157B8"/>
    <w:rsid w:val="54E10D49"/>
    <w:rsid w:val="54E6CF16"/>
    <w:rsid w:val="553AE02E"/>
    <w:rsid w:val="556EBA6C"/>
    <w:rsid w:val="5582C589"/>
    <w:rsid w:val="55DE2407"/>
    <w:rsid w:val="571BBAE2"/>
    <w:rsid w:val="571F3F1D"/>
    <w:rsid w:val="573E3090"/>
    <w:rsid w:val="57B2CD87"/>
    <w:rsid w:val="57F10AF4"/>
    <w:rsid w:val="5855B351"/>
    <w:rsid w:val="58B55D6B"/>
    <w:rsid w:val="58C2C7FE"/>
    <w:rsid w:val="58CB60F1"/>
    <w:rsid w:val="594EA2FC"/>
    <w:rsid w:val="59947320"/>
    <w:rsid w:val="59DD0789"/>
    <w:rsid w:val="5A16BBB0"/>
    <w:rsid w:val="5A4220CD"/>
    <w:rsid w:val="5A535BA4"/>
    <w:rsid w:val="5A9CC6AA"/>
    <w:rsid w:val="5AC92985"/>
    <w:rsid w:val="5AF97FD6"/>
    <w:rsid w:val="5B125130"/>
    <w:rsid w:val="5B7169BB"/>
    <w:rsid w:val="5B78F9A1"/>
    <w:rsid w:val="5BA3A880"/>
    <w:rsid w:val="5BCBDDFE"/>
    <w:rsid w:val="5C223A7A"/>
    <w:rsid w:val="5C2A2800"/>
    <w:rsid w:val="5C7F2081"/>
    <w:rsid w:val="5CB061D0"/>
    <w:rsid w:val="5CEABBFE"/>
    <w:rsid w:val="5D1CA3E9"/>
    <w:rsid w:val="5D29C7FA"/>
    <w:rsid w:val="5DC5F861"/>
    <w:rsid w:val="5DD9C2EE"/>
    <w:rsid w:val="5E14029D"/>
    <w:rsid w:val="5E33488E"/>
    <w:rsid w:val="5E889ED6"/>
    <w:rsid w:val="5F6B7434"/>
    <w:rsid w:val="5F802456"/>
    <w:rsid w:val="5F852782"/>
    <w:rsid w:val="5FCEDA35"/>
    <w:rsid w:val="5FE0CAA3"/>
    <w:rsid w:val="5FF7E302"/>
    <w:rsid w:val="60421A5C"/>
    <w:rsid w:val="605DF409"/>
    <w:rsid w:val="60C8DB6B"/>
    <w:rsid w:val="611163B0"/>
    <w:rsid w:val="613DF07D"/>
    <w:rsid w:val="61505C69"/>
    <w:rsid w:val="616C185B"/>
    <w:rsid w:val="61AE7295"/>
    <w:rsid w:val="61B38C71"/>
    <w:rsid w:val="61CAD4BB"/>
    <w:rsid w:val="61DA4A33"/>
    <w:rsid w:val="62052D8B"/>
    <w:rsid w:val="620B68C4"/>
    <w:rsid w:val="62514AD7"/>
    <w:rsid w:val="6292D0B6"/>
    <w:rsid w:val="629A0B94"/>
    <w:rsid w:val="62EA16DF"/>
    <w:rsid w:val="631429A6"/>
    <w:rsid w:val="633FF338"/>
    <w:rsid w:val="63421902"/>
    <w:rsid w:val="6358FEAF"/>
    <w:rsid w:val="637BEBCF"/>
    <w:rsid w:val="637FA5F1"/>
    <w:rsid w:val="63B078ED"/>
    <w:rsid w:val="63C174B7"/>
    <w:rsid w:val="63F50A10"/>
    <w:rsid w:val="641C1188"/>
    <w:rsid w:val="64293D9B"/>
    <w:rsid w:val="642B4050"/>
    <w:rsid w:val="64DDE963"/>
    <w:rsid w:val="64F12038"/>
    <w:rsid w:val="651C3867"/>
    <w:rsid w:val="651F4EC6"/>
    <w:rsid w:val="656889E9"/>
    <w:rsid w:val="65D1AC56"/>
    <w:rsid w:val="65E05515"/>
    <w:rsid w:val="65E87E0E"/>
    <w:rsid w:val="661E2059"/>
    <w:rsid w:val="661E807A"/>
    <w:rsid w:val="66394F8F"/>
    <w:rsid w:val="663A0A3D"/>
    <w:rsid w:val="66AB3FAD"/>
    <w:rsid w:val="66AC2ED1"/>
    <w:rsid w:val="66FF5184"/>
    <w:rsid w:val="670FADC3"/>
    <w:rsid w:val="6717796A"/>
    <w:rsid w:val="67337AB9"/>
    <w:rsid w:val="673BAA9A"/>
    <w:rsid w:val="6769B186"/>
    <w:rsid w:val="676CDAA7"/>
    <w:rsid w:val="67B063C5"/>
    <w:rsid w:val="67BC1588"/>
    <w:rsid w:val="68C48A1C"/>
    <w:rsid w:val="69015F92"/>
    <w:rsid w:val="69B15A86"/>
    <w:rsid w:val="69B9847A"/>
    <w:rsid w:val="69DE431B"/>
    <w:rsid w:val="6A460C05"/>
    <w:rsid w:val="6B36CA7D"/>
    <w:rsid w:val="6B4C078A"/>
    <w:rsid w:val="6B546C08"/>
    <w:rsid w:val="6B797C04"/>
    <w:rsid w:val="6B89B97A"/>
    <w:rsid w:val="6BAD6FD0"/>
    <w:rsid w:val="6BBD932C"/>
    <w:rsid w:val="6BFD574A"/>
    <w:rsid w:val="6C03CCD0"/>
    <w:rsid w:val="6C59FE96"/>
    <w:rsid w:val="6C9BDD09"/>
    <w:rsid w:val="6CD21BDE"/>
    <w:rsid w:val="6CE3D8EB"/>
    <w:rsid w:val="6CED336E"/>
    <w:rsid w:val="6D12EC8B"/>
    <w:rsid w:val="6D77A168"/>
    <w:rsid w:val="6D92E0BF"/>
    <w:rsid w:val="6DCC1058"/>
    <w:rsid w:val="6DF43B60"/>
    <w:rsid w:val="6DF905E1"/>
    <w:rsid w:val="6DFBC5F8"/>
    <w:rsid w:val="6E43C227"/>
    <w:rsid w:val="6E4C3FDF"/>
    <w:rsid w:val="6E662FD1"/>
    <w:rsid w:val="6F2472F8"/>
    <w:rsid w:val="6F7590F3"/>
    <w:rsid w:val="6F86E8E1"/>
    <w:rsid w:val="6FBEFB51"/>
    <w:rsid w:val="6FCD015F"/>
    <w:rsid w:val="6FF638D6"/>
    <w:rsid w:val="71122603"/>
    <w:rsid w:val="7185A8BF"/>
    <w:rsid w:val="71A03CB8"/>
    <w:rsid w:val="71BC6C6B"/>
    <w:rsid w:val="72223E46"/>
    <w:rsid w:val="72558541"/>
    <w:rsid w:val="72673AC3"/>
    <w:rsid w:val="726B870A"/>
    <w:rsid w:val="7286D065"/>
    <w:rsid w:val="7298EB4D"/>
    <w:rsid w:val="733D6C77"/>
    <w:rsid w:val="73823A5E"/>
    <w:rsid w:val="738CBE33"/>
    <w:rsid w:val="73C91D7D"/>
    <w:rsid w:val="73EFC4BF"/>
    <w:rsid w:val="74026B3A"/>
    <w:rsid w:val="742983B7"/>
    <w:rsid w:val="748FE5A2"/>
    <w:rsid w:val="74CF56A9"/>
    <w:rsid w:val="74EAFC4A"/>
    <w:rsid w:val="7577568C"/>
    <w:rsid w:val="75BD6CEC"/>
    <w:rsid w:val="75DC5F43"/>
    <w:rsid w:val="75E55F22"/>
    <w:rsid w:val="7618AA26"/>
    <w:rsid w:val="7678CC4E"/>
    <w:rsid w:val="76E4E9CA"/>
    <w:rsid w:val="76F119B3"/>
    <w:rsid w:val="774C10D6"/>
    <w:rsid w:val="77B64B34"/>
    <w:rsid w:val="780E137A"/>
    <w:rsid w:val="785D9907"/>
    <w:rsid w:val="78670D1B"/>
    <w:rsid w:val="789FBA6B"/>
    <w:rsid w:val="78D43440"/>
    <w:rsid w:val="79064885"/>
    <w:rsid w:val="79666A70"/>
    <w:rsid w:val="7969AD05"/>
    <w:rsid w:val="79E0410B"/>
    <w:rsid w:val="79F93921"/>
    <w:rsid w:val="7A75A726"/>
    <w:rsid w:val="7A88E9BD"/>
    <w:rsid w:val="7AA29B71"/>
    <w:rsid w:val="7AFF0A67"/>
    <w:rsid w:val="7B009D9E"/>
    <w:rsid w:val="7B061323"/>
    <w:rsid w:val="7B43869D"/>
    <w:rsid w:val="7B4902F7"/>
    <w:rsid w:val="7B5A3DCE"/>
    <w:rsid w:val="7B5BE940"/>
    <w:rsid w:val="7B74AB6B"/>
    <w:rsid w:val="7B9525C1"/>
    <w:rsid w:val="7BA90456"/>
    <w:rsid w:val="7BDDB07F"/>
    <w:rsid w:val="7C09FD98"/>
    <w:rsid w:val="7C4E00C1"/>
    <w:rsid w:val="7CEADE79"/>
    <w:rsid w:val="7CF0C1F2"/>
    <w:rsid w:val="7CF60E2F"/>
    <w:rsid w:val="7D468EFF"/>
    <w:rsid w:val="7DACD48A"/>
    <w:rsid w:val="7DE425F0"/>
    <w:rsid w:val="7DF87FFB"/>
    <w:rsid w:val="7E369F6C"/>
    <w:rsid w:val="7E49DEB7"/>
    <w:rsid w:val="7E6BB1F5"/>
    <w:rsid w:val="7E74A9DE"/>
    <w:rsid w:val="7EA83AD0"/>
    <w:rsid w:val="7ECCDA8B"/>
    <w:rsid w:val="7EE0D5F5"/>
    <w:rsid w:val="7F2B3349"/>
    <w:rsid w:val="7F42999B"/>
    <w:rsid w:val="7F7BCC5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E397B"/>
  <w15:chartTrackingRefBased/>
  <w15:docId w15:val="{C6428515-5B6C-4D6E-8EF4-A4315951A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Titre2">
    <w:name w:val="heading 2"/>
    <w:basedOn w:val="Normal"/>
    <w:next w:val="Normal"/>
    <w:link w:val="Titre2Car"/>
    <w:uiPriority w:val="9"/>
    <w:semiHidden/>
    <w:unhideWhenUsed/>
    <w:qFormat/>
    <w:rsid w:val="002148B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re3">
    <w:name w:val="heading 3"/>
    <w:basedOn w:val="Normal"/>
    <w:next w:val="Normal"/>
    <w:link w:val="Titre3Car"/>
    <w:uiPriority w:val="9"/>
    <w:semiHidden/>
    <w:unhideWhenUsed/>
    <w:qFormat/>
    <w:rsid w:val="00FB5317"/>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qFormat/>
    <w:rsid w:val="007A344E"/>
    <w:pPr>
      <w:spacing w:after="240" w:line="259" w:lineRule="auto"/>
    </w:pPr>
    <w:rPr>
      <w:rFonts w:ascii="Segoe UI" w:eastAsia="Times New Roman" w:hAnsi="Segoe UI" w:cs="Times New Roman"/>
      <w:sz w:val="22"/>
      <w:lang w:val="fr-CA" w:eastAsia="fr-FR"/>
    </w:rPr>
  </w:style>
  <w:style w:type="character" w:customStyle="1" w:styleId="CorpsdetexteCar">
    <w:name w:val="Corps de texte Car"/>
    <w:basedOn w:val="Policepardfaut"/>
    <w:link w:val="Corpsdetexte"/>
    <w:rsid w:val="007A344E"/>
    <w:rPr>
      <w:rFonts w:ascii="Segoe UI" w:eastAsia="Times New Roman" w:hAnsi="Segoe UI" w:cs="Times New Roman"/>
      <w:sz w:val="22"/>
      <w:lang w:val="fr-CA" w:eastAsia="fr-FR"/>
    </w:rPr>
  </w:style>
  <w:style w:type="paragraph" w:styleId="Notedebasdepage">
    <w:name w:val="footnote text"/>
    <w:basedOn w:val="Normal"/>
    <w:link w:val="NotedebasdepageCar"/>
    <w:uiPriority w:val="99"/>
    <w:qFormat/>
    <w:rsid w:val="007A344E"/>
    <w:pPr>
      <w:tabs>
        <w:tab w:val="left" w:pos="284"/>
      </w:tabs>
      <w:spacing w:before="40" w:after="0" w:line="240" w:lineRule="auto"/>
      <w:ind w:left="284" w:hanging="284"/>
    </w:pPr>
    <w:rPr>
      <w:rFonts w:ascii="Segoe UI" w:eastAsia="Times New Roman" w:hAnsi="Segoe UI" w:cs="Arial"/>
      <w:bCs/>
      <w:sz w:val="18"/>
      <w:szCs w:val="20"/>
      <w:lang w:val="fr-CA" w:eastAsia="fr-CA"/>
    </w:rPr>
  </w:style>
  <w:style w:type="character" w:customStyle="1" w:styleId="NotedebasdepageCar">
    <w:name w:val="Note de bas de page Car"/>
    <w:basedOn w:val="Policepardfaut"/>
    <w:link w:val="Notedebasdepage"/>
    <w:uiPriority w:val="99"/>
    <w:rsid w:val="007A344E"/>
    <w:rPr>
      <w:rFonts w:ascii="Segoe UI" w:eastAsia="Times New Roman" w:hAnsi="Segoe UI" w:cs="Arial"/>
      <w:bCs/>
      <w:sz w:val="18"/>
      <w:szCs w:val="20"/>
      <w:lang w:val="fr-CA" w:eastAsia="fr-CA"/>
    </w:rPr>
  </w:style>
  <w:style w:type="character" w:styleId="Appelnotedebasdep">
    <w:name w:val="footnote reference"/>
    <w:basedOn w:val="Policepardfaut"/>
    <w:uiPriority w:val="99"/>
    <w:rsid w:val="007A344E"/>
    <w:rPr>
      <w:vertAlign w:val="superscript"/>
    </w:rPr>
  </w:style>
  <w:style w:type="character" w:styleId="Lienhypertexte">
    <w:name w:val="Hyperlink"/>
    <w:basedOn w:val="Policepardfaut"/>
    <w:uiPriority w:val="99"/>
    <w:unhideWhenUsed/>
    <w:rsid w:val="007A344E"/>
    <w:rPr>
      <w:color w:val="008484"/>
      <w:u w:val="single"/>
    </w:rPr>
  </w:style>
  <w:style w:type="character" w:styleId="Marquedecommentaire">
    <w:name w:val="annotation reference"/>
    <w:basedOn w:val="Policepardfaut"/>
    <w:uiPriority w:val="99"/>
    <w:semiHidden/>
    <w:unhideWhenUsed/>
    <w:rsid w:val="007A344E"/>
    <w:rPr>
      <w:sz w:val="16"/>
      <w:szCs w:val="16"/>
    </w:rPr>
  </w:style>
  <w:style w:type="paragraph" w:styleId="Commentaire">
    <w:name w:val="annotation text"/>
    <w:basedOn w:val="Normal"/>
    <w:link w:val="CommentaireCar"/>
    <w:uiPriority w:val="99"/>
    <w:unhideWhenUsed/>
    <w:rsid w:val="007A344E"/>
    <w:pPr>
      <w:spacing w:after="0" w:line="240" w:lineRule="auto"/>
    </w:pPr>
    <w:rPr>
      <w:rFonts w:ascii="Segoe UI" w:hAnsi="Segoe UI"/>
      <w:sz w:val="20"/>
      <w:szCs w:val="20"/>
      <w:lang w:val="fr-CA"/>
    </w:rPr>
  </w:style>
  <w:style w:type="character" w:customStyle="1" w:styleId="CommentaireCar">
    <w:name w:val="Commentaire Car"/>
    <w:basedOn w:val="Policepardfaut"/>
    <w:link w:val="Commentaire"/>
    <w:uiPriority w:val="99"/>
    <w:rsid w:val="007A344E"/>
    <w:rPr>
      <w:rFonts w:ascii="Segoe UI" w:hAnsi="Segoe UI"/>
      <w:sz w:val="20"/>
      <w:szCs w:val="20"/>
      <w:lang w:val="fr-CA"/>
    </w:rPr>
  </w:style>
  <w:style w:type="paragraph" w:styleId="En-tte">
    <w:name w:val="header"/>
    <w:basedOn w:val="Normal"/>
    <w:link w:val="En-tteCar"/>
    <w:uiPriority w:val="99"/>
    <w:unhideWhenUsed/>
    <w:rsid w:val="007A344E"/>
    <w:pPr>
      <w:tabs>
        <w:tab w:val="center" w:pos="4320"/>
        <w:tab w:val="right" w:pos="8640"/>
      </w:tabs>
      <w:spacing w:after="0" w:line="240" w:lineRule="auto"/>
    </w:pPr>
  </w:style>
  <w:style w:type="character" w:customStyle="1" w:styleId="En-tteCar">
    <w:name w:val="En-tête Car"/>
    <w:basedOn w:val="Policepardfaut"/>
    <w:link w:val="En-tte"/>
    <w:uiPriority w:val="99"/>
    <w:rsid w:val="007A344E"/>
  </w:style>
  <w:style w:type="paragraph" w:styleId="Pieddepage">
    <w:name w:val="footer"/>
    <w:basedOn w:val="Normal"/>
    <w:link w:val="PieddepageCar"/>
    <w:uiPriority w:val="99"/>
    <w:unhideWhenUsed/>
    <w:rsid w:val="007A344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A344E"/>
  </w:style>
  <w:style w:type="character" w:customStyle="1" w:styleId="rynqvb">
    <w:name w:val="rynqvb"/>
    <w:basedOn w:val="Policepardfaut"/>
    <w:rsid w:val="00E86962"/>
  </w:style>
  <w:style w:type="character" w:customStyle="1" w:styleId="hwtze">
    <w:name w:val="hwtze"/>
    <w:basedOn w:val="Policepardfaut"/>
    <w:rsid w:val="00E86962"/>
  </w:style>
  <w:style w:type="character" w:styleId="Accentuation">
    <w:name w:val="Emphasis"/>
    <w:basedOn w:val="Policepardfaut"/>
    <w:uiPriority w:val="20"/>
    <w:qFormat/>
    <w:rsid w:val="00E86962"/>
    <w:rPr>
      <w:i/>
      <w:iCs/>
    </w:rPr>
  </w:style>
  <w:style w:type="paragraph" w:styleId="NormalWeb">
    <w:name w:val="Normal (Web)"/>
    <w:basedOn w:val="Normal"/>
    <w:uiPriority w:val="99"/>
    <w:unhideWhenUsed/>
    <w:rsid w:val="00157FA6"/>
    <w:pPr>
      <w:spacing w:before="100" w:beforeAutospacing="1" w:after="100" w:afterAutospacing="1" w:line="240" w:lineRule="auto"/>
    </w:pPr>
    <w:rPr>
      <w:rFonts w:ascii="Times New Roman" w:eastAsia="Times New Roman" w:hAnsi="Times New Roman" w:cs="Times New Roman"/>
      <w:lang w:val="fr-CA" w:eastAsia="fr-CA"/>
    </w:rPr>
  </w:style>
  <w:style w:type="character" w:customStyle="1" w:styleId="ui-provider">
    <w:name w:val="ui-provider"/>
    <w:basedOn w:val="Policepardfaut"/>
    <w:rsid w:val="00EA4AC6"/>
  </w:style>
  <w:style w:type="character" w:customStyle="1" w:styleId="line-clamp-1">
    <w:name w:val="line-clamp-1"/>
    <w:basedOn w:val="Policepardfaut"/>
    <w:rsid w:val="0011782A"/>
  </w:style>
  <w:style w:type="character" w:styleId="Mentionnonrsolue">
    <w:name w:val="Unresolved Mention"/>
    <w:basedOn w:val="Policepardfaut"/>
    <w:uiPriority w:val="99"/>
    <w:semiHidden/>
    <w:unhideWhenUsed/>
    <w:rsid w:val="001F13FB"/>
    <w:rPr>
      <w:color w:val="605E5C"/>
      <w:shd w:val="clear" w:color="auto" w:fill="E1DFDD"/>
    </w:rPr>
  </w:style>
  <w:style w:type="character" w:styleId="Lienhypertextesuivivisit">
    <w:name w:val="FollowedHyperlink"/>
    <w:basedOn w:val="Policepardfaut"/>
    <w:uiPriority w:val="99"/>
    <w:semiHidden/>
    <w:unhideWhenUsed/>
    <w:rsid w:val="00833E70"/>
    <w:rPr>
      <w:color w:val="96607D" w:themeColor="followedHyperlink"/>
      <w:u w:val="single"/>
    </w:rPr>
  </w:style>
  <w:style w:type="paragraph" w:styleId="Rvision">
    <w:name w:val="Revision"/>
    <w:hidden/>
    <w:uiPriority w:val="99"/>
    <w:semiHidden/>
    <w:rsid w:val="009872ED"/>
    <w:pPr>
      <w:spacing w:after="0" w:line="240" w:lineRule="auto"/>
    </w:pPr>
  </w:style>
  <w:style w:type="paragraph" w:styleId="Objetducommentaire">
    <w:name w:val="annotation subject"/>
    <w:basedOn w:val="Commentaire"/>
    <w:next w:val="Commentaire"/>
    <w:link w:val="ObjetducommentaireCar"/>
    <w:uiPriority w:val="99"/>
    <w:semiHidden/>
    <w:unhideWhenUsed/>
    <w:rsid w:val="00784418"/>
    <w:pPr>
      <w:spacing w:after="160"/>
    </w:pPr>
    <w:rPr>
      <w:rFonts w:asciiTheme="minorHAnsi" w:hAnsiTheme="minorHAnsi"/>
      <w:b/>
      <w:bCs/>
      <w:lang w:val="fr-FR"/>
    </w:rPr>
  </w:style>
  <w:style w:type="character" w:customStyle="1" w:styleId="ObjetducommentaireCar">
    <w:name w:val="Objet du commentaire Car"/>
    <w:basedOn w:val="CommentaireCar"/>
    <w:link w:val="Objetducommentaire"/>
    <w:uiPriority w:val="99"/>
    <w:semiHidden/>
    <w:rsid w:val="00784418"/>
    <w:rPr>
      <w:rFonts w:ascii="Segoe UI" w:hAnsi="Segoe UI"/>
      <w:b/>
      <w:bCs/>
      <w:sz w:val="20"/>
      <w:szCs w:val="20"/>
      <w:lang w:val="fr-CA"/>
    </w:rPr>
  </w:style>
  <w:style w:type="paragraph" w:customStyle="1" w:styleId="pf0">
    <w:name w:val="pf0"/>
    <w:basedOn w:val="Normal"/>
    <w:rsid w:val="006960B1"/>
    <w:pPr>
      <w:spacing w:before="100" w:beforeAutospacing="1" w:after="100" w:afterAutospacing="1" w:line="240" w:lineRule="auto"/>
    </w:pPr>
    <w:rPr>
      <w:rFonts w:ascii="Times New Roman" w:eastAsia="Times New Roman" w:hAnsi="Times New Roman" w:cs="Times New Roman"/>
      <w:lang w:val="fr-CA" w:eastAsia="fr-CA"/>
    </w:rPr>
  </w:style>
  <w:style w:type="character" w:customStyle="1" w:styleId="cf01">
    <w:name w:val="cf01"/>
    <w:basedOn w:val="Policepardfaut"/>
    <w:rsid w:val="006960B1"/>
    <w:rPr>
      <w:rFonts w:ascii="Segoe UI" w:hAnsi="Segoe UI" w:cs="Segoe UI" w:hint="default"/>
    </w:rPr>
  </w:style>
  <w:style w:type="character" w:customStyle="1" w:styleId="CommentaireCar1">
    <w:name w:val="Commentaire Car1"/>
    <w:basedOn w:val="Policepardfaut"/>
    <w:uiPriority w:val="99"/>
    <w:rsid w:val="00437B21"/>
    <w:rPr>
      <w:sz w:val="20"/>
      <w:szCs w:val="20"/>
    </w:rPr>
  </w:style>
  <w:style w:type="paragraph" w:customStyle="1" w:styleId="Corpsdutexte">
    <w:name w:val="Corps_du_texte"/>
    <w:basedOn w:val="Normal"/>
    <w:qFormat/>
    <w:rsid w:val="00BA31B1"/>
    <w:pPr>
      <w:spacing w:after="0" w:line="260" w:lineRule="exact"/>
      <w:jc w:val="both"/>
    </w:pPr>
    <w:rPr>
      <w:rFonts w:ascii="AvenirNext LT Pro Regular" w:eastAsia="Garamond" w:hAnsi="AvenirNext LT Pro Regular" w:cs="Times New Roman"/>
      <w:color w:val="262626" w:themeColor="text1" w:themeTint="D9"/>
      <w:sz w:val="18"/>
      <w:szCs w:val="18"/>
      <w:lang w:val="fr-CA"/>
    </w:rPr>
  </w:style>
  <w:style w:type="character" w:customStyle="1" w:styleId="Titre2Car">
    <w:name w:val="Titre 2 Car"/>
    <w:basedOn w:val="Policepardfaut"/>
    <w:link w:val="Titre2"/>
    <w:uiPriority w:val="9"/>
    <w:semiHidden/>
    <w:rsid w:val="002148BD"/>
    <w:rPr>
      <w:rFonts w:asciiTheme="majorHAnsi" w:eastAsiaTheme="majorEastAsia" w:hAnsiTheme="majorHAnsi" w:cstheme="majorBidi"/>
      <w:color w:val="0F4761" w:themeColor="accent1" w:themeShade="BF"/>
      <w:sz w:val="26"/>
      <w:szCs w:val="26"/>
    </w:rPr>
  </w:style>
  <w:style w:type="paragraph" w:customStyle="1" w:styleId="EndNoteBibliography">
    <w:name w:val="EndNote Bibliography"/>
    <w:basedOn w:val="Normal"/>
    <w:link w:val="EndNoteBibliographyCar"/>
    <w:rsid w:val="00A3198C"/>
    <w:pPr>
      <w:spacing w:line="240" w:lineRule="auto"/>
    </w:pPr>
    <w:rPr>
      <w:rFonts w:ascii="Calibri" w:hAnsi="Calibri" w:cs="Calibri"/>
      <w:noProof/>
      <w:kern w:val="2"/>
      <w:sz w:val="22"/>
      <w:szCs w:val="22"/>
      <w:lang w:val="en-US"/>
      <w14:ligatures w14:val="standardContextual"/>
    </w:rPr>
  </w:style>
  <w:style w:type="character" w:customStyle="1" w:styleId="EndNoteBibliographyCar">
    <w:name w:val="EndNote Bibliography Car"/>
    <w:basedOn w:val="Policepardfaut"/>
    <w:link w:val="EndNoteBibliography"/>
    <w:rsid w:val="00A3198C"/>
    <w:rPr>
      <w:rFonts w:ascii="Calibri" w:hAnsi="Calibri" w:cs="Calibri"/>
      <w:noProof/>
      <w:kern w:val="2"/>
      <w:sz w:val="22"/>
      <w:szCs w:val="22"/>
      <w:lang w:val="en-US"/>
      <w14:ligatures w14:val="standardContextual"/>
    </w:rPr>
  </w:style>
  <w:style w:type="paragraph" w:customStyle="1" w:styleId="paragraph">
    <w:name w:val="paragraph"/>
    <w:basedOn w:val="Normal"/>
    <w:rsid w:val="002315AD"/>
    <w:pPr>
      <w:spacing w:before="100" w:beforeAutospacing="1" w:after="100" w:afterAutospacing="1" w:line="240" w:lineRule="auto"/>
    </w:pPr>
    <w:rPr>
      <w:rFonts w:ascii="Times New Roman" w:eastAsia="Times New Roman" w:hAnsi="Times New Roman" w:cs="Times New Roman"/>
      <w:lang w:val="fr-CA" w:eastAsia="fr-CA"/>
    </w:rPr>
  </w:style>
  <w:style w:type="character" w:customStyle="1" w:styleId="normaltextrun">
    <w:name w:val="normaltextrun"/>
    <w:basedOn w:val="Policepardfaut"/>
    <w:rsid w:val="002315AD"/>
  </w:style>
  <w:style w:type="character" w:customStyle="1" w:styleId="eop">
    <w:name w:val="eop"/>
    <w:basedOn w:val="Policepardfaut"/>
    <w:rsid w:val="00D633F1"/>
  </w:style>
  <w:style w:type="character" w:customStyle="1" w:styleId="Titre3Car">
    <w:name w:val="Titre 3 Car"/>
    <w:basedOn w:val="Policepardfaut"/>
    <w:link w:val="Titre3"/>
    <w:uiPriority w:val="9"/>
    <w:semiHidden/>
    <w:rsid w:val="00FB5317"/>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5150">
      <w:bodyDiv w:val="1"/>
      <w:marLeft w:val="0"/>
      <w:marRight w:val="0"/>
      <w:marTop w:val="0"/>
      <w:marBottom w:val="0"/>
      <w:divBdr>
        <w:top w:val="none" w:sz="0" w:space="0" w:color="auto"/>
        <w:left w:val="none" w:sz="0" w:space="0" w:color="auto"/>
        <w:bottom w:val="none" w:sz="0" w:space="0" w:color="auto"/>
        <w:right w:val="none" w:sz="0" w:space="0" w:color="auto"/>
      </w:divBdr>
    </w:div>
    <w:div w:id="821701836">
      <w:bodyDiv w:val="1"/>
      <w:marLeft w:val="0"/>
      <w:marRight w:val="0"/>
      <w:marTop w:val="0"/>
      <w:marBottom w:val="0"/>
      <w:divBdr>
        <w:top w:val="none" w:sz="0" w:space="0" w:color="auto"/>
        <w:left w:val="none" w:sz="0" w:space="0" w:color="auto"/>
        <w:bottom w:val="none" w:sz="0" w:space="0" w:color="auto"/>
        <w:right w:val="none" w:sz="0" w:space="0" w:color="auto"/>
      </w:divBdr>
    </w:div>
    <w:div w:id="921184383">
      <w:bodyDiv w:val="1"/>
      <w:marLeft w:val="0"/>
      <w:marRight w:val="0"/>
      <w:marTop w:val="0"/>
      <w:marBottom w:val="0"/>
      <w:divBdr>
        <w:top w:val="none" w:sz="0" w:space="0" w:color="auto"/>
        <w:left w:val="none" w:sz="0" w:space="0" w:color="auto"/>
        <w:bottom w:val="none" w:sz="0" w:space="0" w:color="auto"/>
        <w:right w:val="none" w:sz="0" w:space="0" w:color="auto"/>
      </w:divBdr>
      <w:divsChild>
        <w:div w:id="159199666">
          <w:marLeft w:val="0"/>
          <w:marRight w:val="0"/>
          <w:marTop w:val="0"/>
          <w:marBottom w:val="0"/>
          <w:divBdr>
            <w:top w:val="none" w:sz="0" w:space="0" w:color="auto"/>
            <w:left w:val="none" w:sz="0" w:space="0" w:color="auto"/>
            <w:bottom w:val="none" w:sz="0" w:space="0" w:color="auto"/>
            <w:right w:val="none" w:sz="0" w:space="0" w:color="auto"/>
          </w:divBdr>
          <w:divsChild>
            <w:div w:id="859778438">
              <w:marLeft w:val="0"/>
              <w:marRight w:val="0"/>
              <w:marTop w:val="0"/>
              <w:marBottom w:val="0"/>
              <w:divBdr>
                <w:top w:val="none" w:sz="0" w:space="0" w:color="auto"/>
                <w:left w:val="none" w:sz="0" w:space="0" w:color="auto"/>
                <w:bottom w:val="none" w:sz="0" w:space="0" w:color="auto"/>
                <w:right w:val="none" w:sz="0" w:space="0" w:color="auto"/>
              </w:divBdr>
              <w:divsChild>
                <w:div w:id="2032030330">
                  <w:marLeft w:val="0"/>
                  <w:marRight w:val="0"/>
                  <w:marTop w:val="0"/>
                  <w:marBottom w:val="0"/>
                  <w:divBdr>
                    <w:top w:val="none" w:sz="0" w:space="0" w:color="auto"/>
                    <w:left w:val="none" w:sz="0" w:space="0" w:color="auto"/>
                    <w:bottom w:val="none" w:sz="0" w:space="0" w:color="auto"/>
                    <w:right w:val="none" w:sz="0" w:space="0" w:color="auto"/>
                  </w:divBdr>
                  <w:divsChild>
                    <w:div w:id="19197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3495">
          <w:marLeft w:val="0"/>
          <w:marRight w:val="0"/>
          <w:marTop w:val="0"/>
          <w:marBottom w:val="0"/>
          <w:divBdr>
            <w:top w:val="none" w:sz="0" w:space="0" w:color="auto"/>
            <w:left w:val="none" w:sz="0" w:space="0" w:color="auto"/>
            <w:bottom w:val="none" w:sz="0" w:space="0" w:color="auto"/>
            <w:right w:val="none" w:sz="0" w:space="0" w:color="auto"/>
          </w:divBdr>
          <w:divsChild>
            <w:div w:id="701902786">
              <w:marLeft w:val="0"/>
              <w:marRight w:val="0"/>
              <w:marTop w:val="0"/>
              <w:marBottom w:val="0"/>
              <w:divBdr>
                <w:top w:val="none" w:sz="0" w:space="0" w:color="auto"/>
                <w:left w:val="none" w:sz="0" w:space="0" w:color="auto"/>
                <w:bottom w:val="none" w:sz="0" w:space="0" w:color="auto"/>
                <w:right w:val="none" w:sz="0" w:space="0" w:color="auto"/>
              </w:divBdr>
              <w:divsChild>
                <w:div w:id="1174955296">
                  <w:marLeft w:val="0"/>
                  <w:marRight w:val="0"/>
                  <w:marTop w:val="0"/>
                  <w:marBottom w:val="0"/>
                  <w:divBdr>
                    <w:top w:val="none" w:sz="0" w:space="0" w:color="auto"/>
                    <w:left w:val="none" w:sz="0" w:space="0" w:color="auto"/>
                    <w:bottom w:val="none" w:sz="0" w:space="0" w:color="auto"/>
                    <w:right w:val="none" w:sz="0" w:space="0" w:color="auto"/>
                  </w:divBdr>
                  <w:divsChild>
                    <w:div w:id="3600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vb.2023.103957" TargetMode="External"/><Relationship Id="rId18" Type="http://schemas.openxmlformats.org/officeDocument/2006/relationships/hyperlink" Target="https://doi.org/10.1177/1069072718774002" TargetMode="External"/><Relationship Id="rId26" Type="http://schemas.openxmlformats.org/officeDocument/2006/relationships/hyperlink" Target="https://doi.org/10.1111/j.1467-9450.2010.00813.x" TargetMode="External"/><Relationship Id="rId39" Type="http://schemas.openxmlformats.org/officeDocument/2006/relationships/hyperlink" Target="https://doi.org/10.5271/sjweh.3632" TargetMode="External"/><Relationship Id="rId21" Type="http://schemas.openxmlformats.org/officeDocument/2006/relationships/hyperlink" Target="https://doi.org/10.1787/5js6363503f6-en" TargetMode="External"/><Relationship Id="rId34" Type="http://schemas.openxmlformats.org/officeDocument/2006/relationships/hyperlink" Target="https://doi.org/10.5271/sjweh.3579" TargetMode="External"/><Relationship Id="rId42" Type="http://schemas.openxmlformats.org/officeDocument/2006/relationships/hyperlink" Target="https://doi.org/10.1016/j.hrmr.2019.100727"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journals.openedition.org/sejed/12448" TargetMode="External"/><Relationship Id="rId29" Type="http://schemas.openxmlformats.org/officeDocument/2006/relationships/hyperlink" Target="https://doi.org/10.3917/agora.079.006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2486/indhealth.2020-0064" TargetMode="External"/><Relationship Id="rId24" Type="http://schemas.openxmlformats.org/officeDocument/2006/relationships/hyperlink" Target="https://doi.org/10.2486/indhealth.2014-0195" TargetMode="External"/><Relationship Id="rId32" Type="http://schemas.openxmlformats.org/officeDocument/2006/relationships/hyperlink" Target="https://doi.org/10.3389/fpsyg.2023.1141202" TargetMode="External"/><Relationship Id="rId37" Type="http://schemas.openxmlformats.org/officeDocument/2006/relationships/hyperlink" Target="https://www.inspq.qc.ca/publications/3135-detresse-psychologique-travailleurs-sante-atteints-covid19." TargetMode="External"/><Relationship Id="rId40" Type="http://schemas.openxmlformats.org/officeDocument/2006/relationships/hyperlink" Target="https://doi.org/10.1016/j.jvb.2009.04.004" TargetMode="External"/><Relationship Id="rId45" Type="http://schemas.openxmlformats.org/officeDocument/2006/relationships/hyperlink" Target="https://doi.org/10.1108/MRR-01-2020-0050" TargetMode="External"/><Relationship Id="rId5" Type="http://schemas.openxmlformats.org/officeDocument/2006/relationships/numbering" Target="numbering.xml"/><Relationship Id="rId15" Type="http://schemas.openxmlformats.org/officeDocument/2006/relationships/hyperlink" Target="https://doi-org./10.4000/champpenal.15114" TargetMode="External"/><Relationship Id="rId23" Type="http://schemas.openxmlformats.org/officeDocument/2006/relationships/hyperlink" Target="https://doi.org/10.1016/j.jvb.2018.06.011" TargetMode="External"/><Relationship Id="rId28" Type="http://schemas.openxmlformats.org/officeDocument/2006/relationships/hyperlink" Target="https://doi.org/10.1136/oem.60.10.779" TargetMode="External"/><Relationship Id="rId36" Type="http://schemas.openxmlformats.org/officeDocument/2006/relationships/hyperlink" Target="https://doi.org/10.1007/s00127-017-1402-0" TargetMode="External"/><Relationship Id="rId10" Type="http://schemas.openxmlformats.org/officeDocument/2006/relationships/endnotes" Target="endnotes.xml"/><Relationship Id="rId19" Type="http://schemas.openxmlformats.org/officeDocument/2006/relationships/hyperlink" Target="https://doi.org/10.5271/sjweh.3539" TargetMode="External"/><Relationship Id="rId31" Type="http://schemas.openxmlformats.org/officeDocument/2006/relationships/hyperlink" Target="https://doi.org/10.3389/fpsyg.2022.899051" TargetMode="External"/><Relationship Id="rId44" Type="http://schemas.openxmlformats.org/officeDocument/2006/relationships/hyperlink" Target="https://cremis.ca/publications/articles-et-medias/visages-et-experiences-des-neet-jaimerais-que-quelquun-mattende-quelque-pa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108/CDI-10-2021-0251" TargetMode="External"/><Relationship Id="rId22" Type="http://schemas.openxmlformats.org/officeDocument/2006/relationships/hyperlink" Target="https://doi.org/10.1177/0033294117725073" TargetMode="External"/><Relationship Id="rId27" Type="http://schemas.openxmlformats.org/officeDocument/2006/relationships/hyperlink" Target="https://doi.org/10.1108/IJWHM-10-2019-0125" TargetMode="External"/><Relationship Id="rId30" Type="http://schemas.openxmlformats.org/officeDocument/2006/relationships/hyperlink" Target="https://www.espacestemps.net/en/articles/trois-voies-individu-sociologique/" TargetMode="External"/><Relationship Id="rId35" Type="http://schemas.openxmlformats.org/officeDocument/2006/relationships/hyperlink" Target="https://doi.org/10.2105/AJPH.2015.302855" TargetMode="External"/><Relationship Id="rId43" Type="http://schemas.openxmlformats.org/officeDocument/2006/relationships/hyperlink" Target="https://doi.org/10.1177/0018726717733313"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1108/CDI-08-2017-0143" TargetMode="External"/><Relationship Id="rId17" Type="http://schemas.openxmlformats.org/officeDocument/2006/relationships/hyperlink" Target="https://doi.org/10.1093/workar/waad012" TargetMode="External"/><Relationship Id="rId25" Type="http://schemas.openxmlformats.org/officeDocument/2006/relationships/hyperlink" Target="https://doi.org/10.1097/JOM.0000000000000339" TargetMode="External"/><Relationship Id="rId33" Type="http://schemas.openxmlformats.org/officeDocument/2006/relationships/hyperlink" Target="https://doi.org/10.1016/j.avb.2018.06.007" TargetMode="External"/><Relationship Id="rId38" Type="http://schemas.openxmlformats.org/officeDocument/2006/relationships/hyperlink" Target="https://doi.org/10.7202/1095148ar" TargetMode="External"/><Relationship Id="rId46" Type="http://schemas.openxmlformats.org/officeDocument/2006/relationships/footer" Target="footer1.xml"/><Relationship Id="rId20" Type="http://schemas.openxmlformats.org/officeDocument/2006/relationships/hyperlink" Target="https://doi.org/10.1097/JOM.0000000000002487" TargetMode="External"/><Relationship Id="rId41" Type="http://schemas.openxmlformats.org/officeDocument/2006/relationships/hyperlink" Target="https://www.irsst.qc.ca/publications-et-outils/publication/i/100715/n/guide-soutenir-le-retour-au-travail-et-favoriser-le-maintien-en-emploi-liee-a-un-probleme-de-sante-psychologique-rg-7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76932F74699045935D080A962EE80C" ma:contentTypeVersion="3" ma:contentTypeDescription="Crée un document." ma:contentTypeScope="" ma:versionID="e8f1375290d9b682b2c7a023afaad5cb">
  <xsd:schema xmlns:xsd="http://www.w3.org/2001/XMLSchema" xmlns:xs="http://www.w3.org/2001/XMLSchema" xmlns:p="http://schemas.microsoft.com/office/2006/metadata/properties" xmlns:ns2="bc56c8a7-069a-4e34-9335-d42c931abaec" targetNamespace="http://schemas.microsoft.com/office/2006/metadata/properties" ma:root="true" ma:fieldsID="f6b8c18867755109103f1c9eb11bf968" ns2:_="">
    <xsd:import namespace="bc56c8a7-069a-4e34-9335-d42c931aba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6c8a7-069a-4e34-9335-d42c931ab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6CC42-B60B-4175-8ECA-AA95050A22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0DECA3-4238-4FEF-B3B3-23CA286EE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6c8a7-069a-4e34-9335-d42c931ab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F096A9-7736-47A0-90AF-77FBCAF8E1B0}">
  <ds:schemaRefs>
    <ds:schemaRef ds:uri="http://schemas.microsoft.com/sharepoint/v3/contenttype/forms"/>
  </ds:schemaRefs>
</ds:datastoreItem>
</file>

<file path=customXml/itemProps4.xml><?xml version="1.0" encoding="utf-8"?>
<ds:datastoreItem xmlns:ds="http://schemas.openxmlformats.org/officeDocument/2006/customXml" ds:itemID="{F2B61F14-E71D-46DF-A6DA-D173BA131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7005</Words>
  <Characters>43857</Characters>
  <Application>Microsoft Office Word</Application>
  <DocSecurity>0</DocSecurity>
  <Lines>515</Lines>
  <Paragraphs>142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Imane Lahrizi</dc:creator>
  <cp:keywords/>
  <dc:description/>
  <cp:lastModifiedBy>Imane Lahrizi</cp:lastModifiedBy>
  <cp:revision>16</cp:revision>
  <dcterms:created xsi:type="dcterms:W3CDTF">2026-04-17T15:31:00Z</dcterms:created>
  <dcterms:modified xsi:type="dcterms:W3CDTF">2026-04-17T17:34:00Z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0x010100E776932F74699045935D080A962EE80C</vt:lpwstr>
  </property>
</Properties>
</file>